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widowControl/>
        <w:jc w:val="left"/>
        <w:rPr>
          <w:rFonts w:cs="Times New Roman"/>
        </w:rPr>
      </w:pPr>
    </w:p>
    <w:p>
      <w:pPr>
        <w:widowControl/>
        <w:jc w:val="left"/>
        <w:rPr>
          <w:rFonts w:cs="Times New Roman"/>
        </w:rPr>
      </w:pPr>
      <w:r>
        <w:pict>
          <v:shape id="背景 耗崽" o:spid="_x0000_s1037" o:spt="75" type="#_x0000_t75" style="position:absolute;left:0pt;margin-left:-80.9pt;margin-top:26.6pt;height:872.7pt;width:624.4pt;mso-position-horizontal-relative:margin;mso-position-vertical-relative:margin;z-index:251659264;mso-width-relative:page;mso-height-relative:page;" filled="f" o:preferrelative="t" stroked="f" coordsize="21600,21600">
            <v:path/>
            <v:fill on="f" focussize="0,0"/>
            <v:stroke on="f"/>
            <v:imagedata r:id="rId7" o:title=""/>
            <o:lock v:ext="edit" aspectratio="t"/>
          </v:shape>
        </w:pict>
      </w:r>
      <w:r>
        <w:pict>
          <v:rect id="1027" o:spid="_x0000_s1028" o:spt="1" style="position:absolute;left:0pt;margin-left:87.45pt;margin-top:625.4pt;height:41pt;width:256.7pt;z-index:251659264;mso-width-relative:page;mso-height-relative:page;" filled="f" stroked="f" coordsize="21600,21600">
            <v:path/>
            <v:fill on="f" focussize="0,0"/>
            <v:stroke on="f"/>
            <v:imagedata o:title=""/>
            <o:lock v:ext="edit"/>
            <v:textbox>
              <w:txbxContent>
                <w:p>
                  <w:pPr>
                    <w:spacing w:line="600" w:lineRule="auto"/>
                    <w:jc w:val="center"/>
                    <w:rPr>
                      <w:rFonts w:ascii="楷体_GB2312" w:hAnsi="楷体_GB2312" w:eastAsia="楷体_GB2312" w:cs="Times New Roman"/>
                      <w:color w:val="000000"/>
                      <w:sz w:val="40"/>
                      <w:szCs w:val="40"/>
                    </w:rPr>
                  </w:pPr>
                  <w:r>
                    <w:rPr>
                      <w:rFonts w:hint="eastAsia" w:ascii="楷体_GB2312" w:hAnsi="楷体_GB2312" w:eastAsia="楷体_GB2312" w:cs="楷体_GB2312"/>
                      <w:color w:val="000000"/>
                      <w:sz w:val="40"/>
                      <w:szCs w:val="40"/>
                    </w:rPr>
                    <w:t>二〇二</w:t>
                  </w:r>
                  <w:r>
                    <w:rPr>
                      <w:rFonts w:hint="eastAsia" w:ascii="楷体_GB2312" w:hAnsi="楷体_GB2312" w:eastAsia="楷体_GB2312" w:cs="楷体_GB2312"/>
                      <w:color w:val="000000"/>
                      <w:sz w:val="40"/>
                      <w:szCs w:val="40"/>
                      <w:lang w:eastAsia="zh-CN"/>
                    </w:rPr>
                    <w:t>三</w:t>
                  </w:r>
                  <w:r>
                    <w:rPr>
                      <w:rFonts w:hint="eastAsia" w:ascii="楷体_GB2312" w:hAnsi="楷体_GB2312" w:eastAsia="楷体_GB2312" w:cs="楷体_GB2312"/>
                      <w:color w:val="000000"/>
                      <w:sz w:val="40"/>
                      <w:szCs w:val="40"/>
                    </w:rPr>
                    <w:t>年</w:t>
                  </w:r>
                  <w:r>
                    <w:rPr>
                      <w:rFonts w:hint="eastAsia" w:ascii="楷体_GB2312" w:hAnsi="楷体_GB2312" w:eastAsia="楷体_GB2312" w:cs="楷体_GB2312"/>
                      <w:color w:val="000000"/>
                      <w:sz w:val="40"/>
                      <w:szCs w:val="40"/>
                      <w:lang w:eastAsia="zh-CN"/>
                    </w:rPr>
                    <w:t>九</w:t>
                  </w:r>
                  <w:r>
                    <w:rPr>
                      <w:rFonts w:hint="eastAsia" w:ascii="楷体_GB2312" w:hAnsi="楷体_GB2312" w:eastAsia="楷体_GB2312" w:cs="楷体_GB2312"/>
                      <w:color w:val="000000"/>
                      <w:sz w:val="40"/>
                      <w:szCs w:val="40"/>
                    </w:rPr>
                    <w:t>月</w:t>
                  </w:r>
                </w:p>
              </w:txbxContent>
            </v:textbox>
          </v:rect>
        </w:pict>
      </w:r>
      <w:r>
        <w:pict>
          <v:group id="_x0000_s1085" o:spid="_x0000_s1085" o:spt="203" style="position:absolute;left:0pt;margin-left:-83pt;margin-top:196pt;height:274.95pt;width:613.65pt;z-index:251666432;mso-width-relative:page;mso-height-relative:page;" coordorigin="5240,6098" coordsize="12273,5499">
            <o:lock v:ext="edit"/>
            <v:rect id="1030" o:spid="_x0000_s1086" o:spt="1" style="position:absolute;left:15245;top:6099;height:5499;width:2268;v-text-anchor:middle;" fillcolor="#2E75B5" filled="t" stroked="f" coordsize="21600,21600">
              <v:path/>
              <v:fill on="t" focussize="0,0"/>
              <v:stroke on="f" weight="1pt" color="#42719B"/>
              <v:imagedata o:title=""/>
              <o:lock v:ext="edit"/>
              <v:textbox>
                <w:txbxContent>
                  <w:p>
                    <w:pPr>
                      <w:jc w:val="center"/>
                      <w:rPr>
                        <w:rFonts w:cs="Times New Roman"/>
                      </w:rPr>
                    </w:pPr>
                  </w:p>
                </w:txbxContent>
              </v:textbox>
            </v:rect>
            <v:shape id="1031" o:spid="_x0000_s1087" o:spt="75" type="#_x0000_t75" style="position:absolute;left:5240;top:6098;height:5499;width:10027;" filled="f" o:preferrelative="t" stroked="f" coordsize="21600,21600">
              <v:path/>
              <v:fill on="f" focussize="0,0"/>
              <v:stroke on="f" joinstyle="miter"/>
              <v:imagedata r:id="rId8" embosscolor="#FFFFFF" o:title=""/>
              <o:lock v:ext="edit" aspectratio="t"/>
            </v:shape>
          </v:group>
        </w:pict>
      </w:r>
      <w:r>
        <w:pict>
          <v:group id="1033" o:spid="_x0000_s1088" o:spt="203" style="position:absolute;left:0pt;margin-left:11.65pt;margin-top:57.4pt;height:68.65pt;width:451.7pt;z-index:251667456;mso-width-relative:page;mso-height-relative:page;" coordorigin="6119,3077" coordsize="9034,1373">
            <o:lock v:ext="edit" aspectratio="f"/>
            <v:rect id="1034" o:spid="_x0000_s1089" o:spt="1" style="position:absolute;left:6119;top:3077;height:1187;width:9034;" filled="f" stroked="f" coordsize="21600,21600">
              <v:path/>
              <v:fill on="f" focussize="0,0"/>
              <v:stroke on="f" joinstyle="miter"/>
              <v:imagedata o:title=""/>
              <o:lock v:ext="edit" aspectratio="f"/>
              <v:textbox>
                <w:txbxContent>
                  <w:p>
                    <w:pPr>
                      <w:jc w:val="left"/>
                      <w:rPr>
                        <w:rFonts w:ascii="思源黑体 CN Bold" w:hAnsi="思源黑体 CN Bold" w:eastAsia="思源黑体 CN Bold" w:cs="Times New Roman"/>
                        <w:b/>
                        <w:bCs/>
                        <w:color w:val="002060"/>
                        <w:kern w:val="0"/>
                        <w:sz w:val="24"/>
                        <w:szCs w:val="24"/>
                      </w:rPr>
                    </w:pPr>
                    <w:r>
                      <w:rPr>
                        <w:rFonts w:hint="eastAsia" w:ascii="思源黑体 CN Bold" w:hAnsi="思源黑体 CN Bold" w:eastAsia="思源黑体 CN Bold" w:cs="思源黑体 CN Bold"/>
                        <w:b/>
                        <w:bCs/>
                        <w:color w:val="002060"/>
                        <w:spacing w:val="60"/>
                        <w:kern w:val="24"/>
                        <w:sz w:val="96"/>
                        <w:szCs w:val="96"/>
                        <w:lang w:eastAsia="zh-CN"/>
                      </w:rPr>
                      <w:t>部门</w:t>
                    </w:r>
                    <w:r>
                      <w:rPr>
                        <w:rFonts w:hint="eastAsia" w:ascii="思源黑体 CN Bold" w:hAnsi="思源黑体 CN Bold" w:eastAsia="思源黑体 CN Bold" w:cs="思源黑体 CN Bold"/>
                        <w:b/>
                        <w:bCs/>
                        <w:color w:val="002060"/>
                        <w:spacing w:val="60"/>
                        <w:kern w:val="24"/>
                        <w:sz w:val="96"/>
                        <w:szCs w:val="96"/>
                      </w:rPr>
                      <w:t>决算公开文本</w:t>
                    </w:r>
                  </w:p>
                </w:txbxContent>
              </v:textbox>
            </v:rect>
            <v:line id="1035" o:spid="_x0000_s1090" o:spt="20" style="position:absolute;left:6226;top:4450;height:0;width:8700;" filled="f" stroked="t" coordsize="21600,21600">
              <v:path arrowok="t"/>
              <v:fill on="f" focussize="0,0"/>
              <v:stroke weight="2.25pt" color="#42719B" joinstyle="miter" dashstyle="1 1"/>
              <v:imagedata o:title=""/>
              <o:lock v:ext="edit" aspectratio="f"/>
            </v:line>
          </v:group>
        </w:pict>
      </w:r>
      <w:r>
        <w:pict>
          <v:rect id="1032" o:spid="_x0000_s1032" o:spt="1" style="position:absolute;left:0pt;margin-left:-19.95pt;margin-top:125.65pt;height:44.9pt;width:432.6pt;z-index:251659264;mso-width-relative:page;mso-height-relative:page;" filled="f" stroked="f" coordsize="21600,21600">
            <v:path/>
            <v:fill on="f" focussize="0,0"/>
            <v:stroke on="f"/>
            <v:imagedata o:title=""/>
            <o:lock v:ext="edit"/>
            <v:textbox>
              <w:txbxContent>
                <w:p>
                  <w:pPr>
                    <w:jc w:val="distribute"/>
                    <w:rPr>
                      <w:rFonts w:ascii="思源黑体 CN Heavy" w:hAnsi="思源黑体 CN Heavy" w:eastAsia="思源黑体 CN Heavy" w:cs="Times New Roman"/>
                      <w:color w:val="A6A6A6"/>
                      <w:kern w:val="0"/>
                      <w:sz w:val="40"/>
                      <w:szCs w:val="40"/>
                    </w:rPr>
                  </w:pPr>
                </w:p>
              </w:txbxContent>
            </v:textbox>
          </v:rect>
        </w:pict>
      </w:r>
      <w:r>
        <w:pict>
          <v:rect id="1028" o:spid="_x0000_s1026" o:spt="1" style="position:absolute;left:0pt;margin-left:23.2pt;margin-top:504.45pt;height:111.75pt;width:431.7pt;z-index:251659264;mso-width-relative:page;mso-height-relative:page;" filled="f" stroked="f" coordsize="21600,21600">
            <v:path/>
            <v:fill on="f" focussize="0,0"/>
            <v:stroke on="f"/>
            <v:imagedata o:title=""/>
            <o:lock v:ext="edit"/>
            <v:textbox>
              <w:txbxContent>
                <w:p>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：318</w:t>
                  </w:r>
                </w:p>
                <w:p>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：石家庄市鹿泉区财政局</w:t>
                  </w:r>
                </w:p>
              </w:txbxContent>
            </v:textbox>
          </v:rect>
        </w:pict>
      </w:r>
      <w:r>
        <w:pict>
          <v:shape id="图片 9" o:spid="_x0000_s1027" o:spt="75" alt="32313539333330313b32313539333238393bb9abb8e6" type="#_x0000_t75" style="position:absolute;left:0pt;margin-left:-14.25pt;margin-top:-12.5pt;height:48.05pt;width:48.05pt;mso-position-vertical-relative:margin;z-index:251659264;mso-width-relative:page;mso-height-relative:page;" filled="f" o:preferrelative="t" stroked="f" coordsize="21600,21600">
            <v:path/>
            <v:fill on="f" focussize="0,0"/>
            <v:stroke on="f" joinstyle="miter"/>
            <v:imagedata r:id="rId9" o:title=""/>
            <o:lock v:ext="edit" aspectratio="t"/>
          </v:shape>
        </w:pict>
      </w:r>
      <w:r>
        <w:pict>
          <v:group id="1029" o:spid="_x0000_s1029" o:spt="203" style="position:absolute;left:0pt;margin-left:-83pt;margin-top:196.75pt;height:274.95pt;width:613.65pt;z-index:251659264;mso-width-relative:page;mso-height-relative:page;" coordorigin="5240,6098" coordsize="12273,5499203">
            <o:lock v:ext="edit"/>
            <v:rect id="1030" o:spid="_x0000_s1030" o:spt="1" style="position:absolute;left:15245;top:6099;height:5499;width:2268;v-text-anchor:middle;" fillcolor="#2E75B5" filled="t" stroked="f" coordsize="21600,21600">
              <v:path/>
              <v:fill on="t" focussize="0,0"/>
              <v:stroke on="f" weight="1pt" color="#42719B"/>
              <v:imagedata o:title=""/>
              <o:lock v:ext="edit"/>
              <v:textbox>
                <w:txbxContent>
                  <w:p>
                    <w:pPr>
                      <w:jc w:val="center"/>
                      <w:rPr>
                        <w:rFonts w:cs="Times New Roman"/>
                      </w:rPr>
                    </w:pPr>
                  </w:p>
                </w:txbxContent>
              </v:textbox>
            </v:rect>
            <v:shape id="1031" o:spid="_x0000_s1031" o:spt="75" type="#_x0000_t75" style="position:absolute;left:5240;top:6098;height:5499;width:10027;" filled="f" o:preferrelative="t" stroked="f" coordsize="21600,21600">
              <v:path/>
              <v:fill on="f" focussize="0,0"/>
              <v:stroke on="f" joinstyle="miter"/>
              <v:imagedata r:id="rId8" embosscolor="#FFFFFF" o:title=""/>
              <o:lock v:ext="edit" aspectratio="t"/>
            </v:shape>
          </v:group>
        </w:pict>
      </w:r>
      <w:r>
        <w:pict>
          <v:rect id="1036" o:spid="_x0000_s1036" o:spt="1" style="position:absolute;left:0pt;margin-left:39.25pt;margin-top:-19.3pt;height:62.05pt;width:223.1pt;z-index:251659264;mso-width-relative:page;mso-height-relative:page;" filled="f" stroked="f" coordsize="21600,21600">
            <v:path/>
            <v:fill on="f" focussize="0,0"/>
            <v:stroke on="f"/>
            <v:imagedata o:title=""/>
            <o:lock v:ext="edit"/>
            <v:textbox>
              <w:txbxContent>
                <w:p>
                  <w:pPr>
                    <w:jc w:val="distribute"/>
                    <w:rPr>
                      <w:rFonts w:ascii="方正魏碑简体" w:hAnsi="Arial" w:eastAsia="方正魏碑简体" w:cs="Times New Roman"/>
                      <w:b/>
                      <w:bCs/>
                      <w:color w:val="002060"/>
                      <w:kern w:val="0"/>
                      <w:sz w:val="22"/>
                      <w:szCs w:val="22"/>
                    </w:rPr>
                  </w:pPr>
                  <w:r>
                    <w:rPr>
                      <w:rFonts w:ascii="方正魏碑简体" w:hAnsi="Arial" w:eastAsia="方正魏碑简体" w:cs="方正魏碑简体"/>
                      <w:b/>
                      <w:bCs/>
                      <w:color w:val="002060"/>
                      <w:spacing w:val="60"/>
                      <w:kern w:val="24"/>
                      <w:sz w:val="72"/>
                      <w:szCs w:val="72"/>
                    </w:rPr>
                    <w:t>202</w:t>
                  </w:r>
                  <w:r>
                    <w:rPr>
                      <w:rFonts w:hint="eastAsia" w:ascii="方正魏碑简体" w:hAnsi="Arial" w:eastAsia="方正魏碑简体" w:cs="方正魏碑简体"/>
                      <w:b/>
                      <w:bCs/>
                      <w:color w:val="002060"/>
                      <w:spacing w:val="60"/>
                      <w:kern w:val="24"/>
                      <w:sz w:val="72"/>
                      <w:szCs w:val="72"/>
                      <w:lang w:val="en-US" w:eastAsia="zh-CN"/>
                    </w:rPr>
                    <w:t>2</w:t>
                  </w:r>
                  <w:r>
                    <w:rPr>
                      <w:rFonts w:hint="eastAsia" w:ascii="方正魏碑简体" w:hAnsi="Arial" w:eastAsia="方正魏碑简体" w:cs="方正魏碑简体"/>
                      <w:b/>
                      <w:bCs/>
                      <w:color w:val="002060"/>
                      <w:spacing w:val="60"/>
                      <w:kern w:val="24"/>
                      <w:sz w:val="72"/>
                      <w:szCs w:val="72"/>
                    </w:rPr>
                    <w:t>年度</w:t>
                  </w:r>
                </w:p>
              </w:txbxContent>
            </v:textbox>
          </v:rect>
        </w:pict>
      </w:r>
      <w:r>
        <w:rPr>
          <w:rFonts w:cs="Times New Roman"/>
        </w:rPr>
        <w:br w:type="page"/>
      </w:r>
    </w:p>
    <w:p>
      <w:pPr>
        <w:spacing w:line="600" w:lineRule="auto"/>
        <w:jc w:val="center"/>
        <w:rPr>
          <w:rFonts w:ascii="黑体" w:hAnsi="黑体" w:eastAsia="黑体" w:cs="Times New Roman"/>
          <w:sz w:val="56"/>
          <w:szCs w:val="56"/>
        </w:rPr>
      </w:pPr>
      <w:r>
        <w:pict>
          <v:shape id="图片 71" o:spid="_x0000_s1038" o:spt="75" alt="32313538393631303b32313538393632373bc4bfc2bc" type="#_x0000_t75" style="position:absolute;left:0pt;margin-left:100.4pt;margin-top:20.4pt;height:50.35pt;width:50.35pt;mso-position-vertical-relative:margin;z-index:251659264;mso-width-relative:page;mso-height-relative:page;" filled="f" o:preferrelative="t" stroked="f" coordsize="21600,21600">
            <v:path/>
            <v:fill on="f" focussize="0,0"/>
            <v:stroke on="f" joinstyle="miter"/>
            <v:imagedata r:id="rId10" o:title=""/>
            <o:lock v:ext="edit" aspectratio="t"/>
          </v:shape>
        </w:pict>
      </w:r>
    </w:p>
    <w:p>
      <w:pPr>
        <w:tabs>
          <w:tab w:val="left" w:pos="2728"/>
        </w:tabs>
        <w:jc w:val="center"/>
        <w:rPr>
          <w:rFonts w:ascii="黑体" w:hAnsi="Times New Roman" w:eastAsia="黑体" w:cs="Times New Roman"/>
          <w:sz w:val="44"/>
          <w:szCs w:val="44"/>
        </w:rPr>
      </w:pPr>
      <w:r>
        <w:rPr>
          <w:rFonts w:hint="eastAsia" w:ascii="黑体" w:hAnsi="Times New Roman" w:eastAsia="黑体" w:cs="黑体"/>
          <w:sz w:val="44"/>
          <w:szCs w:val="44"/>
        </w:rPr>
        <w:t>目录</w:t>
      </w:r>
    </w:p>
    <w:p>
      <w:pPr>
        <w:widowControl/>
        <w:spacing w:after="160" w:line="580" w:lineRule="exact"/>
        <w:ind w:firstLine="640" w:firstLineChars="200"/>
        <w:rPr>
          <w:rFonts w:ascii="Times New Roman" w:hAnsi="Times New Roman" w:eastAsia="仿宋_GB2312" w:cs="Times New Roman"/>
          <w:sz w:val="24"/>
          <w:szCs w:val="24"/>
        </w:rPr>
      </w:pPr>
      <w:r>
        <w:rPr>
          <w:rFonts w:hint="eastAsia" w:ascii="Times New Roman" w:hAnsi="Times New Roman" w:eastAsia="黑体" w:cs="黑体"/>
          <w:sz w:val="32"/>
          <w:szCs w:val="32"/>
        </w:rPr>
        <w:t>第一部分</w:t>
      </w:r>
      <w:r>
        <w:rPr>
          <w:rFonts w:hint="eastAsia" w:ascii="Times New Roman" w:hAnsi="Times New Roman" w:eastAsia="黑体" w:cs="黑体"/>
          <w:sz w:val="32"/>
          <w:szCs w:val="32"/>
          <w:lang w:val="en-US" w:eastAsia="zh-CN"/>
        </w:rPr>
        <w:t xml:space="preserve">   </w:t>
      </w:r>
      <w:r>
        <w:rPr>
          <w:rFonts w:hint="eastAsia" w:ascii="Times New Roman" w:hAnsi="Times New Roman" w:eastAsia="黑体" w:cs="黑体"/>
          <w:sz w:val="32"/>
          <w:szCs w:val="32"/>
          <w:lang w:eastAsia="zh-CN"/>
        </w:rPr>
        <w:t>部门</w:t>
      </w:r>
      <w:r>
        <w:rPr>
          <w:rFonts w:hint="eastAsia" w:ascii="Times New Roman" w:hAnsi="Times New Roman" w:eastAsia="黑体" w:cs="黑体"/>
          <w:sz w:val="32"/>
          <w:szCs w:val="32"/>
        </w:rPr>
        <w:t>概况</w:t>
      </w:r>
    </w:p>
    <w:p>
      <w:pPr>
        <w:widowControl/>
        <w:spacing w:after="160" w:line="580" w:lineRule="exact"/>
        <w:ind w:firstLine="1273" w:firstLineChars="398"/>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一、</w:t>
      </w:r>
      <w:r>
        <w:rPr>
          <w:rFonts w:hint="eastAsia" w:ascii="Times New Roman" w:hAnsi="Times New Roman" w:eastAsia="仿宋_GB2312" w:cs="仿宋_GB2312"/>
          <w:sz w:val="32"/>
          <w:szCs w:val="32"/>
          <w:lang w:eastAsia="zh-CN"/>
        </w:rPr>
        <w:t>部门</w:t>
      </w:r>
      <w:r>
        <w:rPr>
          <w:rFonts w:hint="eastAsia" w:ascii="Times New Roman" w:hAnsi="Times New Roman" w:eastAsia="仿宋_GB2312" w:cs="仿宋_GB2312"/>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二、机构设置</w:t>
      </w:r>
    </w:p>
    <w:p>
      <w:pPr>
        <w:widowControl/>
        <w:spacing w:after="160" w:line="580" w:lineRule="exact"/>
        <w:ind w:firstLine="640" w:firstLineChars="200"/>
        <w:rPr>
          <w:rFonts w:ascii="Times New Roman" w:hAnsi="Times New Roman" w:eastAsia="仿宋_GB2312" w:cs="Times New Roman"/>
          <w:sz w:val="20"/>
          <w:szCs w:val="20"/>
        </w:rPr>
      </w:pPr>
      <w:r>
        <w:rPr>
          <w:rFonts w:hint="eastAsia" w:ascii="Times New Roman" w:hAnsi="Times New Roman" w:eastAsia="黑体" w:cs="黑体"/>
          <w:sz w:val="32"/>
          <w:szCs w:val="32"/>
        </w:rPr>
        <w:t>第二部分</w:t>
      </w:r>
      <w:r>
        <w:rPr>
          <w:rFonts w:ascii="Times New Roman" w:hAnsi="Times New Roman" w:eastAsia="黑体" w:cs="Times New Roman"/>
          <w:sz w:val="32"/>
          <w:szCs w:val="32"/>
        </w:rPr>
        <w:t xml:space="preserve">   202</w:t>
      </w:r>
      <w:r>
        <w:rPr>
          <w:rFonts w:hint="eastAsia" w:ascii="Times New Roman" w:hAnsi="Times New Roman" w:eastAsia="黑体" w:cs="Times New Roman"/>
          <w:sz w:val="32"/>
          <w:szCs w:val="32"/>
          <w:lang w:val="en-US" w:eastAsia="zh-CN"/>
        </w:rPr>
        <w:t>2</w:t>
      </w:r>
      <w:r>
        <w:rPr>
          <w:rFonts w:hint="eastAsia" w:ascii="Times New Roman" w:hAnsi="Times New Roman" w:eastAsia="黑体" w:cs="黑体"/>
          <w:sz w:val="32"/>
          <w:szCs w:val="32"/>
        </w:rPr>
        <w:t>年度</w:t>
      </w:r>
      <w:r>
        <w:rPr>
          <w:rFonts w:hint="eastAsia" w:ascii="Times New Roman" w:hAnsi="Times New Roman" w:eastAsia="黑体" w:cs="黑体"/>
          <w:sz w:val="32"/>
          <w:szCs w:val="32"/>
          <w:lang w:eastAsia="zh-CN"/>
        </w:rPr>
        <w:t>部门</w:t>
      </w:r>
      <w:r>
        <w:rPr>
          <w:rFonts w:hint="eastAsia" w:ascii="Times New Roman" w:hAnsi="Times New Roman" w:eastAsia="黑体" w:cs="黑体"/>
          <w:sz w:val="32"/>
          <w:szCs w:val="32"/>
        </w:rPr>
        <w:t>决算报表</w:t>
      </w:r>
    </w:p>
    <w:p>
      <w:pPr>
        <w:widowControl/>
        <w:spacing w:after="160" w:line="580" w:lineRule="exact"/>
        <w:ind w:firstLine="640" w:firstLineChars="200"/>
        <w:rPr>
          <w:rFonts w:ascii="Times New Roman" w:hAnsi="Times New Roman" w:eastAsia="黑体" w:cs="Times New Roman"/>
          <w:sz w:val="32"/>
          <w:szCs w:val="32"/>
        </w:rPr>
      </w:pPr>
      <w:r>
        <w:rPr>
          <w:rFonts w:hint="eastAsia" w:ascii="Times New Roman" w:hAnsi="Times New Roman" w:eastAsia="黑体" w:cs="黑体"/>
          <w:sz w:val="32"/>
          <w:szCs w:val="32"/>
        </w:rPr>
        <w:t>第三部分</w:t>
      </w:r>
      <w:r>
        <w:rPr>
          <w:rFonts w:ascii="Times New Roman" w:hAnsi="Times New Roman" w:eastAsia="黑体" w:cs="Times New Roman"/>
          <w:sz w:val="32"/>
          <w:szCs w:val="32"/>
        </w:rPr>
        <w:t xml:space="preserve">   202</w:t>
      </w:r>
      <w:r>
        <w:rPr>
          <w:rFonts w:hint="eastAsia" w:ascii="Times New Roman" w:hAnsi="Times New Roman" w:eastAsia="黑体" w:cs="Times New Roman"/>
          <w:sz w:val="32"/>
          <w:szCs w:val="32"/>
          <w:lang w:val="en-US" w:eastAsia="zh-CN"/>
        </w:rPr>
        <w:t>2</w:t>
      </w:r>
      <w:r>
        <w:rPr>
          <w:rFonts w:hint="eastAsia" w:ascii="Times New Roman" w:hAnsi="Times New Roman" w:eastAsia="黑体" w:cs="黑体"/>
          <w:sz w:val="32"/>
          <w:szCs w:val="32"/>
        </w:rPr>
        <w:t>年</w:t>
      </w:r>
      <w:r>
        <w:rPr>
          <w:rFonts w:hint="eastAsia" w:ascii="Times New Roman" w:hAnsi="Times New Roman" w:eastAsia="黑体" w:cs="黑体"/>
          <w:sz w:val="32"/>
          <w:szCs w:val="32"/>
          <w:lang w:eastAsia="zh-CN"/>
        </w:rPr>
        <w:t>部门</w:t>
      </w:r>
      <w:r>
        <w:rPr>
          <w:rFonts w:hint="eastAsia" w:ascii="Times New Roman" w:hAnsi="Times New Roman" w:eastAsia="黑体" w:cs="黑体"/>
          <w:sz w:val="32"/>
          <w:szCs w:val="32"/>
        </w:rPr>
        <w:t>决算情况说明</w:t>
      </w:r>
    </w:p>
    <w:p>
      <w:pPr>
        <w:widowControl/>
        <w:spacing w:after="160" w:line="580" w:lineRule="exact"/>
        <w:ind w:firstLine="1280" w:firstLineChars="4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五、一般公共预算“三公”经费支出决算情况说明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六、预算绩效情况说明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七、机关运行经费情况</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八、政府采购情况</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九、国有资产占用情况</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十、其他需要说明的情况</w:t>
      </w:r>
    </w:p>
    <w:p>
      <w:pPr>
        <w:widowControl/>
        <w:spacing w:after="160" w:line="580" w:lineRule="exact"/>
        <w:ind w:firstLine="640" w:firstLineChars="200"/>
        <w:rPr>
          <w:rFonts w:ascii="Times New Roman" w:hAnsi="Times New Roman" w:eastAsia="黑体" w:cs="Times New Roman"/>
          <w:sz w:val="32"/>
          <w:szCs w:val="32"/>
        </w:rPr>
      </w:pPr>
      <w:r>
        <w:rPr>
          <w:rFonts w:hint="eastAsia" w:ascii="Times New Roman" w:hAnsi="Times New Roman" w:eastAsia="黑体" w:cs="黑体"/>
          <w:sz w:val="32"/>
          <w:szCs w:val="32"/>
        </w:rPr>
        <w:t>第四部分名词解释</w:t>
      </w:r>
    </w:p>
    <w:p>
      <w:pPr>
        <w:widowControl/>
        <w:spacing w:after="160" w:line="580" w:lineRule="exact"/>
        <w:ind w:firstLine="640" w:firstLineChars="200"/>
        <w:rPr>
          <w:rFonts w:ascii="Times New Roman" w:hAnsi="Times New Roman" w:eastAsia="黑体" w:cs="Times New Roman"/>
          <w:sz w:val="32"/>
          <w:szCs w:val="32"/>
        </w:rPr>
        <w:sectPr>
          <w:headerReference r:id="rId4" w:type="first"/>
          <w:headerReference r:id="rId3" w:type="default"/>
          <w:pgSz w:w="11906" w:h="16838"/>
          <w:pgMar w:top="1474" w:right="1531" w:bottom="1474" w:left="1531" w:header="851" w:footer="992" w:gutter="0"/>
          <w:cols w:space="0" w:num="1"/>
          <w:titlePg/>
          <w:docGrid w:type="lines" w:linePitch="312" w:charSpace="0"/>
        </w:sectPr>
      </w:pPr>
    </w:p>
    <w:p>
      <w:pPr>
        <w:widowControl/>
        <w:jc w:val="center"/>
        <w:rPr>
          <w:rFonts w:ascii="黑体" w:hAnsi="黑体" w:eastAsia="黑体" w:cs="Times New Roman"/>
          <w:color w:val="000000"/>
          <w:sz w:val="48"/>
          <w:szCs w:val="48"/>
        </w:rPr>
      </w:pPr>
    </w:p>
    <w:p>
      <w:pPr>
        <w:widowControl/>
        <w:jc w:val="center"/>
        <w:rPr>
          <w:rFonts w:ascii="黑体" w:hAnsi="黑体" w:eastAsia="黑体" w:cs="Times New Roman"/>
          <w:color w:val="000000"/>
          <w:sz w:val="48"/>
          <w:szCs w:val="48"/>
        </w:rPr>
      </w:pPr>
    </w:p>
    <w:p>
      <w:pPr>
        <w:widowControl/>
        <w:jc w:val="center"/>
        <w:rPr>
          <w:rFonts w:ascii="黑体" w:hAnsi="黑体" w:eastAsia="黑体" w:cs="Times New Roman"/>
          <w:color w:val="000000"/>
          <w:sz w:val="48"/>
          <w:szCs w:val="48"/>
        </w:rPr>
      </w:pPr>
    </w:p>
    <w:p>
      <w:pPr>
        <w:widowControl/>
        <w:jc w:val="center"/>
        <w:rPr>
          <w:rFonts w:ascii="黑体" w:hAnsi="黑体" w:eastAsia="黑体" w:cs="Times New Roman"/>
          <w:color w:val="000000"/>
          <w:sz w:val="48"/>
          <w:szCs w:val="48"/>
        </w:rPr>
      </w:pPr>
    </w:p>
    <w:p>
      <w:pPr>
        <w:widowControl/>
        <w:jc w:val="center"/>
        <w:rPr>
          <w:rFonts w:ascii="黑体" w:hAnsi="黑体" w:eastAsia="黑体" w:cs="Times New Roman"/>
          <w:color w:val="000000"/>
          <w:sz w:val="48"/>
          <w:szCs w:val="48"/>
        </w:rPr>
      </w:pPr>
    </w:p>
    <w:p>
      <w:pPr>
        <w:widowControl/>
        <w:jc w:val="center"/>
        <w:rPr>
          <w:rFonts w:ascii="黑体" w:hAnsi="黑体" w:eastAsia="黑体" w:cs="Times New Roman"/>
          <w:color w:val="000000"/>
          <w:sz w:val="48"/>
          <w:szCs w:val="48"/>
        </w:rPr>
      </w:pPr>
    </w:p>
    <w:p>
      <w:pPr>
        <w:widowControl/>
        <w:jc w:val="center"/>
        <w:rPr>
          <w:rFonts w:ascii="黑体" w:hAnsi="黑体" w:eastAsia="黑体" w:cs="Times New Roman"/>
          <w:color w:val="000000"/>
          <w:sz w:val="48"/>
          <w:szCs w:val="48"/>
        </w:rPr>
      </w:pPr>
      <w:r>
        <w:pict>
          <v:shape id="图片 67" o:spid="_x0000_s1039" o:spt="75" alt="32313535393135353b32313535393132353bd0b4d7d6c2a5" type="#_x0000_t75" style="position:absolute;left:0pt;margin-left:36.25pt;margin-top:199.4pt;height:58.25pt;width:58.25pt;mso-position-vertical-relative:margin;z-index:251659264;mso-width-relative:page;mso-height-relative:page;" filled="f" o:preferrelative="t" stroked="f" coordsize="21600,21600">
            <v:path/>
            <v:fill on="f" focussize="0,0"/>
            <v:stroke on="f" joinstyle="miter"/>
            <v:imagedata r:id="rId11" o:title=""/>
            <o:lock v:ext="edit" aspectratio="t"/>
          </v:shape>
        </w:pict>
      </w:r>
    </w:p>
    <w:p>
      <w:pPr>
        <w:widowControl/>
        <w:jc w:val="center"/>
        <w:rPr>
          <w:rFonts w:ascii="黑体" w:hAnsi="黑体" w:eastAsia="黑体" w:cs="Times New Roman"/>
          <w:color w:val="000000"/>
          <w:sz w:val="44"/>
          <w:szCs w:val="44"/>
        </w:rPr>
      </w:pPr>
      <w:r>
        <w:rPr>
          <w:rFonts w:hint="eastAsia" w:ascii="黑体" w:hAnsi="黑体" w:eastAsia="黑体" w:cs="黑体"/>
          <w:color w:val="000000"/>
          <w:sz w:val="44"/>
          <w:szCs w:val="44"/>
        </w:rPr>
        <w:t>第一部分</w:t>
      </w:r>
      <w:r>
        <w:rPr>
          <w:rFonts w:hint="eastAsia" w:ascii="黑体" w:hAnsi="黑体" w:eastAsia="黑体" w:cs="黑体"/>
          <w:color w:val="000000"/>
          <w:sz w:val="44"/>
          <w:szCs w:val="44"/>
          <w:lang w:eastAsia="zh-CN"/>
        </w:rPr>
        <w:t>部门</w:t>
      </w:r>
      <w:r>
        <w:rPr>
          <w:rFonts w:hint="eastAsia" w:ascii="黑体" w:hAnsi="黑体" w:eastAsia="黑体" w:cs="黑体"/>
          <w:color w:val="000000"/>
          <w:sz w:val="44"/>
          <w:szCs w:val="44"/>
        </w:rPr>
        <w:t>概况</w:t>
      </w:r>
    </w:p>
    <w:p>
      <w:pPr>
        <w:widowControl/>
        <w:spacing w:line="580" w:lineRule="exact"/>
        <w:ind w:firstLine="640" w:firstLineChars="200"/>
        <w:rPr>
          <w:rFonts w:eastAsia="黑体" w:cs="Times New Roman"/>
          <w:sz w:val="32"/>
          <w:szCs w:val="32"/>
        </w:rPr>
      </w:pPr>
    </w:p>
    <w:p>
      <w:pPr>
        <w:rPr>
          <w:rFonts w:ascii="黑体" w:eastAsia="黑体" w:cs="Times New Roman"/>
          <w:kern w:val="0"/>
          <w:sz w:val="32"/>
          <w:szCs w:val="32"/>
        </w:rPr>
      </w:pPr>
      <w:r>
        <w:rPr>
          <w:rFonts w:ascii="黑体" w:eastAsia="黑体" w:cs="Times New Roman"/>
          <w:kern w:val="0"/>
          <w:sz w:val="32"/>
          <w:szCs w:val="32"/>
        </w:rPr>
        <w:br w:type="page"/>
      </w:r>
    </w:p>
    <w:p>
      <w:pPr>
        <w:pStyle w:val="2"/>
        <w:pageBreakBefore w:val="0"/>
        <w:widowControl w:val="0"/>
        <w:kinsoku/>
        <w:wordWrap/>
        <w:overflowPunct/>
        <w:topLinePunct w:val="0"/>
        <w:autoSpaceDE/>
        <w:autoSpaceDN/>
        <w:bidi w:val="0"/>
        <w:adjustRightInd/>
        <w:snapToGrid/>
        <w:spacing w:before="0" w:after="0" w:line="578" w:lineRule="atLeast"/>
        <w:ind w:left="0" w:leftChars="0" w:right="0" w:rightChars="0" w:firstLine="640" w:firstLineChars="200"/>
        <w:jc w:val="left"/>
        <w:textAlignment w:val="auto"/>
        <w:rPr>
          <w:rFonts w:ascii="黑体" w:eastAsia="黑体" w:cs="Times New Roman"/>
          <w:b w:val="0"/>
          <w:bCs w:val="0"/>
          <w:kern w:val="0"/>
          <w:sz w:val="32"/>
          <w:szCs w:val="32"/>
        </w:rPr>
      </w:pPr>
      <w:r>
        <w:rPr>
          <w:rFonts w:hint="eastAsia" w:ascii="黑体" w:eastAsia="黑体" w:cs="黑体"/>
          <w:b w:val="0"/>
          <w:bCs w:val="0"/>
          <w:kern w:val="0"/>
          <w:sz w:val="32"/>
          <w:szCs w:val="32"/>
        </w:rPr>
        <w:t>一、</w:t>
      </w:r>
      <w:r>
        <w:rPr>
          <w:rFonts w:hint="eastAsia" w:ascii="黑体" w:eastAsia="黑体" w:cs="黑体"/>
          <w:b w:val="0"/>
          <w:bCs w:val="0"/>
          <w:kern w:val="0"/>
          <w:sz w:val="32"/>
          <w:szCs w:val="32"/>
          <w:lang w:eastAsia="zh-CN"/>
        </w:rPr>
        <w:t>部门</w:t>
      </w:r>
      <w:r>
        <w:rPr>
          <w:rFonts w:hint="eastAsia" w:ascii="黑体" w:eastAsia="黑体" w:cs="黑体"/>
          <w:b w:val="0"/>
          <w:bCs w:val="0"/>
          <w:kern w:val="0"/>
          <w:sz w:val="32"/>
          <w:szCs w:val="32"/>
        </w:rPr>
        <w:t>职责</w:t>
      </w:r>
    </w:p>
    <w:p>
      <w:pPr>
        <w:keepNext w:val="0"/>
        <w:keepLines w:val="0"/>
        <w:pageBreakBefore w:val="0"/>
        <w:widowControl w:val="0"/>
        <w:kinsoku/>
        <w:wordWrap/>
        <w:overflowPunct/>
        <w:topLinePunct w:val="0"/>
        <w:autoSpaceDE/>
        <w:autoSpaceDN/>
        <w:bidi w:val="0"/>
        <w:adjustRightInd/>
        <w:snapToGrid/>
        <w:spacing w:line="578" w:lineRule="atLeast"/>
        <w:ind w:left="0" w:leftChars="0" w:right="0" w:rightChars="0" w:firstLine="640" w:firstLineChars="200"/>
        <w:jc w:val="both"/>
        <w:textAlignment w:val="auto"/>
        <w:outlineLvl w:val="9"/>
        <w:rPr>
          <w:rFonts w:hint="eastAsia" w:ascii="仿宋_GB2312" w:eastAsia="仿宋_GB2312" w:cs="仿宋_GB2312"/>
          <w:kern w:val="0"/>
          <w:sz w:val="32"/>
          <w:szCs w:val="32"/>
          <w:lang w:val="en-US" w:eastAsia="zh-CN"/>
        </w:rPr>
      </w:pPr>
      <w:r>
        <w:rPr>
          <w:rFonts w:hint="eastAsia" w:ascii="仿宋_GB2312" w:eastAsia="仿宋_GB2312" w:cs="仿宋_GB2312"/>
          <w:kern w:val="0"/>
          <w:sz w:val="32"/>
          <w:szCs w:val="32"/>
          <w:lang w:val="en-US" w:eastAsia="zh-CN"/>
        </w:rPr>
        <w:t>1、贯彻落实国家财政、税收、国有资本与财务、会计的法规和政策。</w:t>
      </w:r>
    </w:p>
    <w:p>
      <w:pPr>
        <w:keepNext w:val="0"/>
        <w:keepLines w:val="0"/>
        <w:pageBreakBefore w:val="0"/>
        <w:widowControl w:val="0"/>
        <w:kinsoku/>
        <w:wordWrap/>
        <w:overflowPunct/>
        <w:topLinePunct w:val="0"/>
        <w:autoSpaceDE/>
        <w:autoSpaceDN/>
        <w:bidi w:val="0"/>
        <w:adjustRightInd/>
        <w:snapToGrid/>
        <w:spacing w:line="578" w:lineRule="atLeast"/>
        <w:ind w:left="0" w:leftChars="0" w:right="0" w:rightChars="0" w:firstLine="640" w:firstLineChars="200"/>
        <w:jc w:val="both"/>
        <w:textAlignment w:val="auto"/>
        <w:outlineLvl w:val="9"/>
        <w:rPr>
          <w:rFonts w:hint="eastAsia" w:ascii="仿宋_GB2312" w:eastAsia="仿宋_GB2312" w:cs="仿宋_GB2312"/>
          <w:kern w:val="0"/>
          <w:sz w:val="32"/>
          <w:szCs w:val="32"/>
          <w:lang w:val="en-US" w:eastAsia="zh-CN"/>
        </w:rPr>
      </w:pPr>
      <w:r>
        <w:rPr>
          <w:rFonts w:hint="eastAsia" w:ascii="仿宋_GB2312" w:eastAsia="仿宋_GB2312" w:cs="仿宋_GB2312"/>
          <w:kern w:val="0"/>
          <w:sz w:val="32"/>
          <w:szCs w:val="32"/>
          <w:lang w:val="en-US" w:eastAsia="zh-CN"/>
        </w:rPr>
        <w:t>2、根据全区国民经济和社会发展规划，拟定全区财政发展战略和中长期规划的建议。</w:t>
      </w:r>
    </w:p>
    <w:p>
      <w:pPr>
        <w:keepNext w:val="0"/>
        <w:keepLines w:val="0"/>
        <w:pageBreakBefore w:val="0"/>
        <w:widowControl w:val="0"/>
        <w:kinsoku/>
        <w:wordWrap/>
        <w:overflowPunct/>
        <w:topLinePunct w:val="0"/>
        <w:autoSpaceDE/>
        <w:autoSpaceDN/>
        <w:bidi w:val="0"/>
        <w:adjustRightInd/>
        <w:snapToGrid/>
        <w:spacing w:line="578" w:lineRule="atLeast"/>
        <w:ind w:left="0" w:leftChars="0" w:right="0" w:rightChars="0" w:firstLine="640" w:firstLineChars="200"/>
        <w:jc w:val="both"/>
        <w:textAlignment w:val="auto"/>
        <w:outlineLvl w:val="9"/>
        <w:rPr>
          <w:rFonts w:hint="eastAsia" w:ascii="仿宋_GB2312" w:eastAsia="仿宋_GB2312" w:cs="仿宋_GB2312"/>
          <w:kern w:val="0"/>
          <w:sz w:val="32"/>
          <w:szCs w:val="32"/>
          <w:lang w:val="en-US" w:eastAsia="zh-CN"/>
        </w:rPr>
      </w:pPr>
      <w:r>
        <w:rPr>
          <w:rFonts w:hint="eastAsia" w:ascii="仿宋_GB2312" w:eastAsia="仿宋_GB2312" w:cs="仿宋_GB2312"/>
          <w:kern w:val="0"/>
          <w:sz w:val="32"/>
          <w:szCs w:val="32"/>
          <w:lang w:val="en-US" w:eastAsia="zh-CN"/>
        </w:rPr>
        <w:t>3、按法律程序向区人民代表大会报告财政预算草案和预算执行情况。监督财政预算执行情况。</w:t>
      </w:r>
    </w:p>
    <w:p>
      <w:pPr>
        <w:keepNext w:val="0"/>
        <w:keepLines w:val="0"/>
        <w:pageBreakBefore w:val="0"/>
        <w:widowControl w:val="0"/>
        <w:kinsoku/>
        <w:wordWrap/>
        <w:overflowPunct/>
        <w:topLinePunct w:val="0"/>
        <w:autoSpaceDE/>
        <w:autoSpaceDN/>
        <w:bidi w:val="0"/>
        <w:adjustRightInd/>
        <w:snapToGrid/>
        <w:spacing w:line="578" w:lineRule="atLeast"/>
        <w:ind w:left="0" w:leftChars="0" w:right="0" w:rightChars="0" w:firstLine="640" w:firstLineChars="200"/>
        <w:jc w:val="both"/>
        <w:textAlignment w:val="auto"/>
        <w:outlineLvl w:val="9"/>
        <w:rPr>
          <w:rFonts w:hint="eastAsia" w:ascii="仿宋_GB2312" w:eastAsia="仿宋_GB2312" w:cs="仿宋_GB2312"/>
          <w:kern w:val="0"/>
          <w:sz w:val="32"/>
          <w:szCs w:val="32"/>
          <w:lang w:val="en-US" w:eastAsia="zh-CN"/>
        </w:rPr>
      </w:pPr>
      <w:r>
        <w:rPr>
          <w:rFonts w:hint="eastAsia" w:ascii="仿宋_GB2312" w:eastAsia="仿宋_GB2312" w:cs="仿宋_GB2312"/>
          <w:kern w:val="0"/>
          <w:sz w:val="32"/>
          <w:szCs w:val="32"/>
          <w:lang w:val="en-US" w:eastAsia="zh-CN"/>
        </w:rPr>
        <w:t>4、运用财税政策实施宏观调控，制定区与乡（镇）区的分配政策，促进经济事业发展。</w:t>
      </w:r>
    </w:p>
    <w:p>
      <w:pPr>
        <w:keepNext w:val="0"/>
        <w:keepLines w:val="0"/>
        <w:pageBreakBefore w:val="0"/>
        <w:widowControl w:val="0"/>
        <w:kinsoku/>
        <w:wordWrap/>
        <w:overflowPunct/>
        <w:topLinePunct w:val="0"/>
        <w:autoSpaceDE/>
        <w:autoSpaceDN/>
        <w:bidi w:val="0"/>
        <w:adjustRightInd/>
        <w:snapToGrid/>
        <w:spacing w:line="578" w:lineRule="atLeast"/>
        <w:ind w:left="0" w:leftChars="0" w:right="0" w:rightChars="0" w:firstLine="640" w:firstLineChars="200"/>
        <w:jc w:val="both"/>
        <w:textAlignment w:val="auto"/>
        <w:outlineLvl w:val="9"/>
        <w:rPr>
          <w:rFonts w:hint="eastAsia" w:ascii="仿宋_GB2312" w:eastAsia="仿宋_GB2312" w:cs="仿宋_GB2312"/>
          <w:kern w:val="0"/>
          <w:sz w:val="32"/>
          <w:szCs w:val="32"/>
          <w:lang w:val="en-US" w:eastAsia="zh-CN"/>
        </w:rPr>
      </w:pPr>
      <w:r>
        <w:rPr>
          <w:rFonts w:hint="eastAsia" w:ascii="仿宋_GB2312" w:eastAsia="仿宋_GB2312" w:cs="仿宋_GB2312"/>
          <w:kern w:val="0"/>
          <w:sz w:val="32"/>
          <w:szCs w:val="32"/>
          <w:lang w:val="en-US" w:eastAsia="zh-CN"/>
        </w:rPr>
        <w:t>5、管理财政收入。制定年度财政收入计划，落实财政增收措施，管理和落实收入减免政策，负责区级筹融资业务。</w:t>
      </w:r>
    </w:p>
    <w:p>
      <w:pPr>
        <w:keepNext w:val="0"/>
        <w:keepLines w:val="0"/>
        <w:pageBreakBefore w:val="0"/>
        <w:widowControl w:val="0"/>
        <w:kinsoku/>
        <w:wordWrap/>
        <w:overflowPunct/>
        <w:topLinePunct w:val="0"/>
        <w:autoSpaceDE/>
        <w:autoSpaceDN/>
        <w:bidi w:val="0"/>
        <w:adjustRightInd/>
        <w:snapToGrid/>
        <w:spacing w:line="578" w:lineRule="atLeast"/>
        <w:ind w:left="0" w:leftChars="0" w:right="0" w:rightChars="0" w:firstLine="640" w:firstLineChars="200"/>
        <w:jc w:val="both"/>
        <w:textAlignment w:val="auto"/>
        <w:outlineLvl w:val="9"/>
        <w:rPr>
          <w:rFonts w:hint="eastAsia" w:ascii="仿宋_GB2312" w:eastAsia="仿宋_GB2312" w:cs="仿宋_GB2312"/>
          <w:kern w:val="0"/>
          <w:sz w:val="32"/>
          <w:szCs w:val="32"/>
          <w:lang w:val="en-US" w:eastAsia="zh-CN"/>
        </w:rPr>
      </w:pPr>
      <w:r>
        <w:rPr>
          <w:rFonts w:hint="eastAsia" w:ascii="仿宋_GB2312" w:eastAsia="仿宋_GB2312" w:cs="仿宋_GB2312"/>
          <w:kern w:val="0"/>
          <w:sz w:val="32"/>
          <w:szCs w:val="32"/>
          <w:lang w:val="en-US" w:eastAsia="zh-CN"/>
        </w:rPr>
        <w:t>6、管理全区财政支出。落实年度支出预算，确保公教人员工资发放和政权机构的正常运转，保证重点支出需要。制定开支标准和支出政策，实行集中支付管理，管理政府采购和控制社会集团消费。负责全区政府采购、集中收费和政府投资评审的管理工作。</w:t>
      </w:r>
    </w:p>
    <w:p>
      <w:pPr>
        <w:keepNext w:val="0"/>
        <w:keepLines w:val="0"/>
        <w:pageBreakBefore w:val="0"/>
        <w:widowControl w:val="0"/>
        <w:kinsoku/>
        <w:wordWrap/>
        <w:overflowPunct/>
        <w:topLinePunct w:val="0"/>
        <w:autoSpaceDE/>
        <w:autoSpaceDN/>
        <w:bidi w:val="0"/>
        <w:adjustRightInd/>
        <w:snapToGrid/>
        <w:spacing w:line="578" w:lineRule="atLeast"/>
        <w:ind w:left="0" w:leftChars="0" w:right="0" w:rightChars="0" w:firstLine="640" w:firstLineChars="200"/>
        <w:jc w:val="both"/>
        <w:textAlignment w:val="auto"/>
        <w:outlineLvl w:val="9"/>
        <w:rPr>
          <w:rFonts w:hint="eastAsia" w:ascii="仿宋_GB2312" w:eastAsia="仿宋_GB2312" w:cs="仿宋_GB2312"/>
          <w:kern w:val="0"/>
          <w:sz w:val="32"/>
          <w:szCs w:val="32"/>
          <w:lang w:val="en-US" w:eastAsia="zh-CN"/>
        </w:rPr>
      </w:pPr>
      <w:r>
        <w:rPr>
          <w:rFonts w:hint="eastAsia" w:ascii="仿宋_GB2312" w:eastAsia="仿宋_GB2312" w:cs="仿宋_GB2312"/>
          <w:kern w:val="0"/>
          <w:sz w:val="32"/>
          <w:szCs w:val="32"/>
          <w:lang w:val="en-US" w:eastAsia="zh-CN"/>
        </w:rPr>
        <w:t>7、负责管理全区国有资产，组织实施清产核资、产权界定、股权管理，负责国有资本金统计分析，指导资产评估业务。</w:t>
      </w:r>
    </w:p>
    <w:p>
      <w:pPr>
        <w:keepNext w:val="0"/>
        <w:keepLines w:val="0"/>
        <w:pageBreakBefore w:val="0"/>
        <w:widowControl w:val="0"/>
        <w:kinsoku/>
        <w:wordWrap/>
        <w:overflowPunct/>
        <w:topLinePunct w:val="0"/>
        <w:autoSpaceDE/>
        <w:autoSpaceDN/>
        <w:bidi w:val="0"/>
        <w:adjustRightInd/>
        <w:snapToGrid/>
        <w:spacing w:line="578" w:lineRule="atLeast"/>
        <w:ind w:left="0" w:leftChars="0" w:right="0" w:rightChars="0" w:firstLine="640" w:firstLineChars="200"/>
        <w:jc w:val="both"/>
        <w:textAlignment w:val="auto"/>
        <w:outlineLvl w:val="9"/>
        <w:rPr>
          <w:rFonts w:hint="eastAsia" w:ascii="仿宋_GB2312" w:eastAsia="仿宋_GB2312" w:cs="仿宋_GB2312"/>
          <w:kern w:val="0"/>
          <w:sz w:val="32"/>
          <w:szCs w:val="32"/>
          <w:lang w:val="en-US" w:eastAsia="zh-CN"/>
        </w:rPr>
      </w:pPr>
      <w:r>
        <w:rPr>
          <w:rFonts w:hint="eastAsia" w:ascii="仿宋_GB2312" w:eastAsia="仿宋_GB2312" w:cs="仿宋_GB2312"/>
          <w:kern w:val="0"/>
          <w:sz w:val="32"/>
          <w:szCs w:val="32"/>
          <w:lang w:val="en-US" w:eastAsia="zh-CN"/>
        </w:rPr>
        <w:t>8、负责政府性基金和行政事业性收费等非税收入资金的管理工作。</w:t>
      </w:r>
    </w:p>
    <w:p>
      <w:pPr>
        <w:keepNext w:val="0"/>
        <w:keepLines w:val="0"/>
        <w:pageBreakBefore w:val="0"/>
        <w:widowControl w:val="0"/>
        <w:kinsoku/>
        <w:wordWrap/>
        <w:overflowPunct/>
        <w:topLinePunct w:val="0"/>
        <w:autoSpaceDE/>
        <w:autoSpaceDN/>
        <w:bidi w:val="0"/>
        <w:adjustRightInd/>
        <w:snapToGrid/>
        <w:spacing w:line="578" w:lineRule="atLeast"/>
        <w:ind w:left="0" w:leftChars="0" w:right="0" w:rightChars="0" w:firstLine="640" w:firstLineChars="200"/>
        <w:jc w:val="both"/>
        <w:textAlignment w:val="auto"/>
        <w:outlineLvl w:val="9"/>
        <w:rPr>
          <w:rFonts w:hint="eastAsia" w:ascii="仿宋_GB2312" w:eastAsia="仿宋_GB2312" w:cs="仿宋_GB2312"/>
          <w:kern w:val="0"/>
          <w:sz w:val="32"/>
          <w:szCs w:val="32"/>
          <w:lang w:val="en-US" w:eastAsia="zh-CN"/>
        </w:rPr>
      </w:pPr>
      <w:r>
        <w:rPr>
          <w:rFonts w:hint="eastAsia" w:ascii="仿宋_GB2312" w:eastAsia="仿宋_GB2312" w:cs="仿宋_GB2312"/>
          <w:kern w:val="0"/>
          <w:sz w:val="32"/>
          <w:szCs w:val="32"/>
          <w:lang w:val="en-US" w:eastAsia="zh-CN"/>
        </w:rPr>
        <w:t>9、管理财政投资建设项目的融资，参与立项、招投标工作，对工程项目建设全过程进行监管，并对项目的预算决算进行审核。</w:t>
      </w:r>
    </w:p>
    <w:p>
      <w:pPr>
        <w:keepNext w:val="0"/>
        <w:keepLines w:val="0"/>
        <w:pageBreakBefore w:val="0"/>
        <w:widowControl w:val="0"/>
        <w:kinsoku/>
        <w:wordWrap/>
        <w:overflowPunct/>
        <w:topLinePunct w:val="0"/>
        <w:autoSpaceDE/>
        <w:autoSpaceDN/>
        <w:bidi w:val="0"/>
        <w:adjustRightInd/>
        <w:snapToGrid/>
        <w:spacing w:line="578" w:lineRule="atLeast"/>
        <w:ind w:left="0" w:leftChars="0" w:right="0" w:rightChars="0" w:firstLine="640" w:firstLineChars="200"/>
        <w:jc w:val="both"/>
        <w:textAlignment w:val="auto"/>
        <w:outlineLvl w:val="9"/>
        <w:rPr>
          <w:rFonts w:hint="eastAsia" w:ascii="仿宋_GB2312" w:eastAsia="仿宋_GB2312" w:cs="仿宋_GB2312"/>
          <w:kern w:val="0"/>
          <w:sz w:val="32"/>
          <w:szCs w:val="32"/>
          <w:lang w:val="en-US" w:eastAsia="zh-CN"/>
        </w:rPr>
      </w:pPr>
      <w:r>
        <w:rPr>
          <w:rFonts w:hint="eastAsia" w:ascii="仿宋_GB2312" w:eastAsia="仿宋_GB2312" w:cs="仿宋_GB2312"/>
          <w:kern w:val="0"/>
          <w:sz w:val="32"/>
          <w:szCs w:val="32"/>
          <w:lang w:val="en-US" w:eastAsia="zh-CN"/>
        </w:rPr>
        <w:t>10、负责政府投资的经营性项目的资本注入、参股、收益和监督管理，主要包括：重点项目资本金和其他财政性资金。</w:t>
      </w:r>
    </w:p>
    <w:p>
      <w:pPr>
        <w:keepNext w:val="0"/>
        <w:keepLines w:val="0"/>
        <w:pageBreakBefore w:val="0"/>
        <w:widowControl w:val="0"/>
        <w:kinsoku/>
        <w:wordWrap/>
        <w:overflowPunct/>
        <w:topLinePunct w:val="0"/>
        <w:autoSpaceDE/>
        <w:autoSpaceDN/>
        <w:bidi w:val="0"/>
        <w:adjustRightInd/>
        <w:snapToGrid/>
        <w:spacing w:line="578" w:lineRule="atLeast"/>
        <w:ind w:left="0" w:leftChars="0" w:right="0" w:rightChars="0" w:firstLine="640" w:firstLineChars="200"/>
        <w:jc w:val="both"/>
        <w:textAlignment w:val="auto"/>
        <w:outlineLvl w:val="9"/>
        <w:rPr>
          <w:rFonts w:hint="eastAsia" w:ascii="仿宋_GB2312" w:eastAsia="仿宋_GB2312" w:cs="仿宋_GB2312"/>
          <w:kern w:val="0"/>
          <w:sz w:val="32"/>
          <w:szCs w:val="32"/>
          <w:lang w:val="en-US" w:eastAsia="zh-CN"/>
        </w:rPr>
      </w:pPr>
      <w:r>
        <w:rPr>
          <w:rFonts w:hint="eastAsia" w:ascii="仿宋_GB2312" w:eastAsia="仿宋_GB2312" w:cs="仿宋_GB2312"/>
          <w:kern w:val="0"/>
          <w:sz w:val="32"/>
          <w:szCs w:val="32"/>
          <w:lang w:val="en-US" w:eastAsia="zh-CN"/>
        </w:rPr>
        <w:t>11、管理区级财政社会保障支出。</w:t>
      </w:r>
    </w:p>
    <w:p>
      <w:pPr>
        <w:keepNext w:val="0"/>
        <w:keepLines w:val="0"/>
        <w:pageBreakBefore w:val="0"/>
        <w:widowControl w:val="0"/>
        <w:kinsoku/>
        <w:wordWrap/>
        <w:overflowPunct/>
        <w:topLinePunct w:val="0"/>
        <w:autoSpaceDE/>
        <w:autoSpaceDN/>
        <w:bidi w:val="0"/>
        <w:adjustRightInd/>
        <w:snapToGrid/>
        <w:spacing w:line="578" w:lineRule="atLeast"/>
        <w:ind w:left="0" w:leftChars="0" w:right="0" w:rightChars="0" w:firstLine="640" w:firstLineChars="200"/>
        <w:jc w:val="both"/>
        <w:textAlignment w:val="auto"/>
        <w:outlineLvl w:val="9"/>
        <w:rPr>
          <w:rFonts w:hint="eastAsia" w:ascii="仿宋_GB2312" w:eastAsia="仿宋_GB2312" w:cs="仿宋_GB2312"/>
          <w:kern w:val="0"/>
          <w:sz w:val="32"/>
          <w:szCs w:val="32"/>
          <w:lang w:val="en-US" w:eastAsia="zh-CN"/>
        </w:rPr>
      </w:pPr>
      <w:r>
        <w:rPr>
          <w:rFonts w:hint="eastAsia" w:ascii="仿宋_GB2312" w:eastAsia="仿宋_GB2312" w:cs="仿宋_GB2312"/>
          <w:kern w:val="0"/>
          <w:sz w:val="32"/>
          <w:szCs w:val="32"/>
          <w:lang w:val="en-US" w:eastAsia="zh-CN"/>
        </w:rPr>
        <w:t>12、管理和指导全区会计工作。</w:t>
      </w:r>
    </w:p>
    <w:p>
      <w:pPr>
        <w:keepNext w:val="0"/>
        <w:keepLines w:val="0"/>
        <w:pageBreakBefore w:val="0"/>
        <w:widowControl w:val="0"/>
        <w:kinsoku/>
        <w:wordWrap/>
        <w:overflowPunct/>
        <w:topLinePunct w:val="0"/>
        <w:autoSpaceDE/>
        <w:autoSpaceDN/>
        <w:bidi w:val="0"/>
        <w:adjustRightInd/>
        <w:snapToGrid/>
        <w:spacing w:line="578" w:lineRule="atLeast"/>
        <w:ind w:left="0" w:leftChars="0" w:right="0" w:rightChars="0" w:firstLine="640" w:firstLineChars="200"/>
        <w:jc w:val="both"/>
        <w:textAlignment w:val="auto"/>
        <w:outlineLvl w:val="9"/>
        <w:rPr>
          <w:rFonts w:hint="eastAsia" w:ascii="仿宋_GB2312" w:eastAsia="仿宋_GB2312" w:cs="仿宋_GB2312"/>
          <w:kern w:val="0"/>
          <w:sz w:val="32"/>
          <w:szCs w:val="32"/>
          <w:lang w:val="en-US" w:eastAsia="zh-CN"/>
        </w:rPr>
      </w:pPr>
      <w:r>
        <w:rPr>
          <w:rFonts w:hint="eastAsia" w:ascii="仿宋_GB2312" w:eastAsia="仿宋_GB2312" w:cs="仿宋_GB2312"/>
          <w:kern w:val="0"/>
          <w:sz w:val="32"/>
          <w:szCs w:val="32"/>
          <w:lang w:val="en-US" w:eastAsia="zh-CN"/>
        </w:rPr>
        <w:t>13、负责监督检查财税方针政策、法规和制度的执行情况，拟定全区财政、财务、会计工作的地方管理办法。</w:t>
      </w:r>
    </w:p>
    <w:p>
      <w:pPr>
        <w:keepNext w:val="0"/>
        <w:keepLines w:val="0"/>
        <w:pageBreakBefore w:val="0"/>
        <w:widowControl w:val="0"/>
        <w:kinsoku/>
        <w:wordWrap/>
        <w:overflowPunct/>
        <w:topLinePunct w:val="0"/>
        <w:autoSpaceDE/>
        <w:autoSpaceDN/>
        <w:bidi w:val="0"/>
        <w:adjustRightInd/>
        <w:snapToGrid/>
        <w:spacing w:line="578" w:lineRule="atLeast"/>
        <w:ind w:left="0" w:leftChars="0" w:right="0" w:rightChars="0" w:firstLine="640" w:firstLineChars="200"/>
        <w:jc w:val="both"/>
        <w:textAlignment w:val="auto"/>
        <w:outlineLvl w:val="9"/>
        <w:rPr>
          <w:rFonts w:hint="eastAsia" w:ascii="仿宋_GB2312" w:eastAsia="仿宋_GB2312" w:cs="仿宋_GB2312"/>
          <w:kern w:val="0"/>
          <w:sz w:val="32"/>
          <w:szCs w:val="32"/>
          <w:lang w:val="en-US" w:eastAsia="zh-CN"/>
        </w:rPr>
      </w:pPr>
      <w:r>
        <w:rPr>
          <w:rFonts w:hint="eastAsia" w:ascii="仿宋_GB2312" w:eastAsia="仿宋_GB2312" w:cs="仿宋_GB2312"/>
          <w:kern w:val="0"/>
          <w:sz w:val="32"/>
          <w:szCs w:val="32"/>
          <w:lang w:val="en-US" w:eastAsia="zh-CN"/>
        </w:rPr>
        <w:t>14、监督财政性资金的使用情况，查处违反财经纪律的案件。</w:t>
      </w:r>
    </w:p>
    <w:p>
      <w:pPr>
        <w:keepNext w:val="0"/>
        <w:keepLines w:val="0"/>
        <w:pageBreakBefore w:val="0"/>
        <w:widowControl w:val="0"/>
        <w:kinsoku/>
        <w:wordWrap/>
        <w:overflowPunct/>
        <w:topLinePunct w:val="0"/>
        <w:autoSpaceDE/>
        <w:autoSpaceDN/>
        <w:bidi w:val="0"/>
        <w:adjustRightInd/>
        <w:snapToGrid/>
        <w:spacing w:line="578" w:lineRule="atLeast"/>
        <w:ind w:left="0" w:leftChars="0" w:right="0" w:rightChars="0" w:firstLine="640" w:firstLineChars="200"/>
        <w:jc w:val="both"/>
        <w:textAlignment w:val="auto"/>
        <w:outlineLvl w:val="9"/>
        <w:rPr>
          <w:rFonts w:hint="eastAsia" w:ascii="仿宋_GB2312" w:eastAsia="仿宋_GB2312" w:cs="仿宋_GB2312"/>
          <w:kern w:val="0"/>
          <w:sz w:val="32"/>
          <w:szCs w:val="32"/>
          <w:lang w:val="en-US" w:eastAsia="zh-CN"/>
        </w:rPr>
      </w:pPr>
      <w:r>
        <w:rPr>
          <w:rFonts w:hint="eastAsia" w:ascii="仿宋_GB2312" w:eastAsia="仿宋_GB2312" w:cs="仿宋_GB2312"/>
          <w:kern w:val="0"/>
          <w:sz w:val="32"/>
          <w:szCs w:val="32"/>
          <w:lang w:val="en-US" w:eastAsia="zh-CN"/>
        </w:rPr>
        <w:t>15、制定财政科学研究和教育培训规划；组织财政人员培训；负责财政信息和财政宣传工作。</w:t>
      </w:r>
    </w:p>
    <w:p>
      <w:pPr>
        <w:keepNext w:val="0"/>
        <w:keepLines w:val="0"/>
        <w:pageBreakBefore w:val="0"/>
        <w:widowControl w:val="0"/>
        <w:kinsoku/>
        <w:wordWrap/>
        <w:overflowPunct/>
        <w:topLinePunct w:val="0"/>
        <w:autoSpaceDE/>
        <w:autoSpaceDN/>
        <w:bidi w:val="0"/>
        <w:adjustRightInd/>
        <w:snapToGrid/>
        <w:spacing w:line="578" w:lineRule="atLeast"/>
        <w:ind w:left="0" w:leftChars="0" w:right="0" w:rightChars="0" w:firstLine="640" w:firstLineChars="200"/>
        <w:jc w:val="both"/>
        <w:textAlignment w:val="auto"/>
        <w:outlineLvl w:val="9"/>
        <w:rPr>
          <w:rFonts w:hint="eastAsia" w:ascii="仿宋_GB2312" w:eastAsia="仿宋_GB2312" w:cs="仿宋_GB2312"/>
          <w:kern w:val="0"/>
          <w:sz w:val="32"/>
          <w:szCs w:val="32"/>
          <w:lang w:val="en-US" w:eastAsia="zh-CN"/>
        </w:rPr>
      </w:pPr>
      <w:r>
        <w:rPr>
          <w:rFonts w:hint="eastAsia" w:ascii="仿宋_GB2312" w:eastAsia="仿宋_GB2312" w:cs="仿宋_GB2312"/>
          <w:kern w:val="0"/>
          <w:sz w:val="32"/>
          <w:szCs w:val="32"/>
          <w:lang w:val="en-US" w:eastAsia="zh-CN"/>
        </w:rPr>
        <w:t>16、指导会计学会、珠算协会等有关社会团体的工作。</w:t>
      </w:r>
    </w:p>
    <w:p>
      <w:pPr>
        <w:keepNext w:val="0"/>
        <w:keepLines w:val="0"/>
        <w:pageBreakBefore w:val="0"/>
        <w:widowControl w:val="0"/>
        <w:kinsoku/>
        <w:wordWrap/>
        <w:overflowPunct/>
        <w:topLinePunct w:val="0"/>
        <w:autoSpaceDE/>
        <w:autoSpaceDN/>
        <w:bidi w:val="0"/>
        <w:adjustRightInd/>
        <w:snapToGrid/>
        <w:spacing w:line="578" w:lineRule="atLeast"/>
        <w:ind w:left="0" w:leftChars="0" w:right="0" w:rightChars="0" w:firstLine="640" w:firstLineChars="200"/>
        <w:jc w:val="both"/>
        <w:textAlignment w:val="auto"/>
        <w:outlineLvl w:val="9"/>
        <w:rPr>
          <w:rFonts w:hint="eastAsia" w:ascii="仿宋_GB2312" w:eastAsia="仿宋_GB2312" w:cs="仿宋_GB2312"/>
          <w:kern w:val="0"/>
          <w:sz w:val="32"/>
          <w:szCs w:val="32"/>
          <w:lang w:val="en-US" w:eastAsia="zh-CN"/>
        </w:rPr>
      </w:pPr>
      <w:r>
        <w:rPr>
          <w:rFonts w:hint="eastAsia" w:ascii="仿宋_GB2312" w:eastAsia="仿宋_GB2312" w:cs="仿宋_GB2312"/>
          <w:kern w:val="0"/>
          <w:sz w:val="32"/>
          <w:szCs w:val="32"/>
          <w:lang w:val="en-US" w:eastAsia="zh-CN"/>
        </w:rPr>
        <w:t>17、按照有关规定，管理全区农业开发工作。</w:t>
      </w:r>
    </w:p>
    <w:p>
      <w:pPr>
        <w:keepNext w:val="0"/>
        <w:keepLines w:val="0"/>
        <w:pageBreakBefore w:val="0"/>
        <w:widowControl w:val="0"/>
        <w:kinsoku/>
        <w:wordWrap/>
        <w:overflowPunct/>
        <w:topLinePunct w:val="0"/>
        <w:autoSpaceDE/>
        <w:autoSpaceDN/>
        <w:bidi w:val="0"/>
        <w:adjustRightInd/>
        <w:snapToGrid/>
        <w:spacing w:line="578" w:lineRule="atLeast"/>
        <w:ind w:left="0" w:leftChars="0" w:right="0" w:rightChars="0" w:firstLine="640" w:firstLineChars="200"/>
        <w:jc w:val="both"/>
        <w:textAlignment w:val="auto"/>
        <w:outlineLvl w:val="9"/>
        <w:rPr>
          <w:rFonts w:hint="eastAsia" w:ascii="仿宋_GB2312" w:eastAsia="仿宋_GB2312" w:cs="仿宋_GB2312"/>
          <w:kern w:val="0"/>
          <w:sz w:val="32"/>
          <w:szCs w:val="32"/>
          <w:lang w:val="en-US" w:eastAsia="zh-CN"/>
        </w:rPr>
      </w:pPr>
      <w:r>
        <w:rPr>
          <w:rFonts w:hint="eastAsia" w:ascii="仿宋_GB2312" w:eastAsia="仿宋_GB2312" w:cs="仿宋_GB2312"/>
          <w:kern w:val="0"/>
          <w:sz w:val="32"/>
          <w:szCs w:val="32"/>
          <w:lang w:val="en-US" w:eastAsia="zh-CN"/>
        </w:rPr>
        <w:t>18、负责制定本区政府采购相关政策；确定政府采购项目的采购方式；监管政府采购活动；对政府采购情况进行监督检查。</w:t>
      </w:r>
    </w:p>
    <w:p>
      <w:pPr>
        <w:keepNext w:val="0"/>
        <w:keepLines w:val="0"/>
        <w:pageBreakBefore w:val="0"/>
        <w:widowControl w:val="0"/>
        <w:kinsoku/>
        <w:wordWrap/>
        <w:overflowPunct/>
        <w:topLinePunct w:val="0"/>
        <w:autoSpaceDE/>
        <w:autoSpaceDN/>
        <w:bidi w:val="0"/>
        <w:adjustRightInd/>
        <w:snapToGrid/>
        <w:spacing w:line="578" w:lineRule="atLeast"/>
        <w:ind w:left="0" w:leftChars="0" w:right="0" w:rightChars="0" w:firstLine="640" w:firstLineChars="200"/>
        <w:jc w:val="both"/>
        <w:textAlignment w:val="auto"/>
        <w:outlineLvl w:val="9"/>
        <w:rPr>
          <w:rFonts w:hint="eastAsia" w:ascii="仿宋_GB2312" w:eastAsia="仿宋_GB2312" w:cs="仿宋_GB2312"/>
          <w:kern w:val="0"/>
          <w:sz w:val="32"/>
          <w:szCs w:val="32"/>
          <w:lang w:val="en-US" w:eastAsia="zh-CN"/>
        </w:rPr>
      </w:pPr>
      <w:r>
        <w:rPr>
          <w:rFonts w:hint="eastAsia" w:ascii="仿宋_GB2312" w:eastAsia="仿宋_GB2312" w:cs="仿宋_GB2312"/>
          <w:kern w:val="0"/>
          <w:sz w:val="32"/>
          <w:szCs w:val="32"/>
          <w:lang w:val="en-US" w:eastAsia="zh-CN"/>
        </w:rPr>
        <w:t>19、研究拟定区级预算绩效管理制度、办法并组织实施；负责审查区直部门预算绩效目标和指标；负责组织和监督区直部门预算绩效的执行。</w:t>
      </w:r>
    </w:p>
    <w:p>
      <w:pPr>
        <w:keepNext w:val="0"/>
        <w:keepLines w:val="0"/>
        <w:pageBreakBefore w:val="0"/>
        <w:widowControl w:val="0"/>
        <w:kinsoku/>
        <w:wordWrap/>
        <w:overflowPunct/>
        <w:topLinePunct w:val="0"/>
        <w:autoSpaceDE/>
        <w:autoSpaceDN/>
        <w:bidi w:val="0"/>
        <w:adjustRightInd/>
        <w:snapToGrid/>
        <w:spacing w:line="578" w:lineRule="atLeast"/>
        <w:ind w:left="0" w:leftChars="0" w:right="0" w:rightChars="0" w:firstLine="640" w:firstLineChars="200"/>
        <w:jc w:val="both"/>
        <w:textAlignment w:val="auto"/>
        <w:outlineLvl w:val="9"/>
        <w:rPr>
          <w:rFonts w:hint="eastAsia" w:ascii="仿宋_GB2312" w:eastAsia="仿宋_GB2312" w:cs="仿宋_GB2312"/>
          <w:kern w:val="0"/>
          <w:sz w:val="32"/>
          <w:szCs w:val="32"/>
          <w:lang w:val="en-US" w:eastAsia="zh-CN"/>
        </w:rPr>
      </w:pPr>
      <w:r>
        <w:rPr>
          <w:rFonts w:hint="eastAsia" w:ascii="仿宋_GB2312" w:eastAsia="仿宋_GB2312" w:cs="仿宋_GB2312"/>
          <w:kern w:val="0"/>
          <w:sz w:val="32"/>
          <w:szCs w:val="32"/>
          <w:lang w:val="en-US" w:eastAsia="zh-CN"/>
        </w:rPr>
        <w:t>20、承办区政府交办的其他事项。</w:t>
      </w:r>
    </w:p>
    <w:p>
      <w:pPr>
        <w:rPr>
          <w:sz w:val="32"/>
          <w:szCs w:val="32"/>
        </w:rPr>
      </w:pPr>
    </w:p>
    <w:p>
      <w:pPr>
        <w:keepNext/>
        <w:keepLines/>
        <w:pageBreakBefore w:val="0"/>
        <w:widowControl w:val="0"/>
        <w:numPr>
          <w:ilvl w:val="0"/>
          <w:numId w:val="1"/>
        </w:numPr>
        <w:kinsoku/>
        <w:wordWrap/>
        <w:overflowPunct/>
        <w:topLinePunct w:val="0"/>
        <w:autoSpaceDE/>
        <w:autoSpaceDN/>
        <w:bidi w:val="0"/>
        <w:adjustRightInd/>
        <w:snapToGrid/>
        <w:spacing w:line="578" w:lineRule="exact"/>
        <w:ind w:left="0" w:leftChars="0" w:right="0" w:rightChars="0" w:firstLine="640" w:firstLineChars="200"/>
        <w:jc w:val="left"/>
        <w:textAlignment w:val="auto"/>
        <w:outlineLvl w:val="0"/>
        <w:rPr>
          <w:rFonts w:ascii="黑体" w:eastAsia="黑体" w:cs="黑体"/>
          <w:kern w:val="0"/>
          <w:sz w:val="32"/>
          <w:szCs w:val="32"/>
        </w:rPr>
      </w:pPr>
      <w:r>
        <w:rPr>
          <w:rFonts w:hint="eastAsia" w:ascii="黑体" w:eastAsia="黑体" w:cs="黑体"/>
          <w:kern w:val="0"/>
          <w:sz w:val="32"/>
          <w:szCs w:val="32"/>
        </w:rPr>
        <w:t>机构设置</w:t>
      </w:r>
    </w:p>
    <w:p>
      <w:pPr>
        <w:pageBreakBefore w:val="0"/>
        <w:widowControl w:val="0"/>
        <w:kinsoku/>
        <w:wordWrap/>
        <w:overflowPunct/>
        <w:topLinePunct w:val="0"/>
        <w:autoSpaceDE/>
        <w:autoSpaceDN/>
        <w:bidi w:val="0"/>
        <w:adjustRightInd/>
        <w:snapToGrid/>
        <w:spacing w:line="578" w:lineRule="exact"/>
        <w:ind w:left="0" w:leftChars="0" w:right="0" w:rightChars="0" w:firstLine="640" w:firstLineChars="200"/>
        <w:textAlignment w:val="auto"/>
        <w:rPr>
          <w:rFonts w:hint="eastAsia" w:ascii="仿宋_GB2312" w:eastAsia="仿宋_GB2312" w:cs="仿宋_GB2312"/>
          <w:kern w:val="0"/>
          <w:sz w:val="32"/>
          <w:szCs w:val="32"/>
          <w:lang w:val="en-US" w:eastAsia="zh-CN"/>
        </w:rPr>
      </w:pPr>
      <w:r>
        <w:rPr>
          <w:rFonts w:hint="eastAsia" w:ascii="仿宋_GB2312" w:eastAsia="仿宋_GB2312" w:cs="仿宋_GB2312"/>
          <w:kern w:val="0"/>
          <w:sz w:val="32"/>
          <w:szCs w:val="32"/>
          <w:lang w:val="en-US" w:eastAsia="zh-CN"/>
        </w:rPr>
        <w:t>从决算编报单位构成看，纳入2022年度本部门决算汇编范围的独立核算单位（以下简称“单位”）共1个，具体情况如下：</w:t>
      </w:r>
    </w:p>
    <w:tbl>
      <w:tblPr>
        <w:tblStyle w:val="5"/>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 w:hAnsi="仿宋" w:eastAsia="仿宋" w:cs="仿宋"/>
                <w:b/>
                <w:bCs/>
                <w:kern w:val="0"/>
                <w:sz w:val="28"/>
                <w:szCs w:val="28"/>
              </w:rPr>
            </w:pPr>
            <w:r>
              <w:rPr>
                <w:rFonts w:hint="eastAsia" w:ascii="仿宋_GB2312" w:eastAsia="仿宋_GB2312" w:cs="仿宋_GB2312"/>
                <w:b/>
                <w:bCs/>
                <w:kern w:val="0"/>
                <w:sz w:val="28"/>
                <w:szCs w:val="28"/>
                <w:lang w:val="en-US" w:eastAsia="zh-CN"/>
              </w:rPr>
              <w:t>序号</w:t>
            </w:r>
          </w:p>
        </w:tc>
        <w:tc>
          <w:tcPr>
            <w:tcW w:w="3485" w:type="dxa"/>
            <w:vAlign w:val="center"/>
          </w:tcPr>
          <w:p>
            <w:pPr>
              <w:spacing w:line="560" w:lineRule="exact"/>
              <w:jc w:val="center"/>
              <w:rPr>
                <w:rFonts w:ascii="仿宋" w:hAnsi="仿宋" w:eastAsia="仿宋" w:cs="仿宋"/>
                <w:b/>
                <w:bCs/>
                <w:kern w:val="0"/>
                <w:sz w:val="28"/>
                <w:szCs w:val="28"/>
              </w:rPr>
            </w:pPr>
            <w:r>
              <w:rPr>
                <w:rFonts w:hint="eastAsia" w:ascii="仿宋_GB2312" w:eastAsia="仿宋_GB2312" w:cs="仿宋_GB2312"/>
                <w:b/>
                <w:bCs/>
                <w:kern w:val="0"/>
                <w:sz w:val="28"/>
                <w:szCs w:val="28"/>
                <w:lang w:val="en-US" w:eastAsia="zh-CN"/>
              </w:rPr>
              <w:t>单位名称</w:t>
            </w:r>
          </w:p>
        </w:tc>
        <w:tc>
          <w:tcPr>
            <w:tcW w:w="2445" w:type="dxa"/>
            <w:vAlign w:val="center"/>
          </w:tcPr>
          <w:p>
            <w:pPr>
              <w:spacing w:line="560" w:lineRule="exact"/>
              <w:jc w:val="center"/>
              <w:rPr>
                <w:rFonts w:ascii="仿宋" w:hAnsi="仿宋" w:eastAsia="仿宋" w:cs="仿宋"/>
                <w:b/>
                <w:bCs/>
                <w:kern w:val="0"/>
                <w:sz w:val="28"/>
                <w:szCs w:val="28"/>
              </w:rPr>
            </w:pPr>
            <w:r>
              <w:rPr>
                <w:rFonts w:hint="eastAsia" w:ascii="仿宋_GB2312" w:eastAsia="仿宋_GB2312" w:cs="仿宋_GB2312"/>
                <w:b/>
                <w:bCs/>
                <w:kern w:val="0"/>
                <w:sz w:val="28"/>
                <w:szCs w:val="28"/>
                <w:lang w:val="en-US" w:eastAsia="zh-CN"/>
              </w:rPr>
              <w:t>单位基本性质</w:t>
            </w:r>
          </w:p>
        </w:tc>
        <w:tc>
          <w:tcPr>
            <w:tcW w:w="2665" w:type="dxa"/>
            <w:vAlign w:val="center"/>
          </w:tcPr>
          <w:p>
            <w:pPr>
              <w:spacing w:line="560" w:lineRule="exact"/>
              <w:jc w:val="center"/>
              <w:rPr>
                <w:rFonts w:ascii="仿宋" w:hAnsi="仿宋" w:eastAsia="仿宋" w:cs="仿宋"/>
                <w:b/>
                <w:bCs/>
                <w:kern w:val="0"/>
                <w:sz w:val="28"/>
                <w:szCs w:val="28"/>
              </w:rPr>
            </w:pPr>
            <w:r>
              <w:rPr>
                <w:rFonts w:hint="eastAsia" w:ascii="仿宋_GB2312" w:eastAsia="仿宋_GB2312" w:cs="仿宋_GB2312"/>
                <w:b/>
                <w:bCs/>
                <w:kern w:val="0"/>
                <w:sz w:val="28"/>
                <w:szCs w:val="28"/>
                <w:lang w:val="en-US" w:eastAsia="zh-CN"/>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 w:hAnsi="仿宋" w:eastAsia="仿宋" w:cs="仿宋"/>
                <w:kern w:val="0"/>
                <w:sz w:val="24"/>
                <w:szCs w:val="24"/>
              </w:rPr>
            </w:pPr>
            <w:r>
              <w:rPr>
                <w:rFonts w:hint="eastAsia" w:ascii="仿宋_GB2312" w:eastAsia="仿宋_GB2312" w:cs="仿宋_GB2312"/>
                <w:kern w:val="0"/>
                <w:sz w:val="24"/>
                <w:szCs w:val="24"/>
                <w:lang w:val="en-US" w:eastAsia="zh-CN"/>
              </w:rPr>
              <w:t>1</w:t>
            </w:r>
          </w:p>
        </w:tc>
        <w:tc>
          <w:tcPr>
            <w:tcW w:w="3485" w:type="dxa"/>
          </w:tcPr>
          <w:p>
            <w:pPr>
              <w:spacing w:line="560" w:lineRule="exact"/>
              <w:rPr>
                <w:rFonts w:ascii="仿宋" w:hAnsi="仿宋" w:eastAsia="仿宋" w:cs="仿宋"/>
                <w:kern w:val="0"/>
                <w:sz w:val="24"/>
                <w:szCs w:val="24"/>
              </w:rPr>
            </w:pPr>
            <w:r>
              <w:rPr>
                <w:rFonts w:hint="eastAsia" w:ascii="仿宋_GB2312" w:eastAsia="仿宋_GB2312" w:cs="仿宋_GB2312"/>
                <w:kern w:val="0"/>
                <w:sz w:val="24"/>
                <w:szCs w:val="24"/>
                <w:lang w:val="en-US" w:eastAsia="zh-CN"/>
              </w:rPr>
              <w:t>石家庄市鹿泉区财政局（本级）</w:t>
            </w:r>
          </w:p>
        </w:tc>
        <w:tc>
          <w:tcPr>
            <w:tcW w:w="2445" w:type="dxa"/>
          </w:tcPr>
          <w:p>
            <w:pPr>
              <w:spacing w:line="560" w:lineRule="exact"/>
              <w:jc w:val="center"/>
              <w:rPr>
                <w:rFonts w:ascii="仿宋" w:hAnsi="仿宋" w:eastAsia="仿宋" w:cs="仿宋"/>
                <w:kern w:val="0"/>
                <w:sz w:val="24"/>
                <w:szCs w:val="24"/>
              </w:rPr>
            </w:pPr>
            <w:r>
              <w:rPr>
                <w:rFonts w:hint="eastAsia" w:ascii="仿宋_GB2312" w:eastAsia="仿宋_GB2312" w:cs="仿宋_GB2312"/>
                <w:kern w:val="0"/>
                <w:sz w:val="24"/>
                <w:szCs w:val="24"/>
                <w:lang w:val="en-US" w:eastAsia="zh-CN"/>
              </w:rPr>
              <w:t>行政单位</w:t>
            </w:r>
          </w:p>
        </w:tc>
        <w:tc>
          <w:tcPr>
            <w:tcW w:w="2665" w:type="dxa"/>
          </w:tcPr>
          <w:p>
            <w:pPr>
              <w:spacing w:line="560" w:lineRule="exact"/>
              <w:jc w:val="center"/>
              <w:rPr>
                <w:rFonts w:ascii="仿宋" w:hAnsi="仿宋" w:eastAsia="仿宋" w:cs="仿宋"/>
                <w:kern w:val="0"/>
                <w:sz w:val="24"/>
                <w:szCs w:val="24"/>
              </w:rPr>
            </w:pPr>
            <w:r>
              <w:rPr>
                <w:rFonts w:hint="eastAsia" w:ascii="仿宋_GB2312" w:eastAsia="仿宋_GB2312" w:cs="仿宋_GB2312"/>
                <w:kern w:val="0"/>
                <w:sz w:val="24"/>
                <w:szCs w:val="24"/>
                <w:lang w:val="en-US" w:eastAsia="zh-CN"/>
              </w:rPr>
              <w:t>财政拨款</w:t>
            </w:r>
          </w:p>
        </w:tc>
      </w:tr>
    </w:tbl>
    <w:p>
      <w:pPr>
        <w:spacing w:line="580" w:lineRule="exact"/>
        <w:ind w:firstLine="640" w:firstLineChars="200"/>
        <w:rPr>
          <w:rFonts w:ascii="仿宋_GB2312" w:eastAsia="仿宋_GB2312" w:cs="Arial Black"/>
          <w:kern w:val="0"/>
          <w:sz w:val="32"/>
          <w:szCs w:val="32"/>
        </w:rPr>
      </w:pPr>
    </w:p>
    <w:p>
      <w:pPr>
        <w:keepNext/>
        <w:keepLines/>
        <w:spacing w:line="580" w:lineRule="exact"/>
        <w:jc w:val="left"/>
        <w:outlineLvl w:val="0"/>
        <w:rPr>
          <w:rFonts w:ascii="仿宋_GB2312" w:eastAsia="仿宋_GB2312" w:cs="仿宋_GB2312"/>
          <w:kern w:val="0"/>
          <w:sz w:val="32"/>
          <w:szCs w:val="32"/>
          <w:u w:val="single" w:color="FFFFFF" w:themeColor="background1"/>
        </w:rPr>
      </w:pPr>
    </w:p>
    <w:tbl>
      <w:tblPr>
        <w:tblStyle w:val="5"/>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tcBorders>
              <w:top w:val="nil"/>
              <w:left w:val="nil"/>
              <w:bottom w:val="nil"/>
              <w:right w:val="nil"/>
            </w:tcBorders>
          </w:tcPr>
          <w:p>
            <w:pPr>
              <w:spacing w:line="560" w:lineRule="exact"/>
              <w:jc w:val="left"/>
              <w:rPr>
                <w:rFonts w:ascii="仿宋_GB2312" w:eastAsia="仿宋_GB2312" w:cs="Times New Roman"/>
                <w:kern w:val="0"/>
                <w:sz w:val="28"/>
                <w:szCs w:val="28"/>
              </w:rPr>
            </w:pPr>
            <w:r>
              <w:rPr>
                <w:rFonts w:hint="eastAsia" w:ascii="仿宋_GB2312" w:eastAsia="仿宋_GB2312" w:cs="仿宋_GB2312"/>
                <w:kern w:val="0"/>
                <w:sz w:val="28"/>
                <w:szCs w:val="28"/>
              </w:rPr>
              <w:t>注：</w:t>
            </w:r>
            <w:r>
              <w:rPr>
                <w:rFonts w:ascii="仿宋_GB2312" w:eastAsia="仿宋_GB2312" w:cs="仿宋_GB2312"/>
                <w:kern w:val="0"/>
                <w:sz w:val="28"/>
                <w:szCs w:val="28"/>
              </w:rPr>
              <w:t>1</w:t>
            </w:r>
            <w:r>
              <w:rPr>
                <w:rFonts w:hint="eastAsia" w:ascii="仿宋_GB2312" w:eastAsia="仿宋_GB2312" w:cs="仿宋_GB2312"/>
                <w:kern w:val="0"/>
                <w:sz w:val="28"/>
                <w:szCs w:val="28"/>
              </w:rPr>
              <w:t>、单位基本性质分为行政单位、参公事业单位、财政补助事业单位、经费自理事业单位四类。</w:t>
            </w:r>
          </w:p>
          <w:p>
            <w:pPr>
              <w:spacing w:line="560" w:lineRule="exact"/>
              <w:ind w:firstLine="560" w:firstLineChars="200"/>
              <w:jc w:val="left"/>
              <w:rPr>
                <w:rFonts w:ascii="仿宋_GB2312" w:eastAsia="仿宋_GB2312" w:cs="Times New Roman"/>
                <w:kern w:val="0"/>
                <w:sz w:val="28"/>
                <w:szCs w:val="28"/>
              </w:rPr>
            </w:pPr>
            <w:r>
              <w:rPr>
                <w:rFonts w:ascii="仿宋_GB2312" w:eastAsia="仿宋_GB2312" w:cs="仿宋_GB2312"/>
                <w:kern w:val="0"/>
                <w:sz w:val="28"/>
                <w:szCs w:val="28"/>
              </w:rPr>
              <w:t>2</w:t>
            </w:r>
            <w:r>
              <w:rPr>
                <w:rFonts w:hint="eastAsia" w:ascii="仿宋_GB2312" w:eastAsia="仿宋_GB2312" w:cs="仿宋_GB2312"/>
                <w:kern w:val="0"/>
                <w:sz w:val="28"/>
                <w:szCs w:val="28"/>
              </w:rPr>
              <w:t>、经费形式分为财政拨款、财政性资金基本保证、财政性资金定额或定项补助、财政性资金零补助四类。</w:t>
            </w: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ind w:firstLine="880" w:firstLineChars="200"/>
        <w:rPr>
          <w:rFonts w:hint="eastAsia" w:ascii="黑体" w:hAnsi="黑体" w:eastAsia="黑体" w:cs="黑体"/>
          <w:color w:val="000000"/>
          <w:sz w:val="44"/>
          <w:szCs w:val="44"/>
        </w:rPr>
      </w:pPr>
    </w:p>
    <w:p>
      <w:pPr>
        <w:widowControl/>
        <w:spacing w:after="160" w:line="580" w:lineRule="exact"/>
        <w:ind w:firstLine="420" w:firstLineChars="200"/>
        <w:rPr>
          <w:rFonts w:hint="eastAsia" w:ascii="黑体" w:hAnsi="黑体" w:eastAsia="黑体" w:cs="黑体"/>
          <w:color w:val="000000"/>
          <w:sz w:val="44"/>
          <w:szCs w:val="44"/>
        </w:rPr>
      </w:pPr>
      <w:r>
        <w:pict>
          <v:shape id="图片 70" o:spid="_x0000_s1040" o:spt="75" alt="32303235303832303b32303235353434303bcec4bcfeb1edb8f1" type="#_x0000_t75" style="position:absolute;left:0pt;margin-left:24.75pt;margin-top:78.4pt;height:45.6pt;width:45.6pt;mso-position-vertical-relative:margin;z-index:251659264;mso-width-relative:page;mso-height-relative:page;" filled="f" o:preferrelative="t" stroked="f" coordsize="21600,21600">
            <v:path/>
            <v:fill on="f" focussize="0,0"/>
            <v:stroke on="f" joinstyle="miter"/>
            <v:imagedata r:id="rId12" o:title=""/>
            <o:lock v:ext="edit" aspectratio="t"/>
          </v:shape>
        </w:pict>
      </w:r>
    </w:p>
    <w:p>
      <w:pPr>
        <w:widowControl/>
        <w:spacing w:after="160" w:line="580" w:lineRule="exact"/>
        <w:ind w:firstLine="880" w:firstLineChars="200"/>
        <w:rPr>
          <w:rFonts w:hint="eastAsia" w:ascii="黑体" w:hAnsi="黑体" w:eastAsia="黑体" w:cs="黑体"/>
          <w:color w:val="000000"/>
          <w:sz w:val="44"/>
          <w:szCs w:val="44"/>
        </w:rPr>
      </w:pPr>
    </w:p>
    <w:p>
      <w:pPr>
        <w:widowControl/>
        <w:spacing w:after="160" w:line="580" w:lineRule="exact"/>
        <w:ind w:firstLine="880" w:firstLineChars="200"/>
        <w:rPr>
          <w:rFonts w:ascii="黑体" w:hAnsi="黑体" w:eastAsia="黑体" w:cs="Times New Roman"/>
          <w:color w:val="000000"/>
          <w:sz w:val="44"/>
          <w:szCs w:val="44"/>
        </w:rPr>
        <w:sectPr>
          <w:headerReference r:id="rId5" w:type="default"/>
          <w:pgSz w:w="11906" w:h="16838"/>
          <w:pgMar w:top="2041" w:right="1531" w:bottom="1774" w:left="1531" w:header="851" w:footer="992" w:gutter="0"/>
          <w:pgNumType w:fmt="numberInDash"/>
          <w:cols w:space="0" w:num="1"/>
          <w:titlePg/>
          <w:docGrid w:type="lines" w:linePitch="312" w:charSpace="0"/>
        </w:sectPr>
      </w:pPr>
      <w:r>
        <w:rPr>
          <w:rFonts w:hint="eastAsia" w:ascii="黑体" w:hAnsi="黑体" w:eastAsia="黑体" w:cs="黑体"/>
          <w:color w:val="000000"/>
          <w:sz w:val="44"/>
          <w:szCs w:val="44"/>
        </w:rPr>
        <w:t>第二部分</w:t>
      </w:r>
      <w:r>
        <w:rPr>
          <w:rFonts w:ascii="黑体" w:hAnsi="黑体" w:eastAsia="黑体" w:cs="黑体"/>
          <w:color w:val="000000"/>
          <w:sz w:val="44"/>
          <w:szCs w:val="44"/>
        </w:rPr>
        <w:t xml:space="preserve">  202</w:t>
      </w:r>
      <w:r>
        <w:rPr>
          <w:rFonts w:hint="eastAsia" w:ascii="黑体" w:hAnsi="黑体" w:eastAsia="黑体" w:cs="黑体"/>
          <w:color w:val="000000"/>
          <w:sz w:val="44"/>
          <w:szCs w:val="44"/>
          <w:lang w:val="en-US" w:eastAsia="zh-CN"/>
        </w:rPr>
        <w:t>2</w:t>
      </w:r>
      <w:r>
        <w:rPr>
          <w:rFonts w:hint="eastAsia" w:ascii="黑体" w:hAnsi="黑体" w:eastAsia="黑体" w:cs="黑体"/>
          <w:color w:val="000000"/>
          <w:sz w:val="44"/>
          <w:szCs w:val="44"/>
        </w:rPr>
        <w:t>年度</w:t>
      </w:r>
      <w:r>
        <w:rPr>
          <w:rFonts w:hint="eastAsia" w:ascii="黑体" w:hAnsi="黑体" w:eastAsia="黑体" w:cs="黑体"/>
          <w:color w:val="000000"/>
          <w:sz w:val="44"/>
          <w:szCs w:val="44"/>
          <w:lang w:eastAsia="zh-CN"/>
        </w:rPr>
        <w:t>部门</w:t>
      </w:r>
      <w:r>
        <w:rPr>
          <w:rFonts w:hint="eastAsia" w:ascii="黑体" w:hAnsi="黑体" w:eastAsia="黑体" w:cs="黑体"/>
          <w:color w:val="000000"/>
          <w:sz w:val="44"/>
          <w:szCs w:val="44"/>
        </w:rPr>
        <w:t>决算表</w:t>
      </w:r>
    </w:p>
    <w:tbl>
      <w:tblPr>
        <w:tblStyle w:val="5"/>
        <w:tblpPr w:leftFromText="180" w:rightFromText="180" w:vertAnchor="text" w:horzAnchor="page" w:tblpXSpec="center" w:tblpY="330"/>
        <w:tblOverlap w:val="never"/>
        <w:tblW w:w="9570" w:type="dxa"/>
        <w:jc w:val="center"/>
        <w:tblLayout w:type="fixed"/>
        <w:tblCellMar>
          <w:top w:w="0" w:type="dxa"/>
          <w:left w:w="0" w:type="dxa"/>
          <w:bottom w:w="0" w:type="dxa"/>
          <w:right w:w="0" w:type="dxa"/>
        </w:tblCellMar>
      </w:tblPr>
      <w:tblGrid>
        <w:gridCol w:w="3416"/>
        <w:gridCol w:w="308"/>
        <w:gridCol w:w="200"/>
        <w:gridCol w:w="1056"/>
        <w:gridCol w:w="3062"/>
        <w:gridCol w:w="482"/>
        <w:gridCol w:w="1046"/>
      </w:tblGrid>
      <w:tr>
        <w:tblPrEx>
          <w:tblCellMar>
            <w:top w:w="0" w:type="dxa"/>
            <w:left w:w="0" w:type="dxa"/>
            <w:bottom w:w="0" w:type="dxa"/>
            <w:right w:w="0" w:type="dxa"/>
          </w:tblCellMar>
        </w:tblPrEx>
        <w:trPr>
          <w:trHeight w:val="298" w:hRule="atLeast"/>
          <w:jc w:val="center"/>
        </w:trPr>
        <w:tc>
          <w:tcPr>
            <w:tcW w:w="9570" w:type="dxa"/>
            <w:gridSpan w:val="7"/>
            <w:tcBorders>
              <w:top w:val="nil"/>
              <w:left w:val="nil"/>
              <w:bottom w:val="nil"/>
              <w:right w:val="nil"/>
            </w:tcBorders>
            <w:tcMar>
              <w:top w:w="15" w:type="dxa"/>
              <w:left w:w="15" w:type="dxa"/>
              <w:right w:w="15" w:type="dxa"/>
            </w:tcMar>
            <w:vAlign w:val="bottom"/>
          </w:tcPr>
          <w:p>
            <w:pPr>
              <w:spacing w:line="400" w:lineRule="exact"/>
              <w:jc w:val="center"/>
              <w:rPr>
                <w:rFonts w:ascii="黑体" w:hAnsi="宋体" w:eastAsia="黑体" w:cs="Times New Roman"/>
                <w:color w:val="000000"/>
                <w:sz w:val="28"/>
                <w:szCs w:val="28"/>
              </w:rPr>
            </w:pPr>
            <w:r>
              <w:rPr>
                <w:rFonts w:hint="eastAsia" w:ascii="黑体" w:hAnsi="宋体" w:eastAsia="黑体" w:cs="黑体"/>
                <w:color w:val="000000"/>
                <w:kern w:val="0"/>
                <w:sz w:val="28"/>
                <w:szCs w:val="28"/>
              </w:rPr>
              <w:t>收入支出决算总表</w:t>
            </w:r>
          </w:p>
        </w:tc>
      </w:tr>
      <w:tr>
        <w:tblPrEx>
          <w:tblCellMar>
            <w:top w:w="0" w:type="dxa"/>
            <w:left w:w="0" w:type="dxa"/>
            <w:bottom w:w="0" w:type="dxa"/>
            <w:right w:w="0" w:type="dxa"/>
          </w:tblCellMar>
        </w:tblPrEx>
        <w:trPr>
          <w:trHeight w:val="294" w:hRule="atLeast"/>
          <w:jc w:val="center"/>
        </w:trPr>
        <w:tc>
          <w:tcPr>
            <w:tcW w:w="3416" w:type="dxa"/>
            <w:tcBorders>
              <w:top w:val="nil"/>
              <w:left w:val="nil"/>
              <w:bottom w:val="nil"/>
              <w:right w:val="nil"/>
            </w:tcBorders>
            <w:tcMar>
              <w:top w:w="15" w:type="dxa"/>
              <w:left w:w="15" w:type="dxa"/>
              <w:right w:w="15" w:type="dxa"/>
            </w:tcMar>
            <w:vAlign w:val="bottom"/>
          </w:tcPr>
          <w:p>
            <w:pPr>
              <w:rPr>
                <w:rFonts w:ascii="Arial" w:hAnsi="Arial" w:cs="Arial"/>
                <w:color w:val="000000"/>
                <w:sz w:val="18"/>
                <w:szCs w:val="18"/>
              </w:rPr>
            </w:pPr>
          </w:p>
        </w:tc>
        <w:tc>
          <w:tcPr>
            <w:tcW w:w="308" w:type="dxa"/>
            <w:tcBorders>
              <w:top w:val="nil"/>
              <w:left w:val="nil"/>
              <w:bottom w:val="nil"/>
              <w:right w:val="nil"/>
            </w:tcBorders>
            <w:tcMar>
              <w:top w:w="15" w:type="dxa"/>
              <w:left w:w="15" w:type="dxa"/>
              <w:right w:w="15" w:type="dxa"/>
            </w:tcMar>
            <w:vAlign w:val="bottom"/>
          </w:tcPr>
          <w:p>
            <w:pPr>
              <w:rPr>
                <w:rFonts w:ascii="Arial" w:hAnsi="Arial" w:cs="Arial"/>
                <w:color w:val="000000"/>
                <w:sz w:val="18"/>
                <w:szCs w:val="18"/>
              </w:rPr>
            </w:pPr>
          </w:p>
        </w:tc>
        <w:tc>
          <w:tcPr>
            <w:tcW w:w="1256" w:type="dxa"/>
            <w:gridSpan w:val="2"/>
            <w:tcBorders>
              <w:top w:val="nil"/>
              <w:left w:val="nil"/>
              <w:bottom w:val="nil"/>
              <w:right w:val="nil"/>
            </w:tcBorders>
            <w:tcMar>
              <w:top w:w="15" w:type="dxa"/>
              <w:left w:w="15" w:type="dxa"/>
              <w:right w:w="15" w:type="dxa"/>
            </w:tcMar>
            <w:vAlign w:val="bottom"/>
          </w:tcPr>
          <w:p>
            <w:pPr>
              <w:rPr>
                <w:rFonts w:ascii="Arial" w:hAnsi="Arial" w:cs="Arial"/>
                <w:color w:val="000000"/>
                <w:sz w:val="18"/>
                <w:szCs w:val="18"/>
              </w:rPr>
            </w:pPr>
          </w:p>
        </w:tc>
        <w:tc>
          <w:tcPr>
            <w:tcW w:w="4590" w:type="dxa"/>
            <w:gridSpan w:val="3"/>
            <w:tcBorders>
              <w:top w:val="nil"/>
              <w:left w:val="nil"/>
              <w:bottom w:val="nil"/>
              <w:right w:val="nil"/>
            </w:tcBorders>
            <w:tcMar>
              <w:top w:w="15" w:type="dxa"/>
              <w:left w:w="15" w:type="dxa"/>
              <w:right w:w="15" w:type="dxa"/>
            </w:tcMar>
            <w:vAlign w:val="bottom"/>
          </w:tcPr>
          <w:p>
            <w:pPr>
              <w:widowControl/>
              <w:jc w:val="right"/>
              <w:textAlignment w:val="bottom"/>
              <w:rPr>
                <w:rFonts w:ascii="宋体" w:cs="Times New Roman"/>
                <w:color w:val="000000"/>
                <w:sz w:val="18"/>
                <w:szCs w:val="18"/>
              </w:rPr>
            </w:pPr>
            <w:r>
              <w:rPr>
                <w:rFonts w:hint="eastAsia" w:ascii="宋体" w:hAnsi="宋体" w:cs="宋体"/>
                <w:color w:val="000000"/>
                <w:kern w:val="0"/>
                <w:sz w:val="18"/>
                <w:szCs w:val="18"/>
              </w:rPr>
              <w:t>公开</w:t>
            </w:r>
            <w:r>
              <w:rPr>
                <w:rFonts w:ascii="宋体" w:hAnsi="宋体" w:cs="宋体"/>
                <w:color w:val="000000"/>
                <w:kern w:val="0"/>
                <w:sz w:val="18"/>
                <w:szCs w:val="18"/>
              </w:rPr>
              <w:t>01</w:t>
            </w:r>
            <w:r>
              <w:rPr>
                <w:rFonts w:hint="eastAsia" w:ascii="宋体" w:hAnsi="宋体" w:cs="宋体"/>
                <w:color w:val="000000"/>
                <w:kern w:val="0"/>
                <w:sz w:val="18"/>
                <w:szCs w:val="18"/>
              </w:rPr>
              <w:t>表</w:t>
            </w:r>
          </w:p>
        </w:tc>
      </w:tr>
      <w:tr>
        <w:tblPrEx>
          <w:tblCellMar>
            <w:top w:w="0" w:type="dxa"/>
            <w:left w:w="0" w:type="dxa"/>
            <w:bottom w:w="0" w:type="dxa"/>
            <w:right w:w="0" w:type="dxa"/>
          </w:tblCellMar>
        </w:tblPrEx>
        <w:trPr>
          <w:trHeight w:val="160" w:hRule="atLeast"/>
          <w:jc w:val="center"/>
        </w:trPr>
        <w:tc>
          <w:tcPr>
            <w:tcW w:w="3416" w:type="dxa"/>
            <w:tcBorders>
              <w:top w:val="nil"/>
              <w:left w:val="nil"/>
              <w:bottom w:val="nil"/>
              <w:right w:val="nil"/>
            </w:tcBorders>
            <w:tcMar>
              <w:top w:w="15" w:type="dxa"/>
              <w:left w:w="15" w:type="dxa"/>
              <w:right w:w="15" w:type="dxa"/>
            </w:tcMar>
            <w:vAlign w:val="bottom"/>
          </w:tcPr>
          <w:p>
            <w:pPr>
              <w:widowControl/>
              <w:jc w:val="left"/>
              <w:textAlignment w:val="bottom"/>
              <w:rPr>
                <w:rFonts w:ascii="宋体" w:cs="Times New Roman"/>
                <w:color w:val="000000"/>
                <w:sz w:val="18"/>
                <w:szCs w:val="18"/>
              </w:rPr>
            </w:pPr>
            <w:r>
              <w:rPr>
                <w:rFonts w:hint="eastAsia" w:ascii="宋体" w:hAnsi="宋体" w:cs="宋体"/>
                <w:color w:val="000000"/>
                <w:kern w:val="0"/>
                <w:sz w:val="18"/>
                <w:szCs w:val="18"/>
              </w:rPr>
              <w:t>单位：石家庄市鹿泉区财政局</w:t>
            </w:r>
          </w:p>
        </w:tc>
        <w:tc>
          <w:tcPr>
            <w:tcW w:w="308" w:type="dxa"/>
            <w:tcBorders>
              <w:top w:val="nil"/>
              <w:left w:val="nil"/>
              <w:bottom w:val="nil"/>
              <w:right w:val="nil"/>
            </w:tcBorders>
            <w:tcMar>
              <w:top w:w="15" w:type="dxa"/>
              <w:left w:w="15" w:type="dxa"/>
              <w:right w:w="15" w:type="dxa"/>
            </w:tcMar>
            <w:vAlign w:val="bottom"/>
          </w:tcPr>
          <w:p>
            <w:pPr>
              <w:rPr>
                <w:rFonts w:ascii="Arial" w:hAnsi="Arial" w:cs="Arial"/>
                <w:color w:val="000000"/>
                <w:sz w:val="18"/>
                <w:szCs w:val="18"/>
              </w:rPr>
            </w:pPr>
          </w:p>
        </w:tc>
        <w:tc>
          <w:tcPr>
            <w:tcW w:w="1256" w:type="dxa"/>
            <w:gridSpan w:val="2"/>
            <w:tcBorders>
              <w:top w:val="nil"/>
              <w:left w:val="nil"/>
              <w:bottom w:val="nil"/>
              <w:right w:val="nil"/>
            </w:tcBorders>
            <w:tcMar>
              <w:top w:w="15" w:type="dxa"/>
              <w:left w:w="15" w:type="dxa"/>
              <w:right w:w="15" w:type="dxa"/>
            </w:tcMar>
            <w:vAlign w:val="bottom"/>
          </w:tcPr>
          <w:p>
            <w:pPr>
              <w:rPr>
                <w:rFonts w:ascii="Arial" w:hAnsi="Arial" w:cs="Arial"/>
                <w:color w:val="000000"/>
                <w:sz w:val="18"/>
                <w:szCs w:val="18"/>
              </w:rPr>
            </w:pPr>
          </w:p>
        </w:tc>
        <w:tc>
          <w:tcPr>
            <w:tcW w:w="4590" w:type="dxa"/>
            <w:gridSpan w:val="3"/>
            <w:tcBorders>
              <w:top w:val="nil"/>
              <w:left w:val="nil"/>
              <w:bottom w:val="nil"/>
              <w:right w:val="nil"/>
            </w:tcBorders>
            <w:tcMar>
              <w:top w:w="15" w:type="dxa"/>
              <w:left w:w="15" w:type="dxa"/>
              <w:right w:w="15" w:type="dxa"/>
            </w:tcMar>
            <w:vAlign w:val="bottom"/>
          </w:tcPr>
          <w:p>
            <w:pPr>
              <w:widowControl/>
              <w:jc w:val="right"/>
              <w:textAlignment w:val="bottom"/>
              <w:rPr>
                <w:rFonts w:ascii="宋体" w:cs="Times New Roman"/>
                <w:color w:val="000000"/>
                <w:sz w:val="18"/>
                <w:szCs w:val="18"/>
              </w:rPr>
            </w:pPr>
            <w:r>
              <w:rPr>
                <w:rFonts w:hint="eastAsia" w:ascii="宋体" w:hAnsi="宋体" w:cs="宋体"/>
                <w:color w:val="000000"/>
                <w:kern w:val="0"/>
                <w:sz w:val="18"/>
                <w:szCs w:val="18"/>
              </w:rPr>
              <w:t>金额单位：万元</w:t>
            </w:r>
          </w:p>
        </w:tc>
      </w:tr>
      <w:tr>
        <w:tblPrEx>
          <w:tblCellMar>
            <w:top w:w="0" w:type="dxa"/>
            <w:left w:w="0" w:type="dxa"/>
            <w:bottom w:w="0" w:type="dxa"/>
            <w:right w:w="0" w:type="dxa"/>
          </w:tblCellMar>
        </w:tblPrEx>
        <w:trPr>
          <w:trHeight w:val="221" w:hRule="atLeast"/>
          <w:jc w:val="center"/>
        </w:trPr>
        <w:tc>
          <w:tcPr>
            <w:tcW w:w="4980" w:type="dxa"/>
            <w:gridSpan w:val="4"/>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rPr>
                <w:rFonts w:hint="eastAsia" w:cs="宋体"/>
              </w:rPr>
              <w:t>收入</w:t>
            </w:r>
          </w:p>
        </w:tc>
        <w:tc>
          <w:tcPr>
            <w:tcW w:w="4590" w:type="dxa"/>
            <w:gridSpan w:val="3"/>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rPr>
                <w:rFonts w:hint="eastAsia" w:ascii="宋体" w:hAnsi="宋体" w:cs="宋体"/>
                <w:color w:val="000000"/>
              </w:rPr>
              <w:t>支出</w:t>
            </w: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rPr>
                <w:rFonts w:hint="eastAsia" w:cs="宋体"/>
              </w:rPr>
              <w:t>项目</w:t>
            </w:r>
          </w:p>
        </w:tc>
        <w:tc>
          <w:tcPr>
            <w:tcW w:w="50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rPr>
                <w:rFonts w:hint="eastAsia" w:cs="宋体"/>
              </w:rPr>
              <w:t>行次</w:t>
            </w:r>
          </w:p>
        </w:tc>
        <w:tc>
          <w:tcPr>
            <w:tcW w:w="1056"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rPr>
                <w:rFonts w:hint="eastAsia" w:cs="宋体"/>
              </w:rPr>
              <w:t>金额</w:t>
            </w:r>
          </w:p>
        </w:tc>
        <w:tc>
          <w:tcPr>
            <w:tcW w:w="306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rPr>
                <w:rFonts w:hint="eastAsia" w:cs="宋体"/>
              </w:rPr>
              <w:t>项目</w:t>
            </w:r>
          </w:p>
        </w:tc>
        <w:tc>
          <w:tcPr>
            <w:tcW w:w="48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rPr>
                <w:rFonts w:hint="eastAsia" w:cs="宋体"/>
              </w:rPr>
              <w:t>行次</w:t>
            </w:r>
          </w:p>
        </w:tc>
        <w:tc>
          <w:tcPr>
            <w:tcW w:w="1046"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rPr>
                <w:rFonts w:hint="eastAsia" w:cs="宋体"/>
              </w:rPr>
              <w:t>金额</w:t>
            </w:r>
          </w:p>
        </w:tc>
      </w:tr>
      <w:tr>
        <w:tblPrEx>
          <w:tblCellMar>
            <w:top w:w="0" w:type="dxa"/>
            <w:left w:w="0" w:type="dxa"/>
            <w:bottom w:w="0" w:type="dxa"/>
            <w:right w:w="0" w:type="dxa"/>
          </w:tblCellMar>
        </w:tblPrEx>
        <w:trPr>
          <w:trHeight w:val="210" w:hRule="atLeast"/>
          <w:jc w:val="center"/>
        </w:trPr>
        <w:tc>
          <w:tcPr>
            <w:tcW w:w="341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rPr>
                <w:rFonts w:hint="eastAsia" w:cs="宋体"/>
              </w:rPr>
              <w:t>栏次</w:t>
            </w:r>
          </w:p>
        </w:tc>
        <w:tc>
          <w:tcPr>
            <w:tcW w:w="50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p>
        </w:tc>
        <w:tc>
          <w:tcPr>
            <w:tcW w:w="1056"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1</w:t>
            </w:r>
          </w:p>
        </w:tc>
        <w:tc>
          <w:tcPr>
            <w:tcW w:w="306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rPr>
                <w:rFonts w:hint="eastAsia" w:cs="宋体"/>
              </w:rPr>
              <w:t>栏次</w:t>
            </w:r>
          </w:p>
        </w:tc>
        <w:tc>
          <w:tcPr>
            <w:tcW w:w="48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p>
        </w:tc>
        <w:tc>
          <w:tcPr>
            <w:tcW w:w="1046"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2</w:t>
            </w: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一、一般公共预算财政拨款收入</w:t>
            </w:r>
          </w:p>
        </w:tc>
        <w:tc>
          <w:tcPr>
            <w:tcW w:w="50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1</w:t>
            </w:r>
          </w:p>
        </w:tc>
        <w:tc>
          <w:tcPr>
            <w:tcW w:w="105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rPr>
            </w:pPr>
            <w:r>
              <w:rPr>
                <w:rFonts w:hint="eastAsia" w:ascii="宋体" w:hAnsi="宋体" w:eastAsia="宋体" w:cs="宋体"/>
                <w:i w:val="0"/>
                <w:color w:val="000000"/>
                <w:kern w:val="0"/>
                <w:sz w:val="22"/>
                <w:szCs w:val="22"/>
                <w:u w:val="none"/>
                <w:lang w:val="en-US" w:eastAsia="zh-CN" w:bidi="ar"/>
              </w:rPr>
              <w:t>13,539.43</w:t>
            </w:r>
          </w:p>
        </w:tc>
        <w:tc>
          <w:tcPr>
            <w:tcW w:w="306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一、一般公共服务支出</w:t>
            </w:r>
          </w:p>
        </w:tc>
        <w:tc>
          <w:tcPr>
            <w:tcW w:w="48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32</w:t>
            </w:r>
          </w:p>
        </w:tc>
        <w:tc>
          <w:tcPr>
            <w:tcW w:w="104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rPr>
            </w:pPr>
            <w:r>
              <w:rPr>
                <w:rFonts w:hint="eastAsia" w:ascii="宋体" w:hAnsi="宋体" w:eastAsia="宋体" w:cs="宋体"/>
                <w:i w:val="0"/>
                <w:color w:val="000000"/>
                <w:kern w:val="0"/>
                <w:sz w:val="22"/>
                <w:szCs w:val="22"/>
                <w:u w:val="none"/>
                <w:lang w:val="en-US" w:eastAsia="zh-CN" w:bidi="ar"/>
              </w:rPr>
              <w:t>13,202.18</w:t>
            </w:r>
          </w:p>
        </w:tc>
      </w:tr>
      <w:tr>
        <w:tblPrEx>
          <w:tblCellMar>
            <w:top w:w="0" w:type="dxa"/>
            <w:left w:w="0" w:type="dxa"/>
            <w:bottom w:w="0" w:type="dxa"/>
            <w:right w:w="0" w:type="dxa"/>
          </w:tblCellMar>
        </w:tblPrEx>
        <w:trPr>
          <w:trHeight w:val="353" w:hRule="atLeast"/>
          <w:jc w:val="center"/>
        </w:trPr>
        <w:tc>
          <w:tcPr>
            <w:tcW w:w="341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二、政府性基金预算财政拨款收入</w:t>
            </w:r>
          </w:p>
        </w:tc>
        <w:tc>
          <w:tcPr>
            <w:tcW w:w="50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2</w:t>
            </w:r>
          </w:p>
        </w:tc>
        <w:tc>
          <w:tcPr>
            <w:tcW w:w="105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rPr>
            </w:pPr>
          </w:p>
        </w:tc>
        <w:tc>
          <w:tcPr>
            <w:tcW w:w="306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二、外交支出</w:t>
            </w:r>
          </w:p>
        </w:tc>
        <w:tc>
          <w:tcPr>
            <w:tcW w:w="48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33</w:t>
            </w:r>
          </w:p>
        </w:tc>
        <w:tc>
          <w:tcPr>
            <w:tcW w:w="104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rPr>
            </w:pP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三、国有资本经营预算财政拨款收入</w:t>
            </w:r>
          </w:p>
        </w:tc>
        <w:tc>
          <w:tcPr>
            <w:tcW w:w="50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3</w:t>
            </w:r>
          </w:p>
        </w:tc>
        <w:tc>
          <w:tcPr>
            <w:tcW w:w="105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rPr>
            </w:pPr>
          </w:p>
        </w:tc>
        <w:tc>
          <w:tcPr>
            <w:tcW w:w="306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三、国防支出</w:t>
            </w:r>
          </w:p>
        </w:tc>
        <w:tc>
          <w:tcPr>
            <w:tcW w:w="48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34</w:t>
            </w:r>
          </w:p>
        </w:tc>
        <w:tc>
          <w:tcPr>
            <w:tcW w:w="104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rPr>
            </w:pP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四、上级补助收入</w:t>
            </w:r>
          </w:p>
        </w:tc>
        <w:tc>
          <w:tcPr>
            <w:tcW w:w="50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4</w:t>
            </w:r>
          </w:p>
        </w:tc>
        <w:tc>
          <w:tcPr>
            <w:tcW w:w="105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rPr>
            </w:pPr>
          </w:p>
        </w:tc>
        <w:tc>
          <w:tcPr>
            <w:tcW w:w="306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四、公共安全支出</w:t>
            </w:r>
          </w:p>
        </w:tc>
        <w:tc>
          <w:tcPr>
            <w:tcW w:w="48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35</w:t>
            </w:r>
          </w:p>
        </w:tc>
        <w:tc>
          <w:tcPr>
            <w:tcW w:w="104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rPr>
            </w:pP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五、事业收入</w:t>
            </w:r>
          </w:p>
        </w:tc>
        <w:tc>
          <w:tcPr>
            <w:tcW w:w="50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5</w:t>
            </w:r>
          </w:p>
        </w:tc>
        <w:tc>
          <w:tcPr>
            <w:tcW w:w="105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rPr>
            </w:pPr>
          </w:p>
        </w:tc>
        <w:tc>
          <w:tcPr>
            <w:tcW w:w="306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五、教育支出</w:t>
            </w:r>
          </w:p>
        </w:tc>
        <w:tc>
          <w:tcPr>
            <w:tcW w:w="48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36</w:t>
            </w:r>
          </w:p>
        </w:tc>
        <w:tc>
          <w:tcPr>
            <w:tcW w:w="104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rPr>
            </w:pP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六、经营收入</w:t>
            </w:r>
          </w:p>
        </w:tc>
        <w:tc>
          <w:tcPr>
            <w:tcW w:w="50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6</w:t>
            </w:r>
          </w:p>
        </w:tc>
        <w:tc>
          <w:tcPr>
            <w:tcW w:w="105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rPr>
            </w:pPr>
          </w:p>
        </w:tc>
        <w:tc>
          <w:tcPr>
            <w:tcW w:w="306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六、科学技术支出</w:t>
            </w:r>
          </w:p>
        </w:tc>
        <w:tc>
          <w:tcPr>
            <w:tcW w:w="48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37</w:t>
            </w:r>
          </w:p>
        </w:tc>
        <w:tc>
          <w:tcPr>
            <w:tcW w:w="104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rPr>
            </w:pP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七、附属单位上缴收入</w:t>
            </w:r>
          </w:p>
        </w:tc>
        <w:tc>
          <w:tcPr>
            <w:tcW w:w="50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7</w:t>
            </w:r>
          </w:p>
        </w:tc>
        <w:tc>
          <w:tcPr>
            <w:tcW w:w="105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rPr>
            </w:pPr>
          </w:p>
        </w:tc>
        <w:tc>
          <w:tcPr>
            <w:tcW w:w="306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七、文化旅游体育与传媒支出</w:t>
            </w:r>
          </w:p>
        </w:tc>
        <w:tc>
          <w:tcPr>
            <w:tcW w:w="48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38</w:t>
            </w:r>
          </w:p>
        </w:tc>
        <w:tc>
          <w:tcPr>
            <w:tcW w:w="104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rPr>
            </w:pP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八、其他收入</w:t>
            </w:r>
          </w:p>
        </w:tc>
        <w:tc>
          <w:tcPr>
            <w:tcW w:w="50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8</w:t>
            </w:r>
          </w:p>
        </w:tc>
        <w:tc>
          <w:tcPr>
            <w:tcW w:w="105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rPr>
            </w:pPr>
            <w:r>
              <w:rPr>
                <w:rFonts w:hint="eastAsia" w:ascii="宋体" w:hAnsi="宋体" w:eastAsia="宋体" w:cs="宋体"/>
                <w:i w:val="0"/>
                <w:color w:val="000000"/>
                <w:kern w:val="0"/>
                <w:sz w:val="22"/>
                <w:szCs w:val="22"/>
                <w:u w:val="none"/>
                <w:lang w:val="en-US" w:eastAsia="zh-CN" w:bidi="ar"/>
              </w:rPr>
              <w:t>8.00</w:t>
            </w:r>
          </w:p>
        </w:tc>
        <w:tc>
          <w:tcPr>
            <w:tcW w:w="306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八、社会保障和就业支出</w:t>
            </w:r>
          </w:p>
        </w:tc>
        <w:tc>
          <w:tcPr>
            <w:tcW w:w="48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39</w:t>
            </w:r>
          </w:p>
        </w:tc>
        <w:tc>
          <w:tcPr>
            <w:tcW w:w="104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rPr>
            </w:pPr>
            <w:r>
              <w:rPr>
                <w:rFonts w:hint="eastAsia" w:ascii="宋体" w:hAnsi="宋体" w:eastAsia="宋体" w:cs="宋体"/>
                <w:i w:val="0"/>
                <w:color w:val="000000"/>
                <w:kern w:val="0"/>
                <w:sz w:val="22"/>
                <w:szCs w:val="22"/>
                <w:u w:val="none"/>
                <w:lang w:val="en-US" w:eastAsia="zh-CN" w:bidi="ar"/>
              </w:rPr>
              <w:t>181.72</w:t>
            </w: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p>
        </w:tc>
        <w:tc>
          <w:tcPr>
            <w:tcW w:w="50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9</w:t>
            </w:r>
          </w:p>
        </w:tc>
        <w:tc>
          <w:tcPr>
            <w:tcW w:w="105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rPr>
            </w:pPr>
          </w:p>
        </w:tc>
        <w:tc>
          <w:tcPr>
            <w:tcW w:w="306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九、卫生健康支出</w:t>
            </w:r>
          </w:p>
        </w:tc>
        <w:tc>
          <w:tcPr>
            <w:tcW w:w="48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40</w:t>
            </w:r>
          </w:p>
        </w:tc>
        <w:tc>
          <w:tcPr>
            <w:tcW w:w="104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rPr>
            </w:pPr>
            <w:r>
              <w:rPr>
                <w:rFonts w:hint="eastAsia" w:ascii="宋体" w:hAnsi="宋体" w:eastAsia="宋体" w:cs="宋体"/>
                <w:i w:val="0"/>
                <w:color w:val="000000"/>
                <w:kern w:val="0"/>
                <w:sz w:val="22"/>
                <w:szCs w:val="22"/>
                <w:u w:val="none"/>
                <w:lang w:val="en-US" w:eastAsia="zh-CN" w:bidi="ar"/>
              </w:rPr>
              <w:t>66.46</w:t>
            </w: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p>
        </w:tc>
        <w:tc>
          <w:tcPr>
            <w:tcW w:w="50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10</w:t>
            </w:r>
          </w:p>
        </w:tc>
        <w:tc>
          <w:tcPr>
            <w:tcW w:w="105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rPr>
            </w:pPr>
          </w:p>
        </w:tc>
        <w:tc>
          <w:tcPr>
            <w:tcW w:w="306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十、节能环保支出</w:t>
            </w:r>
          </w:p>
        </w:tc>
        <w:tc>
          <w:tcPr>
            <w:tcW w:w="48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41</w:t>
            </w:r>
          </w:p>
        </w:tc>
        <w:tc>
          <w:tcPr>
            <w:tcW w:w="104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rPr>
            </w:pP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p>
        </w:tc>
        <w:tc>
          <w:tcPr>
            <w:tcW w:w="50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11</w:t>
            </w:r>
          </w:p>
        </w:tc>
        <w:tc>
          <w:tcPr>
            <w:tcW w:w="105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rPr>
            </w:pPr>
          </w:p>
        </w:tc>
        <w:tc>
          <w:tcPr>
            <w:tcW w:w="306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十一、城乡社区支出</w:t>
            </w:r>
          </w:p>
        </w:tc>
        <w:tc>
          <w:tcPr>
            <w:tcW w:w="48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42</w:t>
            </w:r>
          </w:p>
        </w:tc>
        <w:tc>
          <w:tcPr>
            <w:tcW w:w="104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rPr>
            </w:pP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p>
        </w:tc>
        <w:tc>
          <w:tcPr>
            <w:tcW w:w="50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12</w:t>
            </w:r>
          </w:p>
        </w:tc>
        <w:tc>
          <w:tcPr>
            <w:tcW w:w="105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rPr>
            </w:pPr>
          </w:p>
        </w:tc>
        <w:tc>
          <w:tcPr>
            <w:tcW w:w="306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十二、农林水支出</w:t>
            </w:r>
          </w:p>
        </w:tc>
        <w:tc>
          <w:tcPr>
            <w:tcW w:w="48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43</w:t>
            </w:r>
          </w:p>
        </w:tc>
        <w:tc>
          <w:tcPr>
            <w:tcW w:w="104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rPr>
            </w:pPr>
            <w:r>
              <w:rPr>
                <w:rFonts w:hint="eastAsia" w:ascii="宋体" w:hAnsi="宋体" w:eastAsia="宋体" w:cs="宋体"/>
                <w:i w:val="0"/>
                <w:color w:val="000000"/>
                <w:kern w:val="0"/>
                <w:sz w:val="22"/>
                <w:szCs w:val="22"/>
                <w:u w:val="none"/>
                <w:lang w:val="en-US" w:eastAsia="zh-CN" w:bidi="ar"/>
              </w:rPr>
              <w:t>3.03</w:t>
            </w: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p>
        </w:tc>
        <w:tc>
          <w:tcPr>
            <w:tcW w:w="50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13</w:t>
            </w:r>
          </w:p>
        </w:tc>
        <w:tc>
          <w:tcPr>
            <w:tcW w:w="105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rPr>
            </w:pPr>
          </w:p>
        </w:tc>
        <w:tc>
          <w:tcPr>
            <w:tcW w:w="306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十三、交通运输支出</w:t>
            </w:r>
          </w:p>
        </w:tc>
        <w:tc>
          <w:tcPr>
            <w:tcW w:w="48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44</w:t>
            </w:r>
          </w:p>
        </w:tc>
        <w:tc>
          <w:tcPr>
            <w:tcW w:w="104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rPr>
            </w:pP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p>
        </w:tc>
        <w:tc>
          <w:tcPr>
            <w:tcW w:w="50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14</w:t>
            </w:r>
          </w:p>
        </w:tc>
        <w:tc>
          <w:tcPr>
            <w:tcW w:w="105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rPr>
            </w:pPr>
          </w:p>
        </w:tc>
        <w:tc>
          <w:tcPr>
            <w:tcW w:w="306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十四、资源勘探工业信息等支出</w:t>
            </w:r>
          </w:p>
        </w:tc>
        <w:tc>
          <w:tcPr>
            <w:tcW w:w="48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45</w:t>
            </w:r>
          </w:p>
        </w:tc>
        <w:tc>
          <w:tcPr>
            <w:tcW w:w="104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rPr>
            </w:pP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p>
        </w:tc>
        <w:tc>
          <w:tcPr>
            <w:tcW w:w="50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15</w:t>
            </w:r>
          </w:p>
        </w:tc>
        <w:tc>
          <w:tcPr>
            <w:tcW w:w="105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rPr>
            </w:pPr>
          </w:p>
        </w:tc>
        <w:tc>
          <w:tcPr>
            <w:tcW w:w="306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十五、商业服务业等支出</w:t>
            </w:r>
          </w:p>
        </w:tc>
        <w:tc>
          <w:tcPr>
            <w:tcW w:w="48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46</w:t>
            </w:r>
          </w:p>
        </w:tc>
        <w:tc>
          <w:tcPr>
            <w:tcW w:w="104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rPr>
            </w:pP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p>
        </w:tc>
        <w:tc>
          <w:tcPr>
            <w:tcW w:w="50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16</w:t>
            </w:r>
          </w:p>
        </w:tc>
        <w:tc>
          <w:tcPr>
            <w:tcW w:w="105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rPr>
            </w:pPr>
          </w:p>
        </w:tc>
        <w:tc>
          <w:tcPr>
            <w:tcW w:w="306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十六、金融支出</w:t>
            </w:r>
          </w:p>
        </w:tc>
        <w:tc>
          <w:tcPr>
            <w:tcW w:w="48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47</w:t>
            </w:r>
          </w:p>
        </w:tc>
        <w:tc>
          <w:tcPr>
            <w:tcW w:w="104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rPr>
            </w:pP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p>
        </w:tc>
        <w:tc>
          <w:tcPr>
            <w:tcW w:w="50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17</w:t>
            </w:r>
          </w:p>
        </w:tc>
        <w:tc>
          <w:tcPr>
            <w:tcW w:w="105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rPr>
            </w:pPr>
          </w:p>
        </w:tc>
        <w:tc>
          <w:tcPr>
            <w:tcW w:w="306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十七、援助其他地区支出</w:t>
            </w:r>
          </w:p>
        </w:tc>
        <w:tc>
          <w:tcPr>
            <w:tcW w:w="48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48</w:t>
            </w:r>
          </w:p>
        </w:tc>
        <w:tc>
          <w:tcPr>
            <w:tcW w:w="104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rPr>
            </w:pP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p>
        </w:tc>
        <w:tc>
          <w:tcPr>
            <w:tcW w:w="50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18</w:t>
            </w:r>
          </w:p>
        </w:tc>
        <w:tc>
          <w:tcPr>
            <w:tcW w:w="105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rPr>
            </w:pPr>
          </w:p>
        </w:tc>
        <w:tc>
          <w:tcPr>
            <w:tcW w:w="306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十八、自然资源海洋气象等支出</w:t>
            </w:r>
          </w:p>
        </w:tc>
        <w:tc>
          <w:tcPr>
            <w:tcW w:w="48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49</w:t>
            </w:r>
          </w:p>
        </w:tc>
        <w:tc>
          <w:tcPr>
            <w:tcW w:w="104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rPr>
            </w:pP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p>
        </w:tc>
        <w:tc>
          <w:tcPr>
            <w:tcW w:w="50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19</w:t>
            </w:r>
          </w:p>
        </w:tc>
        <w:tc>
          <w:tcPr>
            <w:tcW w:w="105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rPr>
            </w:pPr>
          </w:p>
        </w:tc>
        <w:tc>
          <w:tcPr>
            <w:tcW w:w="306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十九、住房保障支出</w:t>
            </w:r>
          </w:p>
        </w:tc>
        <w:tc>
          <w:tcPr>
            <w:tcW w:w="48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50</w:t>
            </w:r>
          </w:p>
        </w:tc>
        <w:tc>
          <w:tcPr>
            <w:tcW w:w="104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rPr>
            </w:pPr>
            <w:r>
              <w:rPr>
                <w:rFonts w:hint="eastAsia" w:ascii="宋体" w:hAnsi="宋体" w:eastAsia="宋体" w:cs="宋体"/>
                <w:i w:val="0"/>
                <w:color w:val="000000"/>
                <w:kern w:val="0"/>
                <w:sz w:val="22"/>
                <w:szCs w:val="22"/>
                <w:u w:val="none"/>
                <w:lang w:val="en-US" w:eastAsia="zh-CN" w:bidi="ar"/>
              </w:rPr>
              <w:t>93.16</w:t>
            </w: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p>
        </w:tc>
        <w:tc>
          <w:tcPr>
            <w:tcW w:w="50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20</w:t>
            </w:r>
          </w:p>
        </w:tc>
        <w:tc>
          <w:tcPr>
            <w:tcW w:w="105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rPr>
            </w:pPr>
          </w:p>
        </w:tc>
        <w:tc>
          <w:tcPr>
            <w:tcW w:w="306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二十、粮油物资储备支出</w:t>
            </w:r>
          </w:p>
        </w:tc>
        <w:tc>
          <w:tcPr>
            <w:tcW w:w="48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51</w:t>
            </w:r>
          </w:p>
        </w:tc>
        <w:tc>
          <w:tcPr>
            <w:tcW w:w="104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rPr>
            </w:pP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p>
        </w:tc>
        <w:tc>
          <w:tcPr>
            <w:tcW w:w="50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21</w:t>
            </w:r>
          </w:p>
        </w:tc>
        <w:tc>
          <w:tcPr>
            <w:tcW w:w="105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rPr>
            </w:pPr>
          </w:p>
        </w:tc>
        <w:tc>
          <w:tcPr>
            <w:tcW w:w="306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二十一、国有资本经营预算支出</w:t>
            </w:r>
          </w:p>
        </w:tc>
        <w:tc>
          <w:tcPr>
            <w:tcW w:w="48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52</w:t>
            </w:r>
          </w:p>
        </w:tc>
        <w:tc>
          <w:tcPr>
            <w:tcW w:w="104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rPr>
            </w:pP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kern w:val="0"/>
              </w:rPr>
            </w:pPr>
          </w:p>
        </w:tc>
        <w:tc>
          <w:tcPr>
            <w:tcW w:w="50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kern w:val="0"/>
              </w:rPr>
            </w:pPr>
            <w:r>
              <w:t>22</w:t>
            </w:r>
          </w:p>
        </w:tc>
        <w:tc>
          <w:tcPr>
            <w:tcW w:w="105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kern w:val="0"/>
              </w:rPr>
            </w:pPr>
          </w:p>
        </w:tc>
        <w:tc>
          <w:tcPr>
            <w:tcW w:w="306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kern w:val="0"/>
              </w:rPr>
            </w:pPr>
            <w:r>
              <w:rPr>
                <w:rFonts w:hint="eastAsia" w:cs="宋体"/>
              </w:rPr>
              <w:t>二十二、灾害防治及应急管理支出</w:t>
            </w:r>
          </w:p>
        </w:tc>
        <w:tc>
          <w:tcPr>
            <w:tcW w:w="48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kern w:val="0"/>
              </w:rPr>
            </w:pPr>
            <w:r>
              <w:t>53</w:t>
            </w:r>
          </w:p>
        </w:tc>
        <w:tc>
          <w:tcPr>
            <w:tcW w:w="104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kern w:val="0"/>
              </w:rPr>
            </w:pP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p>
        </w:tc>
        <w:tc>
          <w:tcPr>
            <w:tcW w:w="50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23</w:t>
            </w:r>
          </w:p>
        </w:tc>
        <w:tc>
          <w:tcPr>
            <w:tcW w:w="105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rPr>
            </w:pPr>
          </w:p>
        </w:tc>
        <w:tc>
          <w:tcPr>
            <w:tcW w:w="306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二十三、其他支出</w:t>
            </w:r>
          </w:p>
        </w:tc>
        <w:tc>
          <w:tcPr>
            <w:tcW w:w="48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54</w:t>
            </w:r>
          </w:p>
        </w:tc>
        <w:tc>
          <w:tcPr>
            <w:tcW w:w="104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rPr>
            </w:pP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p>
        </w:tc>
        <w:tc>
          <w:tcPr>
            <w:tcW w:w="50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24</w:t>
            </w:r>
          </w:p>
        </w:tc>
        <w:tc>
          <w:tcPr>
            <w:tcW w:w="105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rPr>
            </w:pPr>
          </w:p>
        </w:tc>
        <w:tc>
          <w:tcPr>
            <w:tcW w:w="306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二十四、债务还本支出</w:t>
            </w:r>
          </w:p>
        </w:tc>
        <w:tc>
          <w:tcPr>
            <w:tcW w:w="48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55</w:t>
            </w:r>
          </w:p>
        </w:tc>
        <w:tc>
          <w:tcPr>
            <w:tcW w:w="104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rPr>
            </w:pP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b/>
                <w:bCs/>
                <w:color w:val="000000"/>
              </w:rPr>
            </w:pPr>
          </w:p>
        </w:tc>
        <w:tc>
          <w:tcPr>
            <w:tcW w:w="50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25</w:t>
            </w:r>
          </w:p>
        </w:tc>
        <w:tc>
          <w:tcPr>
            <w:tcW w:w="105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rPr>
            </w:pPr>
          </w:p>
        </w:tc>
        <w:tc>
          <w:tcPr>
            <w:tcW w:w="3062" w:type="dxa"/>
            <w:tcBorders>
              <w:top w:val="nil"/>
              <w:left w:val="nil"/>
              <w:bottom w:val="single" w:color="000000" w:sz="4" w:space="0"/>
              <w:right w:val="single" w:color="000000" w:sz="4" w:space="0"/>
            </w:tcBorders>
            <w:tcMar>
              <w:top w:w="15" w:type="dxa"/>
              <w:left w:w="15" w:type="dxa"/>
              <w:right w:w="15" w:type="dxa"/>
            </w:tcMar>
            <w:vAlign w:val="center"/>
          </w:tcPr>
          <w:p>
            <w:pPr>
              <w:widowControl/>
              <w:textAlignment w:val="center"/>
              <w:rPr>
                <w:rFonts w:ascii="宋体" w:cs="Times New Roman"/>
                <w:b/>
                <w:bCs/>
                <w:color w:val="000000"/>
              </w:rPr>
            </w:pPr>
            <w:r>
              <w:rPr>
                <w:rFonts w:hint="eastAsia" w:cs="宋体"/>
              </w:rPr>
              <w:t>二十五、债务付息支出</w:t>
            </w:r>
          </w:p>
        </w:tc>
        <w:tc>
          <w:tcPr>
            <w:tcW w:w="48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56</w:t>
            </w:r>
          </w:p>
        </w:tc>
        <w:tc>
          <w:tcPr>
            <w:tcW w:w="104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rPr>
            </w:pP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p>
        </w:tc>
        <w:tc>
          <w:tcPr>
            <w:tcW w:w="50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26</w:t>
            </w:r>
          </w:p>
        </w:tc>
        <w:tc>
          <w:tcPr>
            <w:tcW w:w="105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rPr>
            </w:pPr>
          </w:p>
        </w:tc>
        <w:tc>
          <w:tcPr>
            <w:tcW w:w="306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二十六、抗疫特别国债安排的支出</w:t>
            </w:r>
          </w:p>
        </w:tc>
        <w:tc>
          <w:tcPr>
            <w:tcW w:w="48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57</w:t>
            </w:r>
          </w:p>
        </w:tc>
        <w:tc>
          <w:tcPr>
            <w:tcW w:w="104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rPr>
            </w:pPr>
          </w:p>
        </w:tc>
      </w:tr>
      <w:tr>
        <w:tblPrEx>
          <w:tblCellMar>
            <w:top w:w="0" w:type="dxa"/>
            <w:left w:w="0" w:type="dxa"/>
            <w:bottom w:w="0" w:type="dxa"/>
            <w:right w:w="0" w:type="dxa"/>
          </w:tblCellMar>
        </w:tblPrEx>
        <w:trPr>
          <w:trHeight w:val="472" w:hRule="atLeast"/>
          <w:jc w:val="center"/>
        </w:trPr>
        <w:tc>
          <w:tcPr>
            <w:tcW w:w="341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rPr>
                <w:rFonts w:hint="eastAsia" w:cs="宋体"/>
              </w:rPr>
              <w:t>本年收入合计</w:t>
            </w:r>
          </w:p>
        </w:tc>
        <w:tc>
          <w:tcPr>
            <w:tcW w:w="50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27</w:t>
            </w:r>
          </w:p>
        </w:tc>
        <w:tc>
          <w:tcPr>
            <w:tcW w:w="105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rPr>
            </w:pPr>
            <w:r>
              <w:rPr>
                <w:rFonts w:hint="eastAsia" w:ascii="宋体" w:hAnsi="宋体" w:eastAsia="宋体" w:cs="宋体"/>
                <w:i w:val="0"/>
                <w:color w:val="000000"/>
                <w:kern w:val="0"/>
                <w:sz w:val="22"/>
                <w:szCs w:val="22"/>
                <w:u w:val="none"/>
                <w:lang w:val="en-US" w:eastAsia="zh-CN" w:bidi="ar"/>
              </w:rPr>
              <w:t>13,547.43</w:t>
            </w:r>
          </w:p>
        </w:tc>
        <w:tc>
          <w:tcPr>
            <w:tcW w:w="306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rPr>
                <w:rFonts w:hint="eastAsia" w:cs="宋体"/>
              </w:rPr>
              <w:t>本年支出合计</w:t>
            </w:r>
          </w:p>
        </w:tc>
        <w:tc>
          <w:tcPr>
            <w:tcW w:w="48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58</w:t>
            </w:r>
          </w:p>
        </w:tc>
        <w:tc>
          <w:tcPr>
            <w:tcW w:w="104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rPr>
            </w:pPr>
            <w:r>
              <w:rPr>
                <w:rFonts w:hint="eastAsia" w:ascii="宋体" w:hAnsi="宋体" w:eastAsia="宋体" w:cs="宋体"/>
                <w:i w:val="0"/>
                <w:color w:val="000000"/>
                <w:kern w:val="0"/>
                <w:sz w:val="22"/>
                <w:szCs w:val="22"/>
                <w:u w:val="none"/>
                <w:lang w:val="en-US" w:eastAsia="zh-CN" w:bidi="ar"/>
              </w:rPr>
              <w:t>13,546.55</w:t>
            </w: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使用非财政拨款结余</w:t>
            </w:r>
          </w:p>
        </w:tc>
        <w:tc>
          <w:tcPr>
            <w:tcW w:w="50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28</w:t>
            </w:r>
          </w:p>
        </w:tc>
        <w:tc>
          <w:tcPr>
            <w:tcW w:w="105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rPr>
            </w:pPr>
          </w:p>
        </w:tc>
        <w:tc>
          <w:tcPr>
            <w:tcW w:w="306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结余分配</w:t>
            </w:r>
          </w:p>
        </w:tc>
        <w:tc>
          <w:tcPr>
            <w:tcW w:w="48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59</w:t>
            </w:r>
          </w:p>
        </w:tc>
        <w:tc>
          <w:tcPr>
            <w:tcW w:w="104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rPr>
            </w:pP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auto" w:sz="4" w:space="0"/>
              <w:right w:val="single" w:color="000000" w:sz="4" w:space="0"/>
            </w:tcBorders>
            <w:tcMar>
              <w:top w:w="15" w:type="dxa"/>
              <w:left w:w="15" w:type="dxa"/>
              <w:right w:w="15" w:type="dxa"/>
            </w:tcMar>
            <w:vAlign w:val="center"/>
          </w:tcPr>
          <w:p>
            <w:pPr>
              <w:widowControl/>
              <w:jc w:val="left"/>
              <w:textAlignment w:val="center"/>
              <w:rPr>
                <w:rFonts w:ascii="宋体" w:cs="Times New Roman"/>
                <w:b/>
                <w:bCs/>
                <w:color w:val="000000"/>
              </w:rPr>
            </w:pPr>
            <w:r>
              <w:rPr>
                <w:rFonts w:hint="eastAsia" w:cs="宋体"/>
              </w:rPr>
              <w:t>年初结转和结余</w:t>
            </w:r>
          </w:p>
        </w:tc>
        <w:tc>
          <w:tcPr>
            <w:tcW w:w="508" w:type="dxa"/>
            <w:gridSpan w:val="2"/>
            <w:tcBorders>
              <w:top w:val="nil"/>
              <w:left w:val="nil"/>
              <w:bottom w:val="single" w:color="auto"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29</w:t>
            </w:r>
          </w:p>
        </w:tc>
        <w:tc>
          <w:tcPr>
            <w:tcW w:w="1056" w:type="dxa"/>
            <w:tcBorders>
              <w:top w:val="nil"/>
              <w:left w:val="nil"/>
              <w:bottom w:val="single" w:color="auto"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rPr>
            </w:pPr>
            <w:r>
              <w:rPr>
                <w:rFonts w:hint="eastAsia" w:ascii="宋体" w:hAnsi="宋体" w:eastAsia="宋体" w:cs="宋体"/>
                <w:i w:val="0"/>
                <w:color w:val="000000"/>
                <w:kern w:val="0"/>
                <w:sz w:val="22"/>
                <w:szCs w:val="22"/>
                <w:u w:val="none"/>
                <w:lang w:val="en-US" w:eastAsia="zh-CN" w:bidi="ar"/>
              </w:rPr>
              <w:t>1.73</w:t>
            </w:r>
          </w:p>
        </w:tc>
        <w:tc>
          <w:tcPr>
            <w:tcW w:w="3062" w:type="dxa"/>
            <w:tcBorders>
              <w:top w:val="nil"/>
              <w:left w:val="nil"/>
              <w:bottom w:val="single" w:color="auto" w:sz="4" w:space="0"/>
              <w:right w:val="single" w:color="000000" w:sz="4" w:space="0"/>
            </w:tcBorders>
            <w:tcMar>
              <w:top w:w="15" w:type="dxa"/>
              <w:left w:w="15" w:type="dxa"/>
              <w:right w:w="15" w:type="dxa"/>
            </w:tcMar>
            <w:vAlign w:val="center"/>
          </w:tcPr>
          <w:p>
            <w:pPr>
              <w:widowControl/>
              <w:jc w:val="left"/>
              <w:textAlignment w:val="center"/>
              <w:rPr>
                <w:rFonts w:ascii="宋体" w:cs="Times New Roman"/>
                <w:b/>
                <w:bCs/>
                <w:color w:val="000000"/>
              </w:rPr>
            </w:pPr>
            <w:r>
              <w:rPr>
                <w:rFonts w:hint="eastAsia" w:cs="宋体"/>
              </w:rPr>
              <w:t>年末结转和结余</w:t>
            </w:r>
          </w:p>
        </w:tc>
        <w:tc>
          <w:tcPr>
            <w:tcW w:w="482" w:type="dxa"/>
            <w:tcBorders>
              <w:top w:val="nil"/>
              <w:left w:val="nil"/>
              <w:bottom w:val="single" w:color="auto"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60</w:t>
            </w:r>
          </w:p>
        </w:tc>
        <w:tc>
          <w:tcPr>
            <w:tcW w:w="1046" w:type="dxa"/>
            <w:tcBorders>
              <w:top w:val="nil"/>
              <w:left w:val="nil"/>
              <w:bottom w:val="single" w:color="auto"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rPr>
            </w:pPr>
            <w:r>
              <w:rPr>
                <w:rFonts w:hint="eastAsia" w:ascii="宋体" w:hAnsi="宋体" w:eastAsia="宋体" w:cs="宋体"/>
                <w:i w:val="0"/>
                <w:color w:val="000000"/>
                <w:kern w:val="0"/>
                <w:sz w:val="22"/>
                <w:szCs w:val="22"/>
                <w:u w:val="none"/>
                <w:lang w:val="en-US" w:eastAsia="zh-CN" w:bidi="ar"/>
              </w:rPr>
              <w:t>2.61</w:t>
            </w:r>
          </w:p>
        </w:tc>
      </w:tr>
      <w:tr>
        <w:tblPrEx>
          <w:tblCellMar>
            <w:top w:w="0" w:type="dxa"/>
            <w:left w:w="0" w:type="dxa"/>
            <w:bottom w:w="0" w:type="dxa"/>
            <w:right w:w="0" w:type="dxa"/>
          </w:tblCellMar>
        </w:tblPrEx>
        <w:trPr>
          <w:trHeight w:val="306" w:hRule="atLeast"/>
          <w:jc w:val="center"/>
        </w:trPr>
        <w:tc>
          <w:tcPr>
            <w:tcW w:w="3416"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center"/>
              <w:textAlignment w:val="center"/>
              <w:rPr>
                <w:rFonts w:cs="Times New Roman"/>
              </w:rPr>
            </w:pPr>
          </w:p>
        </w:tc>
        <w:tc>
          <w:tcPr>
            <w:tcW w:w="508" w:type="dxa"/>
            <w:gridSpan w:val="2"/>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center"/>
              <w:textAlignment w:val="center"/>
            </w:pPr>
            <w:r>
              <w:t>30</w:t>
            </w:r>
          </w:p>
        </w:tc>
        <w:tc>
          <w:tcPr>
            <w:tcW w:w="1056"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宋体" w:cs="Times New Roman"/>
                <w:color w:val="000000"/>
              </w:rPr>
            </w:pPr>
          </w:p>
        </w:tc>
        <w:tc>
          <w:tcPr>
            <w:tcW w:w="3062"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center"/>
              <w:textAlignment w:val="center"/>
              <w:rPr>
                <w:rFonts w:cs="Times New Roman"/>
              </w:rPr>
            </w:pPr>
          </w:p>
        </w:tc>
        <w:tc>
          <w:tcPr>
            <w:tcW w:w="482"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center"/>
              <w:textAlignment w:val="center"/>
            </w:pPr>
            <w:r>
              <w:t>61</w:t>
            </w:r>
          </w:p>
        </w:tc>
        <w:tc>
          <w:tcPr>
            <w:tcW w:w="1046"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left"/>
              <w:rPr>
                <w:rFonts w:ascii="宋体" w:cs="Times New Roman"/>
                <w:color w:val="000000"/>
              </w:rPr>
            </w:pPr>
          </w:p>
        </w:tc>
      </w:tr>
      <w:tr>
        <w:tblPrEx>
          <w:tblCellMar>
            <w:top w:w="0" w:type="dxa"/>
            <w:left w:w="0" w:type="dxa"/>
            <w:bottom w:w="0" w:type="dxa"/>
            <w:right w:w="0" w:type="dxa"/>
          </w:tblCellMar>
        </w:tblPrEx>
        <w:trPr>
          <w:trHeight w:val="429" w:hRule="atLeast"/>
          <w:jc w:val="center"/>
        </w:trPr>
        <w:tc>
          <w:tcPr>
            <w:tcW w:w="3416"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center"/>
              <w:textAlignment w:val="center"/>
              <w:rPr>
                <w:rFonts w:cs="Times New Roman"/>
              </w:rPr>
            </w:pPr>
            <w:r>
              <w:rPr>
                <w:rFonts w:hint="eastAsia" w:cs="宋体"/>
              </w:rPr>
              <w:t>总计</w:t>
            </w:r>
          </w:p>
        </w:tc>
        <w:tc>
          <w:tcPr>
            <w:tcW w:w="508" w:type="dxa"/>
            <w:gridSpan w:val="2"/>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center"/>
              <w:textAlignment w:val="center"/>
            </w:pPr>
            <w:r>
              <w:t>31</w:t>
            </w:r>
          </w:p>
        </w:tc>
        <w:tc>
          <w:tcPr>
            <w:tcW w:w="1056"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rPr>
            </w:pPr>
            <w:r>
              <w:rPr>
                <w:rFonts w:hint="eastAsia" w:ascii="宋体" w:hAnsi="宋体" w:eastAsia="宋体" w:cs="宋体"/>
                <w:i w:val="0"/>
                <w:color w:val="000000"/>
                <w:kern w:val="0"/>
                <w:sz w:val="22"/>
                <w:szCs w:val="22"/>
                <w:u w:val="none"/>
                <w:lang w:val="en-US" w:eastAsia="zh-CN" w:bidi="ar"/>
              </w:rPr>
              <w:t>13,549.16</w:t>
            </w:r>
          </w:p>
        </w:tc>
        <w:tc>
          <w:tcPr>
            <w:tcW w:w="3062"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center"/>
              <w:textAlignment w:val="center"/>
              <w:rPr>
                <w:rFonts w:cs="Times New Roman"/>
              </w:rPr>
            </w:pPr>
            <w:r>
              <w:rPr>
                <w:rFonts w:hint="eastAsia" w:cs="宋体"/>
              </w:rPr>
              <w:t>总计</w:t>
            </w:r>
          </w:p>
        </w:tc>
        <w:tc>
          <w:tcPr>
            <w:tcW w:w="482"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center"/>
              <w:textAlignment w:val="center"/>
            </w:pPr>
            <w:r>
              <w:t>62</w:t>
            </w:r>
          </w:p>
        </w:tc>
        <w:tc>
          <w:tcPr>
            <w:tcW w:w="1046"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rPr>
            </w:pPr>
            <w:r>
              <w:rPr>
                <w:rFonts w:hint="eastAsia" w:ascii="宋体" w:hAnsi="宋体" w:eastAsia="宋体" w:cs="宋体"/>
                <w:i w:val="0"/>
                <w:color w:val="000000"/>
                <w:kern w:val="0"/>
                <w:sz w:val="22"/>
                <w:szCs w:val="22"/>
                <w:u w:val="none"/>
                <w:lang w:val="en-US" w:eastAsia="zh-CN" w:bidi="ar"/>
              </w:rPr>
              <w:t>13,549.16</w:t>
            </w:r>
          </w:p>
        </w:tc>
      </w:tr>
      <w:tr>
        <w:tblPrEx>
          <w:tblCellMar>
            <w:top w:w="0" w:type="dxa"/>
            <w:left w:w="0" w:type="dxa"/>
            <w:bottom w:w="0" w:type="dxa"/>
            <w:right w:w="0" w:type="dxa"/>
          </w:tblCellMar>
        </w:tblPrEx>
        <w:trPr>
          <w:trHeight w:val="306" w:hRule="atLeast"/>
          <w:jc w:val="center"/>
        </w:trPr>
        <w:tc>
          <w:tcPr>
            <w:tcW w:w="9570" w:type="dxa"/>
            <w:gridSpan w:val="7"/>
            <w:tcBorders>
              <w:top w:val="single" w:color="auto" w:sz="4" w:space="0"/>
              <w:left w:val="nil"/>
              <w:bottom w:val="nil"/>
              <w:right w:val="nil"/>
            </w:tcBorders>
            <w:tcMar>
              <w:top w:w="15" w:type="dxa"/>
              <w:left w:w="15" w:type="dxa"/>
              <w:right w:w="15" w:type="dxa"/>
            </w:tcMar>
            <w:vAlign w:val="center"/>
          </w:tcPr>
          <w:p>
            <w:pPr>
              <w:widowControl/>
              <w:jc w:val="left"/>
              <w:textAlignment w:val="center"/>
              <w:rPr>
                <w:rFonts w:ascii="宋体" w:cs="Times New Roman"/>
                <w:color w:val="000000"/>
                <w:kern w:val="0"/>
                <w:sz w:val="20"/>
                <w:szCs w:val="20"/>
              </w:rPr>
            </w:pPr>
            <w:r>
              <w:rPr>
                <w:rFonts w:hint="eastAsia" w:cs="宋体"/>
                <w:sz w:val="20"/>
                <w:szCs w:val="20"/>
              </w:rPr>
              <w:t>注：本表反映</w:t>
            </w:r>
            <w:r>
              <w:rPr>
                <w:rFonts w:hint="eastAsia" w:cs="宋体"/>
                <w:sz w:val="20"/>
                <w:szCs w:val="20"/>
                <w:lang w:eastAsia="zh-CN"/>
              </w:rPr>
              <w:t>部门</w:t>
            </w:r>
            <w:r>
              <w:rPr>
                <w:rFonts w:hint="eastAsia" w:cs="宋体"/>
                <w:sz w:val="20"/>
                <w:szCs w:val="20"/>
              </w:rPr>
              <w:t>本年度的总收支和年末结转结余情况。本套报表金额单位转换时可能存在尾数误差。</w:t>
            </w:r>
          </w:p>
        </w:tc>
      </w:tr>
    </w:tbl>
    <w:p>
      <w:pPr>
        <w:widowControl/>
        <w:jc w:val="left"/>
        <w:textAlignment w:val="center"/>
        <w:rPr>
          <w:rFonts w:cs="Times New Roman"/>
          <w:sz w:val="20"/>
          <w:szCs w:val="20"/>
        </w:rPr>
      </w:pPr>
      <w:r>
        <w:rPr>
          <w:rFonts w:cs="Times New Roman"/>
          <w:sz w:val="20"/>
          <w:szCs w:val="20"/>
        </w:rPr>
        <w:br w:type="page"/>
      </w:r>
    </w:p>
    <w:tbl>
      <w:tblPr>
        <w:tblStyle w:val="5"/>
        <w:tblW w:w="9581" w:type="dxa"/>
        <w:jc w:val="center"/>
        <w:tblLayout w:type="fixed"/>
        <w:tblCellMar>
          <w:top w:w="0" w:type="dxa"/>
          <w:left w:w="0" w:type="dxa"/>
          <w:bottom w:w="0" w:type="dxa"/>
          <w:right w:w="0" w:type="dxa"/>
        </w:tblCellMar>
      </w:tblPr>
      <w:tblGrid>
        <w:gridCol w:w="1081"/>
        <w:gridCol w:w="86"/>
        <w:gridCol w:w="86"/>
        <w:gridCol w:w="1562"/>
        <w:gridCol w:w="1091"/>
        <w:gridCol w:w="1275"/>
        <w:gridCol w:w="532"/>
        <w:gridCol w:w="966"/>
        <w:gridCol w:w="966"/>
        <w:gridCol w:w="966"/>
        <w:gridCol w:w="970"/>
      </w:tblGrid>
      <w:tr>
        <w:tblPrEx>
          <w:tblCellMar>
            <w:top w:w="0" w:type="dxa"/>
            <w:left w:w="0" w:type="dxa"/>
            <w:bottom w:w="0" w:type="dxa"/>
            <w:right w:w="0" w:type="dxa"/>
          </w:tblCellMar>
        </w:tblPrEx>
        <w:trPr>
          <w:trHeight w:val="670" w:hRule="atLeast"/>
          <w:jc w:val="center"/>
        </w:trPr>
        <w:tc>
          <w:tcPr>
            <w:tcW w:w="9581" w:type="dxa"/>
            <w:gridSpan w:val="11"/>
            <w:tcBorders>
              <w:top w:val="nil"/>
              <w:left w:val="nil"/>
              <w:bottom w:val="nil"/>
              <w:right w:val="nil"/>
            </w:tcBorders>
            <w:tcMar>
              <w:top w:w="15" w:type="dxa"/>
              <w:left w:w="15" w:type="dxa"/>
              <w:right w:w="15" w:type="dxa"/>
            </w:tcMar>
            <w:vAlign w:val="bottom"/>
          </w:tcPr>
          <w:p>
            <w:pPr>
              <w:widowControl/>
              <w:jc w:val="center"/>
              <w:textAlignment w:val="bottom"/>
              <w:rPr>
                <w:rFonts w:ascii="黑体" w:hAnsi="宋体" w:eastAsia="黑体" w:cs="Times New Roman"/>
                <w:color w:val="000000"/>
                <w:sz w:val="32"/>
                <w:szCs w:val="32"/>
              </w:rPr>
            </w:pPr>
            <w:r>
              <w:rPr>
                <w:rFonts w:hint="eastAsia" w:ascii="黑体" w:hAnsi="宋体" w:eastAsia="黑体" w:cs="黑体"/>
                <w:color w:val="000000"/>
                <w:kern w:val="0"/>
                <w:sz w:val="32"/>
                <w:szCs w:val="32"/>
              </w:rPr>
              <w:t>收入决算表</w:t>
            </w:r>
          </w:p>
        </w:tc>
      </w:tr>
      <w:tr>
        <w:tblPrEx>
          <w:tblCellMar>
            <w:top w:w="0" w:type="dxa"/>
            <w:left w:w="0" w:type="dxa"/>
            <w:bottom w:w="0" w:type="dxa"/>
            <w:right w:w="0" w:type="dxa"/>
          </w:tblCellMar>
        </w:tblPrEx>
        <w:trPr>
          <w:trHeight w:val="357" w:hRule="atLeast"/>
          <w:jc w:val="center"/>
        </w:trPr>
        <w:tc>
          <w:tcPr>
            <w:tcW w:w="108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86"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86"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562"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09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275"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532"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966"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966"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936" w:type="dxa"/>
            <w:gridSpan w:val="2"/>
            <w:tcBorders>
              <w:top w:val="nil"/>
              <w:left w:val="nil"/>
              <w:bottom w:val="nil"/>
              <w:right w:val="nil"/>
            </w:tcBorders>
            <w:tcMar>
              <w:top w:w="15" w:type="dxa"/>
              <w:left w:w="15" w:type="dxa"/>
              <w:right w:w="15" w:type="dxa"/>
            </w:tcMar>
            <w:vAlign w:val="bottom"/>
          </w:tcPr>
          <w:p>
            <w:pPr>
              <w:widowControl/>
              <w:jc w:val="right"/>
              <w:textAlignment w:val="bottom"/>
              <w:rPr>
                <w:rFonts w:ascii="宋体" w:cs="Times New Roman"/>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02</w:t>
            </w:r>
            <w:r>
              <w:rPr>
                <w:rFonts w:hint="eastAsia" w:ascii="宋体" w:hAnsi="宋体" w:cs="宋体"/>
                <w:color w:val="000000"/>
                <w:kern w:val="0"/>
                <w:sz w:val="20"/>
                <w:szCs w:val="20"/>
              </w:rPr>
              <w:t>表</w:t>
            </w:r>
          </w:p>
        </w:tc>
      </w:tr>
      <w:tr>
        <w:tblPrEx>
          <w:tblCellMar>
            <w:top w:w="0" w:type="dxa"/>
            <w:left w:w="0" w:type="dxa"/>
            <w:bottom w:w="0" w:type="dxa"/>
            <w:right w:w="0" w:type="dxa"/>
          </w:tblCellMar>
        </w:tblPrEx>
        <w:trPr>
          <w:trHeight w:val="357" w:hRule="atLeast"/>
          <w:jc w:val="center"/>
        </w:trPr>
        <w:tc>
          <w:tcPr>
            <w:tcW w:w="3906" w:type="dxa"/>
            <w:gridSpan w:val="5"/>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r>
              <w:rPr>
                <w:rFonts w:hint="eastAsia" w:ascii="宋体" w:hAnsi="宋体" w:cs="宋体"/>
                <w:color w:val="000000"/>
                <w:kern w:val="0"/>
                <w:sz w:val="20"/>
                <w:szCs w:val="20"/>
              </w:rPr>
              <w:t>单位：石家庄市鹿泉区财政局</w:t>
            </w:r>
          </w:p>
        </w:tc>
        <w:tc>
          <w:tcPr>
            <w:tcW w:w="1275"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532"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966"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2902" w:type="dxa"/>
            <w:gridSpan w:val="3"/>
            <w:tcBorders>
              <w:top w:val="nil"/>
              <w:left w:val="nil"/>
              <w:bottom w:val="nil"/>
              <w:right w:val="nil"/>
            </w:tcBorders>
            <w:tcMar>
              <w:top w:w="15" w:type="dxa"/>
              <w:left w:w="15" w:type="dxa"/>
              <w:right w:w="15" w:type="dxa"/>
            </w:tcMar>
            <w:vAlign w:val="bottom"/>
          </w:tcPr>
          <w:p>
            <w:pPr>
              <w:widowControl/>
              <w:jc w:val="right"/>
              <w:textAlignment w:val="bottom"/>
              <w:rPr>
                <w:rFonts w:ascii="宋体" w:cs="Times New Roman"/>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385" w:hRule="atLeast"/>
          <w:jc w:val="center"/>
        </w:trPr>
        <w:tc>
          <w:tcPr>
            <w:tcW w:w="2815" w:type="dxa"/>
            <w:gridSpan w:val="4"/>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项目</w:t>
            </w:r>
          </w:p>
        </w:tc>
        <w:tc>
          <w:tcPr>
            <w:tcW w:w="1091"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本年收入合计</w:t>
            </w:r>
          </w:p>
        </w:tc>
        <w:tc>
          <w:tcPr>
            <w:tcW w:w="1275"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财政拨款收入</w:t>
            </w:r>
          </w:p>
        </w:tc>
        <w:tc>
          <w:tcPr>
            <w:tcW w:w="532"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上级补助收入</w:t>
            </w:r>
          </w:p>
        </w:tc>
        <w:tc>
          <w:tcPr>
            <w:tcW w:w="966"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事业收入</w:t>
            </w:r>
          </w:p>
        </w:tc>
        <w:tc>
          <w:tcPr>
            <w:tcW w:w="966"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经营收入</w:t>
            </w:r>
          </w:p>
        </w:tc>
        <w:tc>
          <w:tcPr>
            <w:tcW w:w="966"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附属单位上缴收入</w:t>
            </w:r>
          </w:p>
        </w:tc>
        <w:tc>
          <w:tcPr>
            <w:tcW w:w="970"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其他收入</w:t>
            </w:r>
          </w:p>
        </w:tc>
      </w:tr>
      <w:tr>
        <w:tblPrEx>
          <w:tblCellMar>
            <w:top w:w="0" w:type="dxa"/>
            <w:left w:w="0" w:type="dxa"/>
            <w:bottom w:w="0" w:type="dxa"/>
            <w:right w:w="0" w:type="dxa"/>
          </w:tblCellMar>
        </w:tblPrEx>
        <w:trPr>
          <w:trHeight w:val="380" w:hRule="atLeast"/>
          <w:jc w:val="center"/>
        </w:trPr>
        <w:tc>
          <w:tcPr>
            <w:tcW w:w="1253" w:type="dxa"/>
            <w:gridSpan w:val="3"/>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功能分类科目编码</w:t>
            </w:r>
          </w:p>
        </w:tc>
        <w:tc>
          <w:tcPr>
            <w:tcW w:w="1562"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科目名称</w:t>
            </w:r>
          </w:p>
        </w:tc>
        <w:tc>
          <w:tcPr>
            <w:tcW w:w="109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275"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532"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966"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966"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966"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97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r>
      <w:tr>
        <w:tblPrEx>
          <w:tblCellMar>
            <w:top w:w="0" w:type="dxa"/>
            <w:left w:w="0" w:type="dxa"/>
            <w:bottom w:w="0" w:type="dxa"/>
            <w:right w:w="0" w:type="dxa"/>
          </w:tblCellMar>
        </w:tblPrEx>
        <w:trPr>
          <w:trHeight w:val="380" w:hRule="atLeast"/>
          <w:jc w:val="center"/>
        </w:trPr>
        <w:tc>
          <w:tcPr>
            <w:tcW w:w="1253"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562"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09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275"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532"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966"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966"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966"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97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r>
      <w:tr>
        <w:tblPrEx>
          <w:tblCellMar>
            <w:top w:w="0" w:type="dxa"/>
            <w:left w:w="0" w:type="dxa"/>
            <w:bottom w:w="0" w:type="dxa"/>
            <w:right w:w="0" w:type="dxa"/>
          </w:tblCellMar>
        </w:tblPrEx>
        <w:trPr>
          <w:trHeight w:val="380" w:hRule="atLeast"/>
          <w:jc w:val="center"/>
        </w:trPr>
        <w:tc>
          <w:tcPr>
            <w:tcW w:w="1253"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562"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09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275"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532"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966"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966"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966"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97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r>
      <w:tr>
        <w:tblPrEx>
          <w:tblCellMar>
            <w:top w:w="0" w:type="dxa"/>
            <w:left w:w="0" w:type="dxa"/>
            <w:bottom w:w="0" w:type="dxa"/>
            <w:right w:w="0" w:type="dxa"/>
          </w:tblCellMar>
        </w:tblPrEx>
        <w:trPr>
          <w:trHeight w:val="385" w:hRule="atLeast"/>
          <w:jc w:val="center"/>
        </w:trPr>
        <w:tc>
          <w:tcPr>
            <w:tcW w:w="2815"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栏次</w:t>
            </w:r>
          </w:p>
        </w:tc>
        <w:tc>
          <w:tcPr>
            <w:tcW w:w="109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1</w:t>
            </w:r>
          </w:p>
        </w:tc>
        <w:tc>
          <w:tcPr>
            <w:tcW w:w="127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2</w:t>
            </w:r>
          </w:p>
        </w:tc>
        <w:tc>
          <w:tcPr>
            <w:tcW w:w="53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3</w:t>
            </w: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4</w:t>
            </w: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5</w:t>
            </w: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6</w:t>
            </w:r>
          </w:p>
        </w:tc>
        <w:tc>
          <w:tcPr>
            <w:tcW w:w="970"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7</w:t>
            </w:r>
          </w:p>
        </w:tc>
      </w:tr>
      <w:tr>
        <w:tblPrEx>
          <w:tblCellMar>
            <w:top w:w="0" w:type="dxa"/>
            <w:left w:w="0" w:type="dxa"/>
            <w:bottom w:w="0" w:type="dxa"/>
            <w:right w:w="0" w:type="dxa"/>
          </w:tblCellMar>
        </w:tblPrEx>
        <w:trPr>
          <w:trHeight w:val="385" w:hRule="atLeast"/>
          <w:jc w:val="center"/>
        </w:trPr>
        <w:tc>
          <w:tcPr>
            <w:tcW w:w="2815"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合计</w:t>
            </w:r>
          </w:p>
        </w:tc>
        <w:tc>
          <w:tcPr>
            <w:tcW w:w="109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b/>
                <w:bCs/>
                <w:color w:val="000000"/>
                <w:sz w:val="22"/>
                <w:szCs w:val="22"/>
              </w:rPr>
            </w:pPr>
            <w:r>
              <w:rPr>
                <w:rFonts w:hint="eastAsia" w:ascii="宋体" w:hAnsi="宋体" w:eastAsia="宋体" w:cs="宋体"/>
                <w:b/>
                <w:i w:val="0"/>
                <w:color w:val="000000"/>
                <w:kern w:val="0"/>
                <w:sz w:val="22"/>
                <w:szCs w:val="22"/>
                <w:u w:val="none"/>
                <w:lang w:val="en-US" w:eastAsia="zh-CN" w:bidi="ar"/>
              </w:rPr>
              <w:t>13,547.43</w:t>
            </w:r>
          </w:p>
        </w:tc>
        <w:tc>
          <w:tcPr>
            <w:tcW w:w="1275"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b/>
                <w:bCs/>
                <w:color w:val="000000"/>
                <w:sz w:val="22"/>
                <w:szCs w:val="22"/>
              </w:rPr>
            </w:pPr>
            <w:r>
              <w:rPr>
                <w:rFonts w:hint="eastAsia" w:ascii="宋体" w:hAnsi="宋体" w:eastAsia="宋体" w:cs="宋体"/>
                <w:b/>
                <w:i w:val="0"/>
                <w:color w:val="000000"/>
                <w:kern w:val="0"/>
                <w:sz w:val="22"/>
                <w:szCs w:val="22"/>
                <w:u w:val="none"/>
                <w:lang w:val="en-US" w:eastAsia="zh-CN" w:bidi="ar"/>
              </w:rPr>
              <w:t>13,539.43</w:t>
            </w:r>
          </w:p>
        </w:tc>
        <w:tc>
          <w:tcPr>
            <w:tcW w:w="53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b/>
                <w:bCs/>
                <w:color w:val="000000"/>
                <w:sz w:val="22"/>
                <w:szCs w:val="22"/>
              </w:rPr>
            </w:pP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b/>
                <w:bCs/>
                <w:color w:val="000000"/>
                <w:sz w:val="22"/>
                <w:szCs w:val="22"/>
              </w:rPr>
            </w:pP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b/>
                <w:bCs/>
                <w:color w:val="000000"/>
                <w:sz w:val="22"/>
                <w:szCs w:val="22"/>
              </w:rPr>
            </w:pP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b/>
                <w:bCs/>
                <w:color w:val="000000"/>
                <w:sz w:val="22"/>
                <w:szCs w:val="22"/>
              </w:rPr>
            </w:pPr>
          </w:p>
        </w:tc>
        <w:tc>
          <w:tcPr>
            <w:tcW w:w="97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b/>
                <w:bCs/>
                <w:color w:val="000000"/>
                <w:sz w:val="22"/>
                <w:szCs w:val="22"/>
              </w:rPr>
            </w:pPr>
            <w:r>
              <w:rPr>
                <w:rFonts w:hint="eastAsia" w:ascii="宋体" w:hAnsi="宋体" w:eastAsia="宋体" w:cs="宋体"/>
                <w:b/>
                <w:i w:val="0"/>
                <w:color w:val="000000"/>
                <w:kern w:val="0"/>
                <w:sz w:val="22"/>
                <w:szCs w:val="22"/>
                <w:u w:val="none"/>
                <w:lang w:val="en-US" w:eastAsia="zh-CN" w:bidi="ar"/>
              </w:rPr>
              <w:t>8.00</w:t>
            </w:r>
          </w:p>
        </w:tc>
      </w:tr>
      <w:tr>
        <w:tblPrEx>
          <w:tblCellMar>
            <w:top w:w="0" w:type="dxa"/>
            <w:left w:w="0" w:type="dxa"/>
            <w:bottom w:w="0" w:type="dxa"/>
            <w:right w:w="0" w:type="dxa"/>
          </w:tblCellMar>
        </w:tblPrEx>
        <w:trPr>
          <w:trHeight w:val="385" w:hRule="atLeast"/>
          <w:jc w:val="center"/>
        </w:trPr>
        <w:tc>
          <w:tcPr>
            <w:tcW w:w="125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201</w:t>
            </w:r>
          </w:p>
        </w:tc>
        <w:tc>
          <w:tcPr>
            <w:tcW w:w="156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一般公共服务支出</w:t>
            </w:r>
          </w:p>
        </w:tc>
        <w:tc>
          <w:tcPr>
            <w:tcW w:w="109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13,203.06</w:t>
            </w:r>
          </w:p>
        </w:tc>
        <w:tc>
          <w:tcPr>
            <w:tcW w:w="1275"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13,195.06</w:t>
            </w:r>
          </w:p>
        </w:tc>
        <w:tc>
          <w:tcPr>
            <w:tcW w:w="53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97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8.00</w:t>
            </w:r>
          </w:p>
        </w:tc>
      </w:tr>
      <w:tr>
        <w:tblPrEx>
          <w:tblCellMar>
            <w:top w:w="0" w:type="dxa"/>
            <w:left w:w="0" w:type="dxa"/>
            <w:bottom w:w="0" w:type="dxa"/>
            <w:right w:w="0" w:type="dxa"/>
          </w:tblCellMar>
        </w:tblPrEx>
        <w:trPr>
          <w:trHeight w:val="385" w:hRule="atLeast"/>
          <w:jc w:val="center"/>
        </w:trPr>
        <w:tc>
          <w:tcPr>
            <w:tcW w:w="125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20106</w:t>
            </w:r>
          </w:p>
        </w:tc>
        <w:tc>
          <w:tcPr>
            <w:tcW w:w="156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财政事务</w:t>
            </w:r>
          </w:p>
        </w:tc>
        <w:tc>
          <w:tcPr>
            <w:tcW w:w="109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13,203.06</w:t>
            </w:r>
          </w:p>
        </w:tc>
        <w:tc>
          <w:tcPr>
            <w:tcW w:w="1275"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13,195.06</w:t>
            </w:r>
          </w:p>
        </w:tc>
        <w:tc>
          <w:tcPr>
            <w:tcW w:w="53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97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8.00</w:t>
            </w:r>
          </w:p>
        </w:tc>
      </w:tr>
      <w:tr>
        <w:tblPrEx>
          <w:tblCellMar>
            <w:top w:w="0" w:type="dxa"/>
            <w:left w:w="0" w:type="dxa"/>
            <w:bottom w:w="0" w:type="dxa"/>
            <w:right w:w="0" w:type="dxa"/>
          </w:tblCellMar>
        </w:tblPrEx>
        <w:trPr>
          <w:trHeight w:val="385" w:hRule="atLeast"/>
          <w:jc w:val="center"/>
        </w:trPr>
        <w:tc>
          <w:tcPr>
            <w:tcW w:w="125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2010601</w:t>
            </w:r>
          </w:p>
        </w:tc>
        <w:tc>
          <w:tcPr>
            <w:tcW w:w="156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行政运行</w:t>
            </w:r>
          </w:p>
        </w:tc>
        <w:tc>
          <w:tcPr>
            <w:tcW w:w="109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1,308.08</w:t>
            </w:r>
          </w:p>
        </w:tc>
        <w:tc>
          <w:tcPr>
            <w:tcW w:w="1275"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1,308.08</w:t>
            </w:r>
          </w:p>
        </w:tc>
        <w:tc>
          <w:tcPr>
            <w:tcW w:w="53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97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r>
      <w:tr>
        <w:tblPrEx>
          <w:tblCellMar>
            <w:top w:w="0" w:type="dxa"/>
            <w:left w:w="0" w:type="dxa"/>
            <w:bottom w:w="0" w:type="dxa"/>
            <w:right w:w="0" w:type="dxa"/>
          </w:tblCellMar>
        </w:tblPrEx>
        <w:trPr>
          <w:trHeight w:val="385" w:hRule="atLeast"/>
          <w:jc w:val="center"/>
        </w:trPr>
        <w:tc>
          <w:tcPr>
            <w:tcW w:w="125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2010602</w:t>
            </w:r>
          </w:p>
        </w:tc>
        <w:tc>
          <w:tcPr>
            <w:tcW w:w="156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一般行政管理事务</w:t>
            </w:r>
          </w:p>
        </w:tc>
        <w:tc>
          <w:tcPr>
            <w:tcW w:w="109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9.59</w:t>
            </w:r>
          </w:p>
        </w:tc>
        <w:tc>
          <w:tcPr>
            <w:tcW w:w="1275"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9.59</w:t>
            </w:r>
          </w:p>
        </w:tc>
        <w:tc>
          <w:tcPr>
            <w:tcW w:w="53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97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r>
      <w:tr>
        <w:tblPrEx>
          <w:tblCellMar>
            <w:top w:w="0" w:type="dxa"/>
            <w:left w:w="0" w:type="dxa"/>
            <w:bottom w:w="0" w:type="dxa"/>
            <w:right w:w="0" w:type="dxa"/>
          </w:tblCellMar>
        </w:tblPrEx>
        <w:trPr>
          <w:trHeight w:val="385" w:hRule="atLeast"/>
          <w:jc w:val="center"/>
        </w:trPr>
        <w:tc>
          <w:tcPr>
            <w:tcW w:w="125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color w:val="000000"/>
                <w:kern w:val="0"/>
                <w:sz w:val="22"/>
                <w:szCs w:val="22"/>
                <w:lang w:val="en-US" w:eastAsia="zh-CN"/>
              </w:rPr>
            </w:pPr>
            <w:r>
              <w:rPr>
                <w:rFonts w:hint="eastAsia" w:ascii="宋体" w:hAnsi="宋体" w:eastAsia="宋体" w:cs="宋体"/>
                <w:i w:val="0"/>
                <w:color w:val="000000"/>
                <w:kern w:val="0"/>
                <w:sz w:val="22"/>
                <w:szCs w:val="22"/>
                <w:u w:val="none"/>
                <w:lang w:val="en-US" w:eastAsia="zh-CN" w:bidi="ar"/>
              </w:rPr>
              <w:t>2010603</w:t>
            </w:r>
          </w:p>
        </w:tc>
        <w:tc>
          <w:tcPr>
            <w:tcW w:w="156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color w:val="000000"/>
                <w:kern w:val="0"/>
                <w:sz w:val="22"/>
                <w:szCs w:val="22"/>
                <w:lang w:val="en-US" w:eastAsia="zh-CN"/>
              </w:rPr>
            </w:pPr>
            <w:r>
              <w:rPr>
                <w:rFonts w:hint="eastAsia" w:ascii="宋体" w:hAnsi="宋体" w:eastAsia="宋体" w:cs="宋体"/>
                <w:i w:val="0"/>
                <w:color w:val="000000"/>
                <w:kern w:val="0"/>
                <w:sz w:val="22"/>
                <w:szCs w:val="22"/>
                <w:u w:val="none"/>
                <w:lang w:val="en-US" w:eastAsia="zh-CN" w:bidi="ar"/>
              </w:rPr>
              <w:t xml:space="preserve">  机关服务</w:t>
            </w:r>
          </w:p>
        </w:tc>
        <w:tc>
          <w:tcPr>
            <w:tcW w:w="109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24.44</w:t>
            </w:r>
          </w:p>
        </w:tc>
        <w:tc>
          <w:tcPr>
            <w:tcW w:w="1275"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24.44</w:t>
            </w:r>
          </w:p>
        </w:tc>
        <w:tc>
          <w:tcPr>
            <w:tcW w:w="53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lang w:val="en-US"/>
              </w:rPr>
            </w:pP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lang w:val="en-US"/>
              </w:rPr>
            </w:pP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lang w:val="en-US"/>
              </w:rPr>
            </w:pP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lang w:val="en-US"/>
              </w:rPr>
            </w:pPr>
          </w:p>
        </w:tc>
        <w:tc>
          <w:tcPr>
            <w:tcW w:w="97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r>
      <w:tr>
        <w:tblPrEx>
          <w:tblCellMar>
            <w:top w:w="0" w:type="dxa"/>
            <w:left w:w="0" w:type="dxa"/>
            <w:bottom w:w="0" w:type="dxa"/>
            <w:right w:w="0" w:type="dxa"/>
          </w:tblCellMar>
        </w:tblPrEx>
        <w:trPr>
          <w:trHeight w:val="90" w:hRule="atLeast"/>
          <w:jc w:val="center"/>
        </w:trPr>
        <w:tc>
          <w:tcPr>
            <w:tcW w:w="125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2010604</w:t>
            </w:r>
          </w:p>
        </w:tc>
        <w:tc>
          <w:tcPr>
            <w:tcW w:w="156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预算改革业务</w:t>
            </w:r>
          </w:p>
        </w:tc>
        <w:tc>
          <w:tcPr>
            <w:tcW w:w="109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21.34</w:t>
            </w:r>
          </w:p>
        </w:tc>
        <w:tc>
          <w:tcPr>
            <w:tcW w:w="1275"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21.34</w:t>
            </w:r>
          </w:p>
        </w:tc>
        <w:tc>
          <w:tcPr>
            <w:tcW w:w="53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97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r>
      <w:tr>
        <w:tblPrEx>
          <w:tblCellMar>
            <w:top w:w="0" w:type="dxa"/>
            <w:left w:w="0" w:type="dxa"/>
            <w:bottom w:w="0" w:type="dxa"/>
            <w:right w:w="0" w:type="dxa"/>
          </w:tblCellMar>
        </w:tblPrEx>
        <w:trPr>
          <w:trHeight w:val="385" w:hRule="atLeast"/>
          <w:jc w:val="center"/>
        </w:trPr>
        <w:tc>
          <w:tcPr>
            <w:tcW w:w="125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2010607</w:t>
            </w:r>
          </w:p>
        </w:tc>
        <w:tc>
          <w:tcPr>
            <w:tcW w:w="156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信息化建设</w:t>
            </w:r>
          </w:p>
        </w:tc>
        <w:tc>
          <w:tcPr>
            <w:tcW w:w="109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64.94</w:t>
            </w:r>
          </w:p>
        </w:tc>
        <w:tc>
          <w:tcPr>
            <w:tcW w:w="1275"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64.94</w:t>
            </w:r>
          </w:p>
        </w:tc>
        <w:tc>
          <w:tcPr>
            <w:tcW w:w="53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97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r>
      <w:tr>
        <w:tblPrEx>
          <w:tblCellMar>
            <w:top w:w="0" w:type="dxa"/>
            <w:left w:w="0" w:type="dxa"/>
            <w:bottom w:w="0" w:type="dxa"/>
            <w:right w:w="0" w:type="dxa"/>
          </w:tblCellMar>
        </w:tblPrEx>
        <w:trPr>
          <w:trHeight w:val="385" w:hRule="atLeast"/>
          <w:jc w:val="center"/>
        </w:trPr>
        <w:tc>
          <w:tcPr>
            <w:tcW w:w="125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2010608</w:t>
            </w:r>
          </w:p>
        </w:tc>
        <w:tc>
          <w:tcPr>
            <w:tcW w:w="156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财政委托业务支出</w:t>
            </w:r>
          </w:p>
        </w:tc>
        <w:tc>
          <w:tcPr>
            <w:tcW w:w="109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337.42</w:t>
            </w:r>
          </w:p>
        </w:tc>
        <w:tc>
          <w:tcPr>
            <w:tcW w:w="1275"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329.42</w:t>
            </w:r>
          </w:p>
        </w:tc>
        <w:tc>
          <w:tcPr>
            <w:tcW w:w="53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97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8.00</w:t>
            </w:r>
          </w:p>
        </w:tc>
      </w:tr>
      <w:tr>
        <w:tblPrEx>
          <w:tblCellMar>
            <w:top w:w="0" w:type="dxa"/>
            <w:left w:w="0" w:type="dxa"/>
            <w:bottom w:w="0" w:type="dxa"/>
            <w:right w:w="0" w:type="dxa"/>
          </w:tblCellMar>
        </w:tblPrEx>
        <w:trPr>
          <w:trHeight w:val="385" w:hRule="atLeast"/>
          <w:jc w:val="center"/>
        </w:trPr>
        <w:tc>
          <w:tcPr>
            <w:tcW w:w="125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2010699</w:t>
            </w:r>
          </w:p>
        </w:tc>
        <w:tc>
          <w:tcPr>
            <w:tcW w:w="156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其他财政事务支出</w:t>
            </w:r>
          </w:p>
        </w:tc>
        <w:tc>
          <w:tcPr>
            <w:tcW w:w="109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11,437.26</w:t>
            </w:r>
          </w:p>
        </w:tc>
        <w:tc>
          <w:tcPr>
            <w:tcW w:w="1275"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11,437.26</w:t>
            </w:r>
          </w:p>
        </w:tc>
        <w:tc>
          <w:tcPr>
            <w:tcW w:w="53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97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r>
      <w:tr>
        <w:tblPrEx>
          <w:tblCellMar>
            <w:top w:w="0" w:type="dxa"/>
            <w:left w:w="0" w:type="dxa"/>
            <w:bottom w:w="0" w:type="dxa"/>
            <w:right w:w="0" w:type="dxa"/>
          </w:tblCellMar>
        </w:tblPrEx>
        <w:trPr>
          <w:trHeight w:val="385" w:hRule="atLeast"/>
          <w:jc w:val="center"/>
        </w:trPr>
        <w:tc>
          <w:tcPr>
            <w:tcW w:w="125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208</w:t>
            </w:r>
          </w:p>
        </w:tc>
        <w:tc>
          <w:tcPr>
            <w:tcW w:w="156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社会保障和就业支出</w:t>
            </w:r>
          </w:p>
        </w:tc>
        <w:tc>
          <w:tcPr>
            <w:tcW w:w="109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181.72</w:t>
            </w:r>
          </w:p>
        </w:tc>
        <w:tc>
          <w:tcPr>
            <w:tcW w:w="1275"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181.72</w:t>
            </w:r>
          </w:p>
        </w:tc>
        <w:tc>
          <w:tcPr>
            <w:tcW w:w="53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97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r>
      <w:tr>
        <w:tblPrEx>
          <w:tblCellMar>
            <w:top w:w="0" w:type="dxa"/>
            <w:left w:w="0" w:type="dxa"/>
            <w:bottom w:w="0" w:type="dxa"/>
            <w:right w:w="0" w:type="dxa"/>
          </w:tblCellMar>
        </w:tblPrEx>
        <w:trPr>
          <w:trHeight w:val="385" w:hRule="atLeast"/>
          <w:jc w:val="center"/>
        </w:trPr>
        <w:tc>
          <w:tcPr>
            <w:tcW w:w="125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20805</w:t>
            </w:r>
          </w:p>
        </w:tc>
        <w:tc>
          <w:tcPr>
            <w:tcW w:w="156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行政事业单位养老支出</w:t>
            </w:r>
          </w:p>
        </w:tc>
        <w:tc>
          <w:tcPr>
            <w:tcW w:w="109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181.72</w:t>
            </w:r>
          </w:p>
        </w:tc>
        <w:tc>
          <w:tcPr>
            <w:tcW w:w="1275"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181.72</w:t>
            </w:r>
          </w:p>
        </w:tc>
        <w:tc>
          <w:tcPr>
            <w:tcW w:w="53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97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r>
      <w:tr>
        <w:tblPrEx>
          <w:tblCellMar>
            <w:top w:w="0" w:type="dxa"/>
            <w:left w:w="0" w:type="dxa"/>
            <w:bottom w:w="0" w:type="dxa"/>
            <w:right w:w="0" w:type="dxa"/>
          </w:tblCellMar>
        </w:tblPrEx>
        <w:trPr>
          <w:trHeight w:val="385" w:hRule="atLeast"/>
          <w:jc w:val="center"/>
        </w:trPr>
        <w:tc>
          <w:tcPr>
            <w:tcW w:w="125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2080501</w:t>
            </w:r>
          </w:p>
        </w:tc>
        <w:tc>
          <w:tcPr>
            <w:tcW w:w="156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行政单位离退休</w:t>
            </w:r>
          </w:p>
        </w:tc>
        <w:tc>
          <w:tcPr>
            <w:tcW w:w="109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89.50</w:t>
            </w:r>
          </w:p>
        </w:tc>
        <w:tc>
          <w:tcPr>
            <w:tcW w:w="1275"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89.50</w:t>
            </w:r>
          </w:p>
        </w:tc>
        <w:tc>
          <w:tcPr>
            <w:tcW w:w="53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97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r>
      <w:tr>
        <w:tblPrEx>
          <w:tblCellMar>
            <w:top w:w="0" w:type="dxa"/>
            <w:left w:w="0" w:type="dxa"/>
            <w:bottom w:w="0" w:type="dxa"/>
            <w:right w:w="0" w:type="dxa"/>
          </w:tblCellMar>
        </w:tblPrEx>
        <w:trPr>
          <w:trHeight w:val="385" w:hRule="atLeast"/>
          <w:jc w:val="center"/>
        </w:trPr>
        <w:tc>
          <w:tcPr>
            <w:tcW w:w="125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2080505</w:t>
            </w:r>
          </w:p>
        </w:tc>
        <w:tc>
          <w:tcPr>
            <w:tcW w:w="156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机关事业单位基本养老保险缴费支出</w:t>
            </w:r>
          </w:p>
        </w:tc>
        <w:tc>
          <w:tcPr>
            <w:tcW w:w="109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92.22</w:t>
            </w:r>
          </w:p>
        </w:tc>
        <w:tc>
          <w:tcPr>
            <w:tcW w:w="1275"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92.22</w:t>
            </w:r>
          </w:p>
        </w:tc>
        <w:tc>
          <w:tcPr>
            <w:tcW w:w="53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97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r>
      <w:tr>
        <w:tblPrEx>
          <w:tblCellMar>
            <w:top w:w="0" w:type="dxa"/>
            <w:left w:w="0" w:type="dxa"/>
            <w:bottom w:w="0" w:type="dxa"/>
            <w:right w:w="0" w:type="dxa"/>
          </w:tblCellMar>
        </w:tblPrEx>
        <w:trPr>
          <w:trHeight w:val="385" w:hRule="atLeast"/>
          <w:jc w:val="center"/>
        </w:trPr>
        <w:tc>
          <w:tcPr>
            <w:tcW w:w="125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210</w:t>
            </w:r>
          </w:p>
        </w:tc>
        <w:tc>
          <w:tcPr>
            <w:tcW w:w="156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卫生健康支出</w:t>
            </w:r>
          </w:p>
        </w:tc>
        <w:tc>
          <w:tcPr>
            <w:tcW w:w="109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66.46</w:t>
            </w:r>
          </w:p>
        </w:tc>
        <w:tc>
          <w:tcPr>
            <w:tcW w:w="1275"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66.46</w:t>
            </w:r>
          </w:p>
        </w:tc>
        <w:tc>
          <w:tcPr>
            <w:tcW w:w="53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97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r>
      <w:tr>
        <w:tblPrEx>
          <w:tblCellMar>
            <w:top w:w="0" w:type="dxa"/>
            <w:left w:w="0" w:type="dxa"/>
            <w:bottom w:w="0" w:type="dxa"/>
            <w:right w:w="0" w:type="dxa"/>
          </w:tblCellMar>
        </w:tblPrEx>
        <w:trPr>
          <w:trHeight w:val="385" w:hRule="atLeast"/>
          <w:jc w:val="center"/>
        </w:trPr>
        <w:tc>
          <w:tcPr>
            <w:tcW w:w="125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21011</w:t>
            </w:r>
          </w:p>
        </w:tc>
        <w:tc>
          <w:tcPr>
            <w:tcW w:w="156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行政事业单位医疗</w:t>
            </w:r>
          </w:p>
        </w:tc>
        <w:tc>
          <w:tcPr>
            <w:tcW w:w="109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66.46</w:t>
            </w:r>
          </w:p>
        </w:tc>
        <w:tc>
          <w:tcPr>
            <w:tcW w:w="1275"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66.46</w:t>
            </w:r>
          </w:p>
        </w:tc>
        <w:tc>
          <w:tcPr>
            <w:tcW w:w="53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97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r>
      <w:tr>
        <w:tblPrEx>
          <w:tblCellMar>
            <w:top w:w="0" w:type="dxa"/>
            <w:left w:w="0" w:type="dxa"/>
            <w:bottom w:w="0" w:type="dxa"/>
            <w:right w:w="0" w:type="dxa"/>
          </w:tblCellMar>
        </w:tblPrEx>
        <w:trPr>
          <w:trHeight w:val="385" w:hRule="atLeast"/>
          <w:jc w:val="center"/>
        </w:trPr>
        <w:tc>
          <w:tcPr>
            <w:tcW w:w="125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2101101</w:t>
            </w:r>
          </w:p>
        </w:tc>
        <w:tc>
          <w:tcPr>
            <w:tcW w:w="156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行政单位医疗</w:t>
            </w:r>
          </w:p>
        </w:tc>
        <w:tc>
          <w:tcPr>
            <w:tcW w:w="109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66.46</w:t>
            </w:r>
          </w:p>
        </w:tc>
        <w:tc>
          <w:tcPr>
            <w:tcW w:w="1275"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66.46</w:t>
            </w:r>
          </w:p>
        </w:tc>
        <w:tc>
          <w:tcPr>
            <w:tcW w:w="53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97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r>
      <w:tr>
        <w:tblPrEx>
          <w:tblCellMar>
            <w:top w:w="0" w:type="dxa"/>
            <w:left w:w="0" w:type="dxa"/>
            <w:bottom w:w="0" w:type="dxa"/>
            <w:right w:w="0" w:type="dxa"/>
          </w:tblCellMar>
        </w:tblPrEx>
        <w:trPr>
          <w:trHeight w:val="385" w:hRule="atLeast"/>
          <w:jc w:val="center"/>
        </w:trPr>
        <w:tc>
          <w:tcPr>
            <w:tcW w:w="125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213</w:t>
            </w:r>
          </w:p>
        </w:tc>
        <w:tc>
          <w:tcPr>
            <w:tcW w:w="156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农林水支出</w:t>
            </w:r>
          </w:p>
        </w:tc>
        <w:tc>
          <w:tcPr>
            <w:tcW w:w="109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3.03</w:t>
            </w:r>
          </w:p>
        </w:tc>
        <w:tc>
          <w:tcPr>
            <w:tcW w:w="1275"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3.03</w:t>
            </w:r>
          </w:p>
        </w:tc>
        <w:tc>
          <w:tcPr>
            <w:tcW w:w="53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97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r>
      <w:tr>
        <w:tblPrEx>
          <w:tblCellMar>
            <w:top w:w="0" w:type="dxa"/>
            <w:left w:w="0" w:type="dxa"/>
            <w:bottom w:w="0" w:type="dxa"/>
            <w:right w:w="0" w:type="dxa"/>
          </w:tblCellMar>
        </w:tblPrEx>
        <w:trPr>
          <w:trHeight w:val="385" w:hRule="atLeast"/>
          <w:jc w:val="center"/>
        </w:trPr>
        <w:tc>
          <w:tcPr>
            <w:tcW w:w="125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21307</w:t>
            </w:r>
          </w:p>
        </w:tc>
        <w:tc>
          <w:tcPr>
            <w:tcW w:w="156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农村综合改革</w:t>
            </w:r>
          </w:p>
        </w:tc>
        <w:tc>
          <w:tcPr>
            <w:tcW w:w="109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3.03</w:t>
            </w:r>
          </w:p>
        </w:tc>
        <w:tc>
          <w:tcPr>
            <w:tcW w:w="1275"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3.03</w:t>
            </w:r>
          </w:p>
        </w:tc>
        <w:tc>
          <w:tcPr>
            <w:tcW w:w="53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97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r>
      <w:tr>
        <w:tblPrEx>
          <w:tblCellMar>
            <w:top w:w="0" w:type="dxa"/>
            <w:left w:w="0" w:type="dxa"/>
            <w:bottom w:w="0" w:type="dxa"/>
            <w:right w:w="0" w:type="dxa"/>
          </w:tblCellMar>
        </w:tblPrEx>
        <w:trPr>
          <w:trHeight w:val="385" w:hRule="atLeast"/>
          <w:jc w:val="center"/>
        </w:trPr>
        <w:tc>
          <w:tcPr>
            <w:tcW w:w="125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2130799</w:t>
            </w:r>
          </w:p>
        </w:tc>
        <w:tc>
          <w:tcPr>
            <w:tcW w:w="156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其他农村综合改革支出</w:t>
            </w:r>
          </w:p>
        </w:tc>
        <w:tc>
          <w:tcPr>
            <w:tcW w:w="109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3.03</w:t>
            </w:r>
          </w:p>
        </w:tc>
        <w:tc>
          <w:tcPr>
            <w:tcW w:w="1275"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3.03</w:t>
            </w:r>
          </w:p>
        </w:tc>
        <w:tc>
          <w:tcPr>
            <w:tcW w:w="53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97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r>
      <w:tr>
        <w:tblPrEx>
          <w:tblCellMar>
            <w:top w:w="0" w:type="dxa"/>
            <w:left w:w="0" w:type="dxa"/>
            <w:bottom w:w="0" w:type="dxa"/>
            <w:right w:w="0" w:type="dxa"/>
          </w:tblCellMar>
        </w:tblPrEx>
        <w:trPr>
          <w:trHeight w:val="385" w:hRule="atLeast"/>
          <w:jc w:val="center"/>
        </w:trPr>
        <w:tc>
          <w:tcPr>
            <w:tcW w:w="125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221</w:t>
            </w:r>
          </w:p>
        </w:tc>
        <w:tc>
          <w:tcPr>
            <w:tcW w:w="156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住房保障支出</w:t>
            </w:r>
          </w:p>
        </w:tc>
        <w:tc>
          <w:tcPr>
            <w:tcW w:w="109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93.16</w:t>
            </w:r>
          </w:p>
        </w:tc>
        <w:tc>
          <w:tcPr>
            <w:tcW w:w="1275"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93.16</w:t>
            </w:r>
          </w:p>
        </w:tc>
        <w:tc>
          <w:tcPr>
            <w:tcW w:w="53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97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r>
      <w:tr>
        <w:tblPrEx>
          <w:tblCellMar>
            <w:top w:w="0" w:type="dxa"/>
            <w:left w:w="0" w:type="dxa"/>
            <w:bottom w:w="0" w:type="dxa"/>
            <w:right w:w="0" w:type="dxa"/>
          </w:tblCellMar>
        </w:tblPrEx>
        <w:trPr>
          <w:trHeight w:val="385" w:hRule="atLeast"/>
          <w:jc w:val="center"/>
        </w:trPr>
        <w:tc>
          <w:tcPr>
            <w:tcW w:w="125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22102</w:t>
            </w:r>
          </w:p>
        </w:tc>
        <w:tc>
          <w:tcPr>
            <w:tcW w:w="156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住房改革支出</w:t>
            </w:r>
          </w:p>
        </w:tc>
        <w:tc>
          <w:tcPr>
            <w:tcW w:w="109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93.16</w:t>
            </w:r>
          </w:p>
        </w:tc>
        <w:tc>
          <w:tcPr>
            <w:tcW w:w="1275"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93.16</w:t>
            </w:r>
          </w:p>
        </w:tc>
        <w:tc>
          <w:tcPr>
            <w:tcW w:w="53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97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r>
      <w:tr>
        <w:tblPrEx>
          <w:tblCellMar>
            <w:top w:w="0" w:type="dxa"/>
            <w:left w:w="0" w:type="dxa"/>
            <w:bottom w:w="0" w:type="dxa"/>
            <w:right w:w="0" w:type="dxa"/>
          </w:tblCellMar>
        </w:tblPrEx>
        <w:trPr>
          <w:trHeight w:val="385" w:hRule="atLeast"/>
          <w:jc w:val="center"/>
        </w:trPr>
        <w:tc>
          <w:tcPr>
            <w:tcW w:w="125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2210201</w:t>
            </w:r>
          </w:p>
        </w:tc>
        <w:tc>
          <w:tcPr>
            <w:tcW w:w="156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住房公积金</w:t>
            </w:r>
          </w:p>
        </w:tc>
        <w:tc>
          <w:tcPr>
            <w:tcW w:w="109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93.16</w:t>
            </w:r>
          </w:p>
        </w:tc>
        <w:tc>
          <w:tcPr>
            <w:tcW w:w="1275"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93.16</w:t>
            </w:r>
          </w:p>
        </w:tc>
        <w:tc>
          <w:tcPr>
            <w:tcW w:w="53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97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r>
      <w:tr>
        <w:tblPrEx>
          <w:tblCellMar>
            <w:top w:w="0" w:type="dxa"/>
            <w:left w:w="0" w:type="dxa"/>
            <w:bottom w:w="0" w:type="dxa"/>
            <w:right w:w="0" w:type="dxa"/>
          </w:tblCellMar>
        </w:tblPrEx>
        <w:trPr>
          <w:trHeight w:val="385" w:hRule="atLeast"/>
          <w:jc w:val="center"/>
        </w:trPr>
        <w:tc>
          <w:tcPr>
            <w:tcW w:w="9581" w:type="dxa"/>
            <w:gridSpan w:val="11"/>
            <w:tcBorders>
              <w:top w:val="nil"/>
              <w:left w:val="nil"/>
              <w:bottom w:val="nil"/>
              <w:right w:val="nil"/>
            </w:tcBorders>
            <w:tcMar>
              <w:top w:w="15" w:type="dxa"/>
              <w:left w:w="15" w:type="dxa"/>
              <w:right w:w="15" w:type="dxa"/>
            </w:tcMar>
            <w:vAlign w:val="center"/>
          </w:tcPr>
          <w:p>
            <w:pPr>
              <w:jc w:val="left"/>
              <w:rPr>
                <w:rFonts w:ascii="宋体" w:cs="Times New Roman"/>
                <w:color w:val="000000"/>
                <w:sz w:val="22"/>
                <w:szCs w:val="22"/>
              </w:rPr>
            </w:pPr>
            <w:r>
              <w:rPr>
                <w:rFonts w:hint="eastAsia" w:ascii="宋体" w:cs="Times New Roman"/>
                <w:color w:val="000000"/>
                <w:sz w:val="22"/>
                <w:szCs w:val="22"/>
              </w:rPr>
              <w:t>注：本表反映</w:t>
            </w:r>
            <w:r>
              <w:rPr>
                <w:rFonts w:hint="eastAsia" w:ascii="宋体" w:cs="Times New Roman"/>
                <w:color w:val="000000"/>
                <w:sz w:val="22"/>
                <w:szCs w:val="22"/>
                <w:lang w:eastAsia="zh-CN"/>
              </w:rPr>
              <w:t>部门</w:t>
            </w:r>
            <w:r>
              <w:rPr>
                <w:rFonts w:hint="eastAsia" w:ascii="宋体" w:cs="Times New Roman"/>
                <w:color w:val="000000"/>
                <w:sz w:val="22"/>
                <w:szCs w:val="22"/>
              </w:rPr>
              <w:t>本年度取得的各项收入情况。</w:t>
            </w:r>
          </w:p>
        </w:tc>
      </w:tr>
    </w:tbl>
    <w:p>
      <w:pPr>
        <w:rPr>
          <w:rFonts w:cs="Times New Roman"/>
        </w:rPr>
      </w:pPr>
      <w:r>
        <w:rPr>
          <w:rFonts w:cs="Times New Roman"/>
        </w:rPr>
        <w:br w:type="page"/>
      </w:r>
    </w:p>
    <w:tbl>
      <w:tblPr>
        <w:tblStyle w:val="5"/>
        <w:tblW w:w="9680" w:type="dxa"/>
        <w:jc w:val="center"/>
        <w:tblLayout w:type="fixed"/>
        <w:tblCellMar>
          <w:top w:w="0" w:type="dxa"/>
          <w:left w:w="0" w:type="dxa"/>
          <w:bottom w:w="0" w:type="dxa"/>
          <w:right w:w="0" w:type="dxa"/>
        </w:tblCellMar>
      </w:tblPr>
      <w:tblGrid>
        <w:gridCol w:w="941"/>
        <w:gridCol w:w="53"/>
        <w:gridCol w:w="111"/>
        <w:gridCol w:w="1359"/>
        <w:gridCol w:w="1161"/>
        <w:gridCol w:w="1161"/>
        <w:gridCol w:w="1161"/>
        <w:gridCol w:w="1161"/>
        <w:gridCol w:w="1161"/>
        <w:gridCol w:w="1411"/>
      </w:tblGrid>
      <w:tr>
        <w:tblPrEx>
          <w:tblCellMar>
            <w:top w:w="0" w:type="dxa"/>
            <w:left w:w="0" w:type="dxa"/>
            <w:bottom w:w="0" w:type="dxa"/>
            <w:right w:w="0" w:type="dxa"/>
          </w:tblCellMar>
        </w:tblPrEx>
        <w:trPr>
          <w:trHeight w:val="612" w:hRule="atLeast"/>
          <w:jc w:val="center"/>
        </w:trPr>
        <w:tc>
          <w:tcPr>
            <w:tcW w:w="9680" w:type="dxa"/>
            <w:gridSpan w:val="10"/>
            <w:tcBorders>
              <w:top w:val="nil"/>
              <w:left w:val="nil"/>
              <w:bottom w:val="nil"/>
              <w:right w:val="nil"/>
            </w:tcBorders>
            <w:tcMar>
              <w:top w:w="15" w:type="dxa"/>
              <w:left w:w="15" w:type="dxa"/>
              <w:right w:w="15" w:type="dxa"/>
            </w:tcMar>
            <w:vAlign w:val="center"/>
          </w:tcPr>
          <w:p>
            <w:pPr>
              <w:widowControl/>
              <w:jc w:val="center"/>
              <w:textAlignment w:val="center"/>
              <w:rPr>
                <w:rFonts w:ascii="黑体" w:hAnsi="宋体" w:eastAsia="黑体" w:cs="Times New Roman"/>
                <w:color w:val="000000"/>
                <w:sz w:val="32"/>
                <w:szCs w:val="32"/>
              </w:rPr>
            </w:pPr>
            <w:r>
              <w:rPr>
                <w:rFonts w:hint="eastAsia" w:ascii="黑体" w:hAnsi="宋体" w:eastAsia="黑体" w:cs="黑体"/>
                <w:color w:val="000000"/>
                <w:kern w:val="0"/>
                <w:sz w:val="32"/>
                <w:szCs w:val="32"/>
              </w:rPr>
              <w:t>支出决算表</w:t>
            </w:r>
          </w:p>
        </w:tc>
      </w:tr>
      <w:tr>
        <w:tblPrEx>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53"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359"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411" w:type="dxa"/>
            <w:tcBorders>
              <w:top w:val="nil"/>
              <w:left w:val="nil"/>
              <w:bottom w:val="nil"/>
              <w:right w:val="nil"/>
            </w:tcBorders>
            <w:tcMar>
              <w:top w:w="15" w:type="dxa"/>
              <w:left w:w="15" w:type="dxa"/>
              <w:right w:w="15" w:type="dxa"/>
            </w:tcMar>
            <w:vAlign w:val="bottom"/>
          </w:tcPr>
          <w:p>
            <w:pPr>
              <w:widowControl/>
              <w:jc w:val="right"/>
              <w:textAlignment w:val="bottom"/>
              <w:rPr>
                <w:rFonts w:ascii="宋体" w:cs="Times New Roman"/>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03</w:t>
            </w:r>
            <w:r>
              <w:rPr>
                <w:rFonts w:hint="eastAsia" w:ascii="宋体" w:hAnsi="宋体" w:cs="宋体"/>
                <w:color w:val="000000"/>
                <w:kern w:val="0"/>
                <w:sz w:val="20"/>
                <w:szCs w:val="20"/>
              </w:rPr>
              <w:t>表</w:t>
            </w:r>
          </w:p>
        </w:tc>
      </w:tr>
      <w:tr>
        <w:tblPrEx>
          <w:tblCellMar>
            <w:top w:w="0" w:type="dxa"/>
            <w:left w:w="0" w:type="dxa"/>
            <w:bottom w:w="0" w:type="dxa"/>
            <w:right w:w="0" w:type="dxa"/>
          </w:tblCellMar>
        </w:tblPrEx>
        <w:trPr>
          <w:trHeight w:val="313" w:hRule="atLeast"/>
          <w:jc w:val="center"/>
        </w:trPr>
        <w:tc>
          <w:tcPr>
            <w:tcW w:w="3625" w:type="dxa"/>
            <w:gridSpan w:val="5"/>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r>
              <w:rPr>
                <w:rFonts w:hint="eastAsia" w:ascii="宋体" w:hAnsi="宋体" w:cs="宋体"/>
                <w:color w:val="000000"/>
                <w:kern w:val="0"/>
                <w:sz w:val="20"/>
                <w:szCs w:val="20"/>
              </w:rPr>
              <w:t>单位：石家庄市鹿泉区财政局</w:t>
            </w:r>
          </w:p>
        </w:tc>
        <w:tc>
          <w:tcPr>
            <w:tcW w:w="116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2572" w:type="dxa"/>
            <w:gridSpan w:val="2"/>
            <w:tcBorders>
              <w:top w:val="nil"/>
              <w:left w:val="nil"/>
              <w:bottom w:val="nil"/>
              <w:right w:val="nil"/>
            </w:tcBorders>
            <w:tcMar>
              <w:top w:w="15" w:type="dxa"/>
              <w:left w:w="15" w:type="dxa"/>
              <w:right w:w="15" w:type="dxa"/>
            </w:tcMar>
            <w:vAlign w:val="bottom"/>
          </w:tcPr>
          <w:p>
            <w:pPr>
              <w:widowControl/>
              <w:jc w:val="right"/>
              <w:textAlignment w:val="bottom"/>
              <w:rPr>
                <w:rFonts w:ascii="宋体" w:cs="Times New Roman"/>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323" w:hRule="atLeast"/>
          <w:jc w:val="center"/>
        </w:trPr>
        <w:tc>
          <w:tcPr>
            <w:tcW w:w="2464" w:type="dxa"/>
            <w:gridSpan w:val="4"/>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项目</w:t>
            </w:r>
          </w:p>
        </w:tc>
        <w:tc>
          <w:tcPr>
            <w:tcW w:w="1161"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本年支出合计</w:t>
            </w:r>
          </w:p>
        </w:tc>
        <w:tc>
          <w:tcPr>
            <w:tcW w:w="1161"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基本支出</w:t>
            </w:r>
          </w:p>
        </w:tc>
        <w:tc>
          <w:tcPr>
            <w:tcW w:w="1161"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项目支出</w:t>
            </w:r>
          </w:p>
        </w:tc>
        <w:tc>
          <w:tcPr>
            <w:tcW w:w="1161"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上缴上级支出</w:t>
            </w:r>
          </w:p>
        </w:tc>
        <w:tc>
          <w:tcPr>
            <w:tcW w:w="1161"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经营支出</w:t>
            </w:r>
          </w:p>
        </w:tc>
        <w:tc>
          <w:tcPr>
            <w:tcW w:w="1411"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对附属单位补助支出</w:t>
            </w:r>
          </w:p>
        </w:tc>
      </w:tr>
      <w:tr>
        <w:tblPrEx>
          <w:tblCellMar>
            <w:top w:w="0" w:type="dxa"/>
            <w:left w:w="0" w:type="dxa"/>
            <w:bottom w:w="0" w:type="dxa"/>
            <w:right w:w="0" w:type="dxa"/>
          </w:tblCellMar>
        </w:tblPrEx>
        <w:trPr>
          <w:trHeight w:val="319" w:hRule="atLeast"/>
          <w:jc w:val="center"/>
        </w:trPr>
        <w:tc>
          <w:tcPr>
            <w:tcW w:w="1105" w:type="dxa"/>
            <w:gridSpan w:val="3"/>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功能分类科目编码</w:t>
            </w:r>
          </w:p>
        </w:tc>
        <w:tc>
          <w:tcPr>
            <w:tcW w:w="1359"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科目名称</w:t>
            </w: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41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r>
      <w:tr>
        <w:tblPrEx>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359"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41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r>
      <w:tr>
        <w:tblPrEx>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359"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41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2464"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栏次</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1</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2</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3</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4</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5</w:t>
            </w: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6</w:t>
            </w:r>
          </w:p>
        </w:tc>
      </w:tr>
      <w:tr>
        <w:tblPrEx>
          <w:tblCellMar>
            <w:top w:w="0" w:type="dxa"/>
            <w:left w:w="0" w:type="dxa"/>
            <w:bottom w:w="0" w:type="dxa"/>
            <w:right w:w="0" w:type="dxa"/>
          </w:tblCellMar>
        </w:tblPrEx>
        <w:trPr>
          <w:trHeight w:val="323" w:hRule="atLeast"/>
          <w:jc w:val="center"/>
        </w:trPr>
        <w:tc>
          <w:tcPr>
            <w:tcW w:w="2464"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合计</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b/>
                <w:bCs/>
                <w:color w:val="000000"/>
                <w:sz w:val="22"/>
                <w:szCs w:val="22"/>
              </w:rPr>
            </w:pPr>
            <w:r>
              <w:rPr>
                <w:rFonts w:hint="eastAsia" w:ascii="宋体" w:hAnsi="宋体" w:eastAsia="宋体" w:cs="宋体"/>
                <w:b/>
                <w:i w:val="0"/>
                <w:color w:val="000000"/>
                <w:kern w:val="0"/>
                <w:sz w:val="22"/>
                <w:szCs w:val="22"/>
                <w:u w:val="none"/>
                <w:lang w:val="en-US" w:eastAsia="zh-CN" w:bidi="ar"/>
              </w:rPr>
              <w:t>13,546.55</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b/>
                <w:bCs/>
                <w:color w:val="000000"/>
                <w:sz w:val="22"/>
                <w:szCs w:val="22"/>
              </w:rPr>
            </w:pPr>
            <w:r>
              <w:rPr>
                <w:rFonts w:hint="eastAsia" w:ascii="宋体" w:hAnsi="宋体" w:eastAsia="宋体" w:cs="宋体"/>
                <w:b/>
                <w:i w:val="0"/>
                <w:color w:val="000000"/>
                <w:kern w:val="0"/>
                <w:sz w:val="22"/>
                <w:szCs w:val="22"/>
                <w:u w:val="none"/>
                <w:lang w:val="en-US" w:eastAsia="zh-CN" w:bidi="ar"/>
              </w:rPr>
              <w:t>1,649.43</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b/>
                <w:bCs/>
                <w:color w:val="000000"/>
                <w:sz w:val="22"/>
                <w:szCs w:val="22"/>
              </w:rPr>
            </w:pPr>
            <w:r>
              <w:rPr>
                <w:rFonts w:hint="eastAsia" w:ascii="宋体" w:hAnsi="宋体" w:eastAsia="宋体" w:cs="宋体"/>
                <w:b/>
                <w:i w:val="0"/>
                <w:color w:val="000000"/>
                <w:kern w:val="0"/>
                <w:sz w:val="22"/>
                <w:szCs w:val="22"/>
                <w:u w:val="none"/>
                <w:lang w:val="en-US" w:eastAsia="zh-CN" w:bidi="ar"/>
              </w:rPr>
              <w:t>11,897.12</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b/>
                <w:bCs/>
                <w:color w:val="000000"/>
                <w:sz w:val="22"/>
                <w:szCs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b/>
                <w:bCs/>
                <w:color w:val="000000"/>
                <w:sz w:val="22"/>
                <w:szCs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b/>
                <w:bCs/>
                <w:color w:val="000000"/>
                <w:sz w:val="22"/>
                <w:szCs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201</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一般公共服务支出</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13,202.18</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1,308.08</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11,894.10</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20106</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财政事务</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13,202.18</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1,308.08</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11,894.10</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2010601</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行政运行</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1,308.08</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1,308.08</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2010602</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一般行政管理事务</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9.59</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9.59</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2010603</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机关服务</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24.44</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24.44</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2010604</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预算改革业务</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21.34</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21.34</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2010607</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信息化建设</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64.94</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64.94</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2010608</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财政委托业务支出</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337.42</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337.42</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2010699</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其他财政事务支出</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11,436.38</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11,436.38</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208</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社会保障和就业支出</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181.72</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181.72</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20805</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行政事业单位养老支出</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181.72</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181.72</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2080501</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行政单位离退休</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89.50</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89.50</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2080505</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机关事业单位基本养老保险缴费支出</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92.22</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92.22</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210</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卫生健康支出</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66.46</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66.46</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21011</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行政事业单位医疗</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66.46</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66.46</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2101101</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行政单位医疗</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66.46</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66.46</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213</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农林水支出</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3.03</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3.03</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08"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21307</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农村综合改革</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3.03</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3.03</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2130799</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其他农村综合改革支出</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3.03</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3.03</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221</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住房保障支出</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93.16</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93.16</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22102</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住房改革支出</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93.16</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93.16</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2210201</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住房公积金</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93.16</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93.16</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9680" w:type="dxa"/>
            <w:gridSpan w:val="10"/>
            <w:tcBorders>
              <w:top w:val="nil"/>
              <w:left w:val="nil"/>
              <w:bottom w:val="nil"/>
              <w:right w:val="nil"/>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ascii="宋体" w:hAnsi="宋体" w:cs="宋体"/>
                <w:color w:val="000000"/>
                <w:kern w:val="0"/>
                <w:sz w:val="22"/>
                <w:szCs w:val="22"/>
              </w:rPr>
              <w:t>注：本表反映</w:t>
            </w:r>
            <w:r>
              <w:rPr>
                <w:rFonts w:hint="eastAsia" w:ascii="宋体" w:hAnsi="宋体" w:cs="宋体"/>
                <w:color w:val="000000"/>
                <w:kern w:val="0"/>
                <w:sz w:val="22"/>
                <w:szCs w:val="22"/>
                <w:lang w:eastAsia="zh-CN"/>
              </w:rPr>
              <w:t>部门</w:t>
            </w:r>
            <w:r>
              <w:rPr>
                <w:rFonts w:hint="eastAsia" w:ascii="宋体" w:hAnsi="宋体" w:cs="宋体"/>
                <w:color w:val="000000"/>
                <w:kern w:val="0"/>
                <w:sz w:val="22"/>
                <w:szCs w:val="22"/>
              </w:rPr>
              <w:t>本年度各项支出情况。</w:t>
            </w:r>
          </w:p>
        </w:tc>
      </w:tr>
    </w:tbl>
    <w:p>
      <w:pPr>
        <w:rPr>
          <w:rFonts w:cs="Times New Roman"/>
        </w:rPr>
      </w:pPr>
      <w:r>
        <w:rPr>
          <w:rFonts w:cs="Times New Roman"/>
        </w:rPr>
        <w:br w:type="page"/>
      </w:r>
    </w:p>
    <w:tbl>
      <w:tblPr>
        <w:tblStyle w:val="5"/>
        <w:tblW w:w="11146" w:type="dxa"/>
        <w:jc w:val="center"/>
        <w:tblLayout w:type="fixed"/>
        <w:tblCellMar>
          <w:top w:w="0" w:type="dxa"/>
          <w:left w:w="0" w:type="dxa"/>
          <w:bottom w:w="0" w:type="dxa"/>
          <w:right w:w="0" w:type="dxa"/>
        </w:tblCellMar>
      </w:tblPr>
      <w:tblGrid>
        <w:gridCol w:w="3086"/>
        <w:gridCol w:w="675"/>
        <w:gridCol w:w="582"/>
        <w:gridCol w:w="3409"/>
        <w:gridCol w:w="505"/>
        <w:gridCol w:w="536"/>
        <w:gridCol w:w="760"/>
        <w:gridCol w:w="767"/>
        <w:gridCol w:w="826"/>
      </w:tblGrid>
      <w:tr>
        <w:tblPrEx>
          <w:tblCellMar>
            <w:top w:w="0" w:type="dxa"/>
            <w:left w:w="0" w:type="dxa"/>
            <w:bottom w:w="0" w:type="dxa"/>
            <w:right w:w="0" w:type="dxa"/>
          </w:tblCellMar>
        </w:tblPrEx>
        <w:trPr>
          <w:trHeight w:val="306" w:hRule="atLeast"/>
          <w:jc w:val="center"/>
        </w:trPr>
        <w:tc>
          <w:tcPr>
            <w:tcW w:w="11146" w:type="dxa"/>
            <w:gridSpan w:val="9"/>
            <w:tcBorders>
              <w:top w:val="nil"/>
              <w:left w:val="nil"/>
              <w:bottom w:val="nil"/>
              <w:right w:val="nil"/>
            </w:tcBorders>
            <w:tcMar>
              <w:top w:w="15" w:type="dxa"/>
              <w:left w:w="15" w:type="dxa"/>
              <w:right w:w="15" w:type="dxa"/>
            </w:tcMar>
            <w:vAlign w:val="bottom"/>
          </w:tcPr>
          <w:p>
            <w:pPr>
              <w:snapToGrid w:val="0"/>
              <w:spacing w:line="200" w:lineRule="atLeast"/>
              <w:jc w:val="center"/>
              <w:rPr>
                <w:rFonts w:ascii="黑体" w:hAnsi="宋体" w:eastAsia="黑体" w:cs="Times New Roman"/>
                <w:color w:val="000000"/>
                <w:kern w:val="0"/>
                <w:sz w:val="32"/>
                <w:szCs w:val="32"/>
              </w:rPr>
            </w:pPr>
            <w:r>
              <w:rPr>
                <w:rFonts w:hint="eastAsia" w:ascii="黑体" w:hAnsi="宋体" w:eastAsia="黑体" w:cs="黑体"/>
                <w:color w:val="000000"/>
                <w:kern w:val="0"/>
                <w:sz w:val="32"/>
                <w:szCs w:val="32"/>
              </w:rPr>
              <w:t>财政拨款收入支出决算总表</w:t>
            </w:r>
          </w:p>
        </w:tc>
      </w:tr>
      <w:tr>
        <w:tblPrEx>
          <w:tblCellMar>
            <w:top w:w="0" w:type="dxa"/>
            <w:left w:w="0" w:type="dxa"/>
            <w:bottom w:w="0" w:type="dxa"/>
            <w:right w:w="0" w:type="dxa"/>
          </w:tblCellMar>
        </w:tblPrEx>
        <w:trPr>
          <w:trHeight w:val="210" w:hRule="atLeast"/>
          <w:jc w:val="center"/>
        </w:trPr>
        <w:tc>
          <w:tcPr>
            <w:tcW w:w="3086"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675"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582"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3409"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505"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2889" w:type="dxa"/>
            <w:gridSpan w:val="4"/>
            <w:tcBorders>
              <w:top w:val="nil"/>
              <w:left w:val="nil"/>
              <w:bottom w:val="nil"/>
              <w:right w:val="nil"/>
            </w:tcBorders>
            <w:tcMar>
              <w:top w:w="15" w:type="dxa"/>
              <w:left w:w="15" w:type="dxa"/>
              <w:right w:w="15" w:type="dxa"/>
            </w:tcMar>
            <w:vAlign w:val="bottom"/>
          </w:tcPr>
          <w:p>
            <w:pPr>
              <w:widowControl/>
              <w:jc w:val="right"/>
              <w:textAlignment w:val="bottom"/>
              <w:rPr>
                <w:rFonts w:ascii="宋体" w:cs="Times New Roman"/>
                <w:color w:val="000000"/>
                <w:kern w:val="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04</w:t>
            </w:r>
            <w:r>
              <w:rPr>
                <w:rFonts w:hint="eastAsia" w:ascii="宋体" w:hAnsi="宋体" w:cs="宋体"/>
                <w:color w:val="000000"/>
                <w:kern w:val="0"/>
                <w:sz w:val="20"/>
                <w:szCs w:val="20"/>
              </w:rPr>
              <w:t>表</w:t>
            </w:r>
          </w:p>
        </w:tc>
      </w:tr>
      <w:tr>
        <w:tblPrEx>
          <w:tblCellMar>
            <w:top w:w="0" w:type="dxa"/>
            <w:left w:w="0" w:type="dxa"/>
            <w:bottom w:w="0" w:type="dxa"/>
            <w:right w:w="0" w:type="dxa"/>
          </w:tblCellMar>
        </w:tblPrEx>
        <w:trPr>
          <w:trHeight w:val="210" w:hRule="atLeast"/>
          <w:jc w:val="center"/>
        </w:trPr>
        <w:tc>
          <w:tcPr>
            <w:tcW w:w="3086" w:type="dxa"/>
            <w:tcBorders>
              <w:top w:val="nil"/>
              <w:left w:val="nil"/>
              <w:bottom w:val="nil"/>
              <w:right w:val="nil"/>
            </w:tcBorders>
            <w:tcMar>
              <w:top w:w="15" w:type="dxa"/>
              <w:left w:w="15" w:type="dxa"/>
              <w:right w:w="15" w:type="dxa"/>
            </w:tcMar>
            <w:vAlign w:val="bottom"/>
          </w:tcPr>
          <w:p>
            <w:pPr>
              <w:widowControl/>
              <w:jc w:val="left"/>
              <w:textAlignment w:val="bottom"/>
              <w:rPr>
                <w:rFonts w:ascii="宋体" w:cs="Times New Roman"/>
                <w:color w:val="000000"/>
                <w:sz w:val="20"/>
                <w:szCs w:val="20"/>
              </w:rPr>
            </w:pPr>
            <w:r>
              <w:rPr>
                <w:rFonts w:hint="eastAsia" w:ascii="宋体" w:hAnsi="宋体" w:cs="宋体"/>
                <w:color w:val="000000"/>
                <w:kern w:val="0"/>
                <w:sz w:val="20"/>
                <w:szCs w:val="20"/>
              </w:rPr>
              <w:t>单位：石家庄市鹿泉区财政局</w:t>
            </w:r>
          </w:p>
        </w:tc>
        <w:tc>
          <w:tcPr>
            <w:tcW w:w="675"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582"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3409"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505"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2889" w:type="dxa"/>
            <w:gridSpan w:val="4"/>
            <w:tcBorders>
              <w:top w:val="nil"/>
              <w:left w:val="nil"/>
              <w:bottom w:val="nil"/>
              <w:right w:val="nil"/>
            </w:tcBorders>
            <w:tcMar>
              <w:top w:w="15" w:type="dxa"/>
              <w:left w:w="15" w:type="dxa"/>
              <w:right w:w="15" w:type="dxa"/>
            </w:tcMar>
            <w:vAlign w:val="bottom"/>
          </w:tcPr>
          <w:p>
            <w:pPr>
              <w:widowControl/>
              <w:jc w:val="right"/>
              <w:textAlignment w:val="bottom"/>
              <w:rPr>
                <w:rFonts w:ascii="宋体" w:cs="Times New Roman"/>
                <w:color w:val="000000"/>
                <w:kern w:val="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217" w:hRule="atLeast"/>
          <w:jc w:val="center"/>
        </w:trPr>
        <w:tc>
          <w:tcPr>
            <w:tcW w:w="4343"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cs="宋体"/>
              </w:rPr>
              <w:t>收入</w:t>
            </w:r>
          </w:p>
        </w:tc>
        <w:tc>
          <w:tcPr>
            <w:tcW w:w="6803" w:type="dxa"/>
            <w:gridSpan w:val="6"/>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sz w:val="22"/>
                <w:szCs w:val="22"/>
              </w:rPr>
              <w:t>支出</w:t>
            </w:r>
          </w:p>
        </w:tc>
      </w:tr>
      <w:tr>
        <w:tblPrEx>
          <w:tblCellMar>
            <w:top w:w="0" w:type="dxa"/>
            <w:left w:w="0" w:type="dxa"/>
            <w:bottom w:w="0" w:type="dxa"/>
            <w:right w:w="0" w:type="dxa"/>
          </w:tblCellMar>
        </w:tblPrEx>
        <w:trPr>
          <w:trHeight w:val="1085" w:hRule="atLeast"/>
          <w:jc w:val="center"/>
        </w:trPr>
        <w:tc>
          <w:tcPr>
            <w:tcW w:w="308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cs="Times New Roman"/>
              </w:rPr>
            </w:pPr>
            <w:r>
              <w:rPr>
                <w:rFonts w:hint="eastAsia" w:cs="宋体"/>
              </w:rPr>
              <w:t>项目</w:t>
            </w:r>
          </w:p>
          <w:p>
            <w:pPr>
              <w:widowControl/>
              <w:jc w:val="center"/>
              <w:textAlignment w:val="center"/>
              <w:rPr>
                <w:rFonts w:cs="Times New Roman"/>
              </w:rPr>
            </w:pP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cs="Times New Roman"/>
              </w:rPr>
            </w:pPr>
            <w:r>
              <w:rPr>
                <w:rFonts w:hint="eastAsia" w:cs="宋体"/>
              </w:rPr>
              <w:t>行次</w:t>
            </w:r>
          </w:p>
          <w:p>
            <w:pPr>
              <w:widowControl/>
              <w:jc w:val="center"/>
              <w:textAlignment w:val="center"/>
              <w:rPr>
                <w:rFonts w:cs="Times New Roman"/>
              </w:rPr>
            </w:pPr>
          </w:p>
        </w:tc>
        <w:tc>
          <w:tcPr>
            <w:tcW w:w="58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cs="Times New Roman"/>
              </w:rPr>
            </w:pPr>
            <w:r>
              <w:rPr>
                <w:rFonts w:hint="eastAsia" w:cs="宋体"/>
              </w:rPr>
              <w:t>金额</w:t>
            </w:r>
          </w:p>
          <w:p>
            <w:pPr>
              <w:widowControl/>
              <w:jc w:val="center"/>
              <w:textAlignment w:val="center"/>
              <w:rPr>
                <w:rFonts w:cs="Times New Roman"/>
              </w:rPr>
            </w:pPr>
          </w:p>
        </w:tc>
        <w:tc>
          <w:tcPr>
            <w:tcW w:w="3409"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cs="Times New Roman"/>
              </w:rPr>
            </w:pPr>
            <w:r>
              <w:rPr>
                <w:rFonts w:hint="eastAsia" w:cs="宋体"/>
              </w:rPr>
              <w:t>项目</w:t>
            </w:r>
          </w:p>
          <w:p>
            <w:pPr>
              <w:widowControl/>
              <w:jc w:val="center"/>
              <w:textAlignment w:val="center"/>
              <w:rPr>
                <w:rFonts w:cs="Times New Roman"/>
              </w:rPr>
            </w:pPr>
          </w:p>
        </w:tc>
        <w:tc>
          <w:tcPr>
            <w:tcW w:w="50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cs="Times New Roman"/>
              </w:rPr>
            </w:pPr>
            <w:r>
              <w:rPr>
                <w:rFonts w:hint="eastAsia" w:cs="宋体"/>
              </w:rPr>
              <w:t>行次</w:t>
            </w:r>
          </w:p>
          <w:p>
            <w:pPr>
              <w:widowControl/>
              <w:jc w:val="center"/>
              <w:textAlignment w:val="center"/>
              <w:rPr>
                <w:rFonts w:cs="Times New Roman"/>
              </w:rPr>
            </w:pPr>
          </w:p>
        </w:tc>
        <w:tc>
          <w:tcPr>
            <w:tcW w:w="536"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cs="Times New Roman"/>
              </w:rPr>
            </w:pPr>
            <w:r>
              <w:rPr>
                <w:rFonts w:hint="eastAsia" w:cs="宋体"/>
              </w:rPr>
              <w:t>合计</w:t>
            </w:r>
          </w:p>
          <w:p>
            <w:pPr>
              <w:widowControl/>
              <w:jc w:val="center"/>
              <w:textAlignment w:val="center"/>
              <w:rPr>
                <w:rFonts w:cs="Times New Roman"/>
              </w:rPr>
            </w:pPr>
          </w:p>
        </w:tc>
        <w:tc>
          <w:tcPr>
            <w:tcW w:w="760"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cs="Times New Roman"/>
              </w:rPr>
            </w:pPr>
            <w:r>
              <w:rPr>
                <w:rFonts w:hint="eastAsia" w:cs="宋体"/>
              </w:rPr>
              <w:t>一般公共预算财政拨款</w:t>
            </w:r>
          </w:p>
          <w:p>
            <w:pPr>
              <w:widowControl/>
              <w:jc w:val="center"/>
              <w:textAlignment w:val="center"/>
              <w:rPr>
                <w:rFonts w:cs="Times New Roman"/>
              </w:rPr>
            </w:pPr>
          </w:p>
        </w:tc>
        <w:tc>
          <w:tcPr>
            <w:tcW w:w="767"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cs="Times New Roman"/>
              </w:rPr>
            </w:pPr>
            <w:r>
              <w:rPr>
                <w:rFonts w:hint="eastAsia" w:cs="宋体"/>
              </w:rPr>
              <w:t>政府性基金预算财政拨款</w:t>
            </w:r>
          </w:p>
          <w:p>
            <w:pPr>
              <w:widowControl/>
              <w:jc w:val="center"/>
              <w:textAlignment w:val="center"/>
              <w:rPr>
                <w:rFonts w:cs="Times New Roman"/>
              </w:rPr>
            </w:pPr>
          </w:p>
        </w:tc>
        <w:tc>
          <w:tcPr>
            <w:tcW w:w="826"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cs="Times New Roman"/>
              </w:rPr>
            </w:pPr>
            <w:r>
              <w:rPr>
                <w:rFonts w:hint="eastAsia" w:cs="宋体"/>
              </w:rPr>
              <w:t>国有资本经营预算财政拨款</w:t>
            </w:r>
          </w:p>
          <w:p>
            <w:pPr>
              <w:widowControl/>
              <w:jc w:val="center"/>
              <w:textAlignment w:val="center"/>
              <w:rPr>
                <w:rFonts w:cs="Times New Roman"/>
              </w:rPr>
            </w:pPr>
          </w:p>
        </w:tc>
      </w:tr>
      <w:tr>
        <w:tblPrEx>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cs="宋体"/>
              </w:rPr>
              <w:t>栏次</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58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1</w:t>
            </w:r>
          </w:p>
        </w:tc>
        <w:tc>
          <w:tcPr>
            <w:tcW w:w="3409"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rPr>
                <w:rFonts w:hint="eastAsia" w:cs="宋体"/>
              </w:rPr>
              <w:t>栏次</w:t>
            </w:r>
          </w:p>
        </w:tc>
        <w:tc>
          <w:tcPr>
            <w:tcW w:w="505" w:type="dxa"/>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536"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2</w:t>
            </w:r>
          </w:p>
        </w:tc>
        <w:tc>
          <w:tcPr>
            <w:tcW w:w="760"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3</w:t>
            </w:r>
          </w:p>
        </w:tc>
        <w:tc>
          <w:tcPr>
            <w:tcW w:w="767"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4</w:t>
            </w:r>
          </w:p>
        </w:tc>
        <w:tc>
          <w:tcPr>
            <w:tcW w:w="826"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pPr>
            <w:r>
              <w:t>5</w:t>
            </w:r>
          </w:p>
        </w:tc>
      </w:tr>
      <w:tr>
        <w:tblPrEx>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一、一般公共预算财政拨款</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1</w:t>
            </w:r>
          </w:p>
        </w:tc>
        <w:tc>
          <w:tcPr>
            <w:tcW w:w="58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13,539.43</w:t>
            </w:r>
          </w:p>
        </w:tc>
        <w:tc>
          <w:tcPr>
            <w:tcW w:w="3409"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一、一般公共服务支出</w:t>
            </w:r>
          </w:p>
        </w:tc>
        <w:tc>
          <w:tcPr>
            <w:tcW w:w="50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33</w:t>
            </w:r>
          </w:p>
        </w:tc>
        <w:tc>
          <w:tcPr>
            <w:tcW w:w="53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13,194.18</w:t>
            </w:r>
          </w:p>
        </w:tc>
        <w:tc>
          <w:tcPr>
            <w:tcW w:w="76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13,194.18</w:t>
            </w:r>
          </w:p>
        </w:tc>
        <w:tc>
          <w:tcPr>
            <w:tcW w:w="767"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82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r>
      <w:tr>
        <w:tblPrEx>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二、政府性基金预算财政拨款</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2</w:t>
            </w:r>
          </w:p>
        </w:tc>
        <w:tc>
          <w:tcPr>
            <w:tcW w:w="58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3409"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二、外交支出</w:t>
            </w:r>
          </w:p>
        </w:tc>
        <w:tc>
          <w:tcPr>
            <w:tcW w:w="50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34</w:t>
            </w:r>
          </w:p>
        </w:tc>
        <w:tc>
          <w:tcPr>
            <w:tcW w:w="53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76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767"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82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r>
      <w:tr>
        <w:tblPrEx>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r>
              <w:rPr>
                <w:rFonts w:hint="eastAsia" w:cs="宋体"/>
              </w:rPr>
              <w:t>三、国有资本经营财政拨款</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3</w:t>
            </w:r>
          </w:p>
        </w:tc>
        <w:tc>
          <w:tcPr>
            <w:tcW w:w="58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3409"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三、国防支出</w:t>
            </w:r>
          </w:p>
        </w:tc>
        <w:tc>
          <w:tcPr>
            <w:tcW w:w="50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35</w:t>
            </w:r>
          </w:p>
        </w:tc>
        <w:tc>
          <w:tcPr>
            <w:tcW w:w="53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76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767"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82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r>
      <w:tr>
        <w:tblPrEx>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4</w:t>
            </w:r>
          </w:p>
        </w:tc>
        <w:tc>
          <w:tcPr>
            <w:tcW w:w="58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3409"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四、公共安全支出</w:t>
            </w:r>
          </w:p>
        </w:tc>
        <w:tc>
          <w:tcPr>
            <w:tcW w:w="50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36</w:t>
            </w:r>
          </w:p>
        </w:tc>
        <w:tc>
          <w:tcPr>
            <w:tcW w:w="53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76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767"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82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r>
      <w:tr>
        <w:tblPrEx>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5</w:t>
            </w:r>
          </w:p>
        </w:tc>
        <w:tc>
          <w:tcPr>
            <w:tcW w:w="58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3409"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五、教育支出</w:t>
            </w:r>
          </w:p>
        </w:tc>
        <w:tc>
          <w:tcPr>
            <w:tcW w:w="50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37</w:t>
            </w:r>
          </w:p>
        </w:tc>
        <w:tc>
          <w:tcPr>
            <w:tcW w:w="53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76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767"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82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r>
      <w:tr>
        <w:tblPrEx>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6</w:t>
            </w:r>
          </w:p>
        </w:tc>
        <w:tc>
          <w:tcPr>
            <w:tcW w:w="58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3409"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六、科学技术支出</w:t>
            </w:r>
          </w:p>
        </w:tc>
        <w:tc>
          <w:tcPr>
            <w:tcW w:w="50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38</w:t>
            </w:r>
          </w:p>
        </w:tc>
        <w:tc>
          <w:tcPr>
            <w:tcW w:w="53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76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767"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82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r>
      <w:tr>
        <w:tblPrEx>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7</w:t>
            </w:r>
          </w:p>
        </w:tc>
        <w:tc>
          <w:tcPr>
            <w:tcW w:w="58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3409"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七、文化旅游体育与传媒支出</w:t>
            </w:r>
          </w:p>
        </w:tc>
        <w:tc>
          <w:tcPr>
            <w:tcW w:w="50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39</w:t>
            </w:r>
          </w:p>
        </w:tc>
        <w:tc>
          <w:tcPr>
            <w:tcW w:w="53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76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767"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82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r>
      <w:tr>
        <w:tblPrEx>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8</w:t>
            </w:r>
          </w:p>
        </w:tc>
        <w:tc>
          <w:tcPr>
            <w:tcW w:w="58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3409"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八、社会保障和就业支出</w:t>
            </w:r>
          </w:p>
        </w:tc>
        <w:tc>
          <w:tcPr>
            <w:tcW w:w="50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40</w:t>
            </w:r>
          </w:p>
        </w:tc>
        <w:tc>
          <w:tcPr>
            <w:tcW w:w="53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181.72</w:t>
            </w:r>
          </w:p>
        </w:tc>
        <w:tc>
          <w:tcPr>
            <w:tcW w:w="76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181.72</w:t>
            </w:r>
          </w:p>
        </w:tc>
        <w:tc>
          <w:tcPr>
            <w:tcW w:w="767"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82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r>
      <w:tr>
        <w:tblPrEx>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9</w:t>
            </w:r>
          </w:p>
        </w:tc>
        <w:tc>
          <w:tcPr>
            <w:tcW w:w="58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3409"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九、卫生健康支出</w:t>
            </w:r>
          </w:p>
        </w:tc>
        <w:tc>
          <w:tcPr>
            <w:tcW w:w="50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41</w:t>
            </w:r>
          </w:p>
        </w:tc>
        <w:tc>
          <w:tcPr>
            <w:tcW w:w="53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66.46</w:t>
            </w:r>
          </w:p>
        </w:tc>
        <w:tc>
          <w:tcPr>
            <w:tcW w:w="76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66.46</w:t>
            </w:r>
          </w:p>
        </w:tc>
        <w:tc>
          <w:tcPr>
            <w:tcW w:w="767"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82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r>
      <w:tr>
        <w:tblPrEx>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10</w:t>
            </w:r>
          </w:p>
        </w:tc>
        <w:tc>
          <w:tcPr>
            <w:tcW w:w="58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3409"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十、节能环保支出</w:t>
            </w:r>
          </w:p>
        </w:tc>
        <w:tc>
          <w:tcPr>
            <w:tcW w:w="50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42</w:t>
            </w:r>
          </w:p>
        </w:tc>
        <w:tc>
          <w:tcPr>
            <w:tcW w:w="53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76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767"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82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r>
      <w:tr>
        <w:tblPrEx>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11</w:t>
            </w:r>
          </w:p>
        </w:tc>
        <w:tc>
          <w:tcPr>
            <w:tcW w:w="58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3409"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十一、城乡社区支出</w:t>
            </w:r>
          </w:p>
        </w:tc>
        <w:tc>
          <w:tcPr>
            <w:tcW w:w="50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43</w:t>
            </w:r>
          </w:p>
        </w:tc>
        <w:tc>
          <w:tcPr>
            <w:tcW w:w="53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76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767"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82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r>
      <w:tr>
        <w:tblPrEx>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12</w:t>
            </w:r>
          </w:p>
        </w:tc>
        <w:tc>
          <w:tcPr>
            <w:tcW w:w="58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3409"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十二、农林水支出</w:t>
            </w:r>
          </w:p>
        </w:tc>
        <w:tc>
          <w:tcPr>
            <w:tcW w:w="50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44</w:t>
            </w:r>
          </w:p>
        </w:tc>
        <w:tc>
          <w:tcPr>
            <w:tcW w:w="53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3.03</w:t>
            </w:r>
          </w:p>
        </w:tc>
        <w:tc>
          <w:tcPr>
            <w:tcW w:w="76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3.03</w:t>
            </w:r>
          </w:p>
        </w:tc>
        <w:tc>
          <w:tcPr>
            <w:tcW w:w="767"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82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r>
      <w:tr>
        <w:tblPrEx>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13</w:t>
            </w:r>
          </w:p>
        </w:tc>
        <w:tc>
          <w:tcPr>
            <w:tcW w:w="58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3409"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十三、交通运输支出</w:t>
            </w:r>
          </w:p>
        </w:tc>
        <w:tc>
          <w:tcPr>
            <w:tcW w:w="50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45</w:t>
            </w:r>
          </w:p>
        </w:tc>
        <w:tc>
          <w:tcPr>
            <w:tcW w:w="53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76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767"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82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r>
      <w:tr>
        <w:tblPrEx>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14</w:t>
            </w:r>
          </w:p>
        </w:tc>
        <w:tc>
          <w:tcPr>
            <w:tcW w:w="58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3409"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十四、资源勘探工业信息等支出</w:t>
            </w:r>
          </w:p>
        </w:tc>
        <w:tc>
          <w:tcPr>
            <w:tcW w:w="50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46</w:t>
            </w:r>
          </w:p>
        </w:tc>
        <w:tc>
          <w:tcPr>
            <w:tcW w:w="53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76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767"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82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r>
      <w:tr>
        <w:tblPrEx>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15</w:t>
            </w:r>
          </w:p>
        </w:tc>
        <w:tc>
          <w:tcPr>
            <w:tcW w:w="58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3409"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十五、商业服务业等支出</w:t>
            </w:r>
          </w:p>
        </w:tc>
        <w:tc>
          <w:tcPr>
            <w:tcW w:w="50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47</w:t>
            </w:r>
          </w:p>
        </w:tc>
        <w:tc>
          <w:tcPr>
            <w:tcW w:w="53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76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767"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82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r>
      <w:tr>
        <w:tblPrEx>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16</w:t>
            </w:r>
          </w:p>
        </w:tc>
        <w:tc>
          <w:tcPr>
            <w:tcW w:w="58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3409"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十六、金融支出</w:t>
            </w:r>
          </w:p>
        </w:tc>
        <w:tc>
          <w:tcPr>
            <w:tcW w:w="50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48</w:t>
            </w:r>
          </w:p>
        </w:tc>
        <w:tc>
          <w:tcPr>
            <w:tcW w:w="53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76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767"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82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r>
      <w:tr>
        <w:tblPrEx>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17</w:t>
            </w:r>
          </w:p>
        </w:tc>
        <w:tc>
          <w:tcPr>
            <w:tcW w:w="58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3409"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十七、援助其他地区支出</w:t>
            </w:r>
          </w:p>
        </w:tc>
        <w:tc>
          <w:tcPr>
            <w:tcW w:w="50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49</w:t>
            </w:r>
          </w:p>
        </w:tc>
        <w:tc>
          <w:tcPr>
            <w:tcW w:w="53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76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767"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82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r>
      <w:tr>
        <w:tblPrEx>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18</w:t>
            </w:r>
          </w:p>
        </w:tc>
        <w:tc>
          <w:tcPr>
            <w:tcW w:w="58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rPr>
            </w:pPr>
          </w:p>
        </w:tc>
        <w:tc>
          <w:tcPr>
            <w:tcW w:w="3409"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十八、自然资源海洋气象等支出</w:t>
            </w:r>
          </w:p>
        </w:tc>
        <w:tc>
          <w:tcPr>
            <w:tcW w:w="50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50</w:t>
            </w:r>
          </w:p>
        </w:tc>
        <w:tc>
          <w:tcPr>
            <w:tcW w:w="53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76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767"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82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r>
      <w:tr>
        <w:tblPrEx>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19</w:t>
            </w:r>
          </w:p>
        </w:tc>
        <w:tc>
          <w:tcPr>
            <w:tcW w:w="58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3409"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十九、住房保障支出</w:t>
            </w:r>
          </w:p>
        </w:tc>
        <w:tc>
          <w:tcPr>
            <w:tcW w:w="50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51</w:t>
            </w:r>
          </w:p>
        </w:tc>
        <w:tc>
          <w:tcPr>
            <w:tcW w:w="53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93.16</w:t>
            </w:r>
          </w:p>
        </w:tc>
        <w:tc>
          <w:tcPr>
            <w:tcW w:w="76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93.16</w:t>
            </w:r>
          </w:p>
        </w:tc>
        <w:tc>
          <w:tcPr>
            <w:tcW w:w="767"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82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r>
      <w:tr>
        <w:tblPrEx>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20</w:t>
            </w:r>
          </w:p>
        </w:tc>
        <w:tc>
          <w:tcPr>
            <w:tcW w:w="58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3409"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二十、粮油物资储备支出</w:t>
            </w:r>
          </w:p>
        </w:tc>
        <w:tc>
          <w:tcPr>
            <w:tcW w:w="50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52</w:t>
            </w:r>
          </w:p>
        </w:tc>
        <w:tc>
          <w:tcPr>
            <w:tcW w:w="53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76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767"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82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r>
      <w:tr>
        <w:tblPrEx>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21</w:t>
            </w:r>
          </w:p>
        </w:tc>
        <w:tc>
          <w:tcPr>
            <w:tcW w:w="58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3409"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kern w:val="0"/>
                <w:sz w:val="20"/>
                <w:szCs w:val="20"/>
              </w:rPr>
            </w:pPr>
            <w:r>
              <w:rPr>
                <w:rFonts w:hint="eastAsia" w:cs="宋体"/>
              </w:rPr>
              <w:t>二十一、国有资本经营预算支出</w:t>
            </w:r>
          </w:p>
        </w:tc>
        <w:tc>
          <w:tcPr>
            <w:tcW w:w="50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53</w:t>
            </w:r>
          </w:p>
        </w:tc>
        <w:tc>
          <w:tcPr>
            <w:tcW w:w="53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76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767"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82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r>
      <w:tr>
        <w:tblPrEx>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22</w:t>
            </w:r>
          </w:p>
        </w:tc>
        <w:tc>
          <w:tcPr>
            <w:tcW w:w="58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3409"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二十二、灾害防治及应急管理支出</w:t>
            </w:r>
          </w:p>
        </w:tc>
        <w:tc>
          <w:tcPr>
            <w:tcW w:w="50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54</w:t>
            </w:r>
          </w:p>
        </w:tc>
        <w:tc>
          <w:tcPr>
            <w:tcW w:w="53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76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767"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82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r>
      <w:tr>
        <w:tblPrEx>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23</w:t>
            </w:r>
          </w:p>
        </w:tc>
        <w:tc>
          <w:tcPr>
            <w:tcW w:w="58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3409"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二十三、其他支出</w:t>
            </w:r>
          </w:p>
        </w:tc>
        <w:tc>
          <w:tcPr>
            <w:tcW w:w="50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55</w:t>
            </w:r>
          </w:p>
        </w:tc>
        <w:tc>
          <w:tcPr>
            <w:tcW w:w="53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76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767"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82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r>
      <w:tr>
        <w:tblPrEx>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24</w:t>
            </w:r>
          </w:p>
        </w:tc>
        <w:tc>
          <w:tcPr>
            <w:tcW w:w="58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3409"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二十四、债务还本支出</w:t>
            </w:r>
          </w:p>
        </w:tc>
        <w:tc>
          <w:tcPr>
            <w:tcW w:w="50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56</w:t>
            </w:r>
          </w:p>
        </w:tc>
        <w:tc>
          <w:tcPr>
            <w:tcW w:w="53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76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767"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82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r>
      <w:tr>
        <w:tblPrEx>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b/>
                <w:bCs/>
                <w:color w:val="000000"/>
                <w:sz w:val="22"/>
                <w:szCs w:val="22"/>
              </w:rPr>
            </w:pP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25</w:t>
            </w:r>
          </w:p>
        </w:tc>
        <w:tc>
          <w:tcPr>
            <w:tcW w:w="58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3409" w:type="dxa"/>
            <w:tcBorders>
              <w:top w:val="nil"/>
              <w:left w:val="nil"/>
              <w:bottom w:val="single" w:color="000000" w:sz="4" w:space="0"/>
              <w:right w:val="single" w:color="000000" w:sz="4" w:space="0"/>
            </w:tcBorders>
            <w:tcMar>
              <w:top w:w="15" w:type="dxa"/>
              <w:left w:w="15" w:type="dxa"/>
              <w:right w:w="15" w:type="dxa"/>
            </w:tcMar>
            <w:vAlign w:val="center"/>
          </w:tcPr>
          <w:p>
            <w:pPr>
              <w:widowControl/>
              <w:textAlignment w:val="center"/>
              <w:rPr>
                <w:rFonts w:ascii="宋体" w:cs="Times New Roman"/>
                <w:b/>
                <w:bCs/>
                <w:color w:val="000000"/>
                <w:sz w:val="22"/>
                <w:szCs w:val="22"/>
              </w:rPr>
            </w:pPr>
            <w:r>
              <w:rPr>
                <w:rFonts w:hint="eastAsia" w:cs="宋体"/>
              </w:rPr>
              <w:t>二十五、债务付息支出</w:t>
            </w:r>
          </w:p>
        </w:tc>
        <w:tc>
          <w:tcPr>
            <w:tcW w:w="50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57</w:t>
            </w:r>
          </w:p>
        </w:tc>
        <w:tc>
          <w:tcPr>
            <w:tcW w:w="53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76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767"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82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r>
      <w:tr>
        <w:tblPrEx>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26</w:t>
            </w:r>
          </w:p>
        </w:tc>
        <w:tc>
          <w:tcPr>
            <w:tcW w:w="58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3409"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二十六、抗疫特别国债安排的支出</w:t>
            </w:r>
          </w:p>
        </w:tc>
        <w:tc>
          <w:tcPr>
            <w:tcW w:w="50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58</w:t>
            </w:r>
          </w:p>
        </w:tc>
        <w:tc>
          <w:tcPr>
            <w:tcW w:w="53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76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767"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82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r>
      <w:tr>
        <w:tblPrEx>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本年收入合计</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27</w:t>
            </w:r>
          </w:p>
        </w:tc>
        <w:tc>
          <w:tcPr>
            <w:tcW w:w="58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13,539.43</w:t>
            </w:r>
          </w:p>
        </w:tc>
        <w:tc>
          <w:tcPr>
            <w:tcW w:w="3409"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r>
              <w:rPr>
                <w:rFonts w:hint="eastAsia" w:cs="宋体"/>
              </w:rPr>
              <w:t>本年支出合计</w:t>
            </w:r>
          </w:p>
        </w:tc>
        <w:tc>
          <w:tcPr>
            <w:tcW w:w="50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59</w:t>
            </w:r>
          </w:p>
        </w:tc>
        <w:tc>
          <w:tcPr>
            <w:tcW w:w="53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13,538.55</w:t>
            </w:r>
          </w:p>
        </w:tc>
        <w:tc>
          <w:tcPr>
            <w:tcW w:w="76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13,538.55</w:t>
            </w:r>
          </w:p>
        </w:tc>
        <w:tc>
          <w:tcPr>
            <w:tcW w:w="767"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82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r>
      <w:tr>
        <w:tblPrEx>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年初财政拨款结转和结余</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28</w:t>
            </w:r>
          </w:p>
        </w:tc>
        <w:tc>
          <w:tcPr>
            <w:tcW w:w="58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1.73</w:t>
            </w:r>
          </w:p>
        </w:tc>
        <w:tc>
          <w:tcPr>
            <w:tcW w:w="3409"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r>
              <w:rPr>
                <w:rFonts w:hint="eastAsia" w:cs="宋体"/>
              </w:rPr>
              <w:t>年末财政拨款结转和结余</w:t>
            </w:r>
          </w:p>
        </w:tc>
        <w:tc>
          <w:tcPr>
            <w:tcW w:w="50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60</w:t>
            </w:r>
          </w:p>
        </w:tc>
        <w:tc>
          <w:tcPr>
            <w:tcW w:w="53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2.61</w:t>
            </w:r>
          </w:p>
        </w:tc>
        <w:tc>
          <w:tcPr>
            <w:tcW w:w="76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2.61</w:t>
            </w:r>
          </w:p>
        </w:tc>
        <w:tc>
          <w:tcPr>
            <w:tcW w:w="767"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82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r>
      <w:tr>
        <w:tblPrEx>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r>
              <w:rPr>
                <w:rFonts w:hint="eastAsia" w:cs="宋体"/>
              </w:rPr>
              <w:t>一般公共预算财政拨款</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29</w:t>
            </w:r>
          </w:p>
        </w:tc>
        <w:tc>
          <w:tcPr>
            <w:tcW w:w="58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1.73</w:t>
            </w:r>
          </w:p>
        </w:tc>
        <w:tc>
          <w:tcPr>
            <w:tcW w:w="3409"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50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61</w:t>
            </w:r>
          </w:p>
        </w:tc>
        <w:tc>
          <w:tcPr>
            <w:tcW w:w="53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7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76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82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ind w:firstLine="210" w:firstLineChars="100"/>
              <w:textAlignment w:val="center"/>
              <w:rPr>
                <w:rFonts w:ascii="宋体" w:cs="Times New Roman"/>
                <w:b/>
                <w:bCs/>
                <w:color w:val="000000"/>
                <w:sz w:val="22"/>
                <w:szCs w:val="22"/>
              </w:rPr>
            </w:pPr>
            <w:r>
              <w:rPr>
                <w:rFonts w:hint="eastAsia" w:cs="宋体"/>
              </w:rPr>
              <w:t>政府性基金预算财政拨款</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30</w:t>
            </w:r>
          </w:p>
        </w:tc>
        <w:tc>
          <w:tcPr>
            <w:tcW w:w="58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3409"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b/>
                <w:bCs/>
                <w:color w:val="000000"/>
                <w:sz w:val="22"/>
                <w:szCs w:val="22"/>
              </w:rPr>
            </w:pPr>
          </w:p>
        </w:tc>
        <w:tc>
          <w:tcPr>
            <w:tcW w:w="50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62</w:t>
            </w:r>
          </w:p>
        </w:tc>
        <w:tc>
          <w:tcPr>
            <w:tcW w:w="53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7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76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82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ind w:firstLine="210" w:firstLineChars="100"/>
              <w:textAlignment w:val="center"/>
              <w:rPr>
                <w:rFonts w:ascii="宋体" w:cs="Times New Roman"/>
                <w:b/>
                <w:bCs/>
                <w:color w:val="000000"/>
                <w:kern w:val="0"/>
                <w:sz w:val="22"/>
                <w:szCs w:val="22"/>
              </w:rPr>
            </w:pPr>
            <w:r>
              <w:rPr>
                <w:rFonts w:hint="eastAsia" w:cs="宋体"/>
              </w:rPr>
              <w:t>国有资本经营预算财政拨款</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kern w:val="0"/>
                <w:sz w:val="22"/>
                <w:szCs w:val="22"/>
              </w:rPr>
            </w:pPr>
            <w:r>
              <w:t>31</w:t>
            </w:r>
          </w:p>
        </w:tc>
        <w:tc>
          <w:tcPr>
            <w:tcW w:w="58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3409"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b/>
                <w:bCs/>
                <w:color w:val="000000"/>
                <w:kern w:val="0"/>
                <w:sz w:val="22"/>
                <w:szCs w:val="22"/>
              </w:rPr>
            </w:pPr>
          </w:p>
        </w:tc>
        <w:tc>
          <w:tcPr>
            <w:tcW w:w="50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kern w:val="0"/>
                <w:sz w:val="22"/>
                <w:szCs w:val="22"/>
              </w:rPr>
            </w:pPr>
            <w:r>
              <w:t>63</w:t>
            </w:r>
          </w:p>
        </w:tc>
        <w:tc>
          <w:tcPr>
            <w:tcW w:w="53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7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76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82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b/>
                <w:bCs/>
                <w:color w:val="000000"/>
                <w:kern w:val="0"/>
                <w:sz w:val="22"/>
                <w:szCs w:val="22"/>
              </w:rPr>
            </w:pPr>
            <w:r>
              <w:rPr>
                <w:rFonts w:hint="eastAsia" w:cs="宋体"/>
              </w:rPr>
              <w:t>总计</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kern w:val="0"/>
                <w:sz w:val="22"/>
                <w:szCs w:val="22"/>
              </w:rPr>
            </w:pPr>
            <w:r>
              <w:t>32</w:t>
            </w:r>
          </w:p>
        </w:tc>
        <w:tc>
          <w:tcPr>
            <w:tcW w:w="58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13,541.16</w:t>
            </w:r>
          </w:p>
        </w:tc>
        <w:tc>
          <w:tcPr>
            <w:tcW w:w="3409"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b/>
                <w:bCs/>
                <w:color w:val="000000"/>
                <w:kern w:val="0"/>
                <w:sz w:val="22"/>
                <w:szCs w:val="22"/>
              </w:rPr>
            </w:pPr>
            <w:r>
              <w:rPr>
                <w:rFonts w:hint="eastAsia" w:cs="宋体"/>
              </w:rPr>
              <w:t>总计</w:t>
            </w:r>
          </w:p>
        </w:tc>
        <w:tc>
          <w:tcPr>
            <w:tcW w:w="50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kern w:val="0"/>
                <w:sz w:val="22"/>
                <w:szCs w:val="22"/>
              </w:rPr>
            </w:pPr>
            <w:r>
              <w:t>64</w:t>
            </w:r>
          </w:p>
        </w:tc>
        <w:tc>
          <w:tcPr>
            <w:tcW w:w="53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13,541.16</w:t>
            </w:r>
          </w:p>
        </w:tc>
        <w:tc>
          <w:tcPr>
            <w:tcW w:w="76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13,541.16</w:t>
            </w:r>
          </w:p>
        </w:tc>
        <w:tc>
          <w:tcPr>
            <w:tcW w:w="767"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82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r>
      <w:tr>
        <w:tblPrEx>
          <w:tblCellMar>
            <w:top w:w="0" w:type="dxa"/>
            <w:left w:w="0" w:type="dxa"/>
            <w:bottom w:w="0" w:type="dxa"/>
            <w:right w:w="0" w:type="dxa"/>
          </w:tblCellMar>
        </w:tblPrEx>
        <w:trPr>
          <w:trHeight w:val="210" w:hRule="atLeast"/>
          <w:jc w:val="center"/>
        </w:trPr>
        <w:tc>
          <w:tcPr>
            <w:tcW w:w="11146" w:type="dxa"/>
            <w:gridSpan w:val="9"/>
            <w:tcBorders>
              <w:top w:val="nil"/>
              <w:left w:val="nil"/>
              <w:bottom w:val="nil"/>
              <w:right w:val="nil"/>
            </w:tcBorders>
            <w:tcMar>
              <w:top w:w="15" w:type="dxa"/>
              <w:left w:w="15" w:type="dxa"/>
              <w:right w:w="15" w:type="dxa"/>
            </w:tcMar>
            <w:vAlign w:val="center"/>
          </w:tcPr>
          <w:p>
            <w:pPr>
              <w:widowControl/>
              <w:jc w:val="left"/>
              <w:textAlignment w:val="center"/>
              <w:rPr>
                <w:rFonts w:ascii="宋体" w:cs="Times New Roman"/>
                <w:color w:val="000000"/>
                <w:kern w:val="0"/>
                <w:sz w:val="20"/>
                <w:szCs w:val="20"/>
              </w:rPr>
            </w:pPr>
            <w:r>
              <w:rPr>
                <w:rFonts w:hint="eastAsia" w:ascii="宋体" w:hAnsi="宋体" w:cs="宋体"/>
                <w:color w:val="000000"/>
                <w:kern w:val="0"/>
                <w:sz w:val="20"/>
                <w:szCs w:val="20"/>
              </w:rPr>
              <w:t>注：本表反映</w:t>
            </w:r>
            <w:r>
              <w:rPr>
                <w:rFonts w:hint="eastAsia" w:ascii="宋体" w:hAnsi="宋体" w:cs="宋体"/>
                <w:color w:val="000000"/>
                <w:kern w:val="0"/>
                <w:sz w:val="20"/>
                <w:szCs w:val="20"/>
                <w:lang w:eastAsia="zh-CN"/>
              </w:rPr>
              <w:t>部门</w:t>
            </w:r>
            <w:r>
              <w:rPr>
                <w:rFonts w:hint="eastAsia" w:ascii="宋体" w:hAnsi="宋体" w:cs="宋体"/>
                <w:color w:val="000000"/>
                <w:kern w:val="0"/>
                <w:sz w:val="20"/>
                <w:szCs w:val="20"/>
              </w:rPr>
              <w:t>本年度一般公共预算财政拨款、政府性基金预算财政拨款和国有资本经营预算财政拨款的总收支和年末结转结余情况。</w:t>
            </w:r>
            <w:r>
              <w:rPr>
                <w:rFonts w:ascii="宋体" w:cs="Times New Roman"/>
                <w:color w:val="000000"/>
                <w:kern w:val="0"/>
                <w:sz w:val="20"/>
                <w:szCs w:val="20"/>
              </w:rPr>
              <w:tab/>
            </w:r>
            <w:r>
              <w:rPr>
                <w:rFonts w:ascii="宋体" w:cs="Times New Roman"/>
                <w:color w:val="000000"/>
                <w:kern w:val="0"/>
                <w:sz w:val="20"/>
                <w:szCs w:val="20"/>
              </w:rPr>
              <w:tab/>
            </w:r>
            <w:r>
              <w:rPr>
                <w:rFonts w:ascii="宋体" w:cs="Times New Roman"/>
                <w:color w:val="000000"/>
                <w:kern w:val="0"/>
                <w:sz w:val="20"/>
                <w:szCs w:val="20"/>
              </w:rPr>
              <w:tab/>
            </w:r>
            <w:r>
              <w:rPr>
                <w:rFonts w:ascii="宋体" w:cs="Times New Roman"/>
                <w:color w:val="000000"/>
                <w:kern w:val="0"/>
                <w:sz w:val="20"/>
                <w:szCs w:val="20"/>
              </w:rPr>
              <w:tab/>
            </w:r>
            <w:r>
              <w:rPr>
                <w:rFonts w:ascii="宋体" w:cs="Times New Roman"/>
                <w:color w:val="000000"/>
                <w:kern w:val="0"/>
                <w:sz w:val="20"/>
                <w:szCs w:val="20"/>
              </w:rPr>
              <w:tab/>
            </w:r>
            <w:r>
              <w:rPr>
                <w:rFonts w:ascii="宋体" w:cs="Times New Roman"/>
                <w:color w:val="000000"/>
                <w:kern w:val="0"/>
                <w:sz w:val="20"/>
                <w:szCs w:val="20"/>
              </w:rPr>
              <w:tab/>
            </w:r>
            <w:r>
              <w:rPr>
                <w:rFonts w:ascii="宋体" w:cs="Times New Roman"/>
                <w:color w:val="000000"/>
                <w:kern w:val="0"/>
                <w:sz w:val="20"/>
                <w:szCs w:val="20"/>
              </w:rPr>
              <w:tab/>
            </w:r>
          </w:p>
        </w:tc>
      </w:tr>
    </w:tbl>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tbl>
      <w:tblPr>
        <w:tblStyle w:val="5"/>
        <w:tblpPr w:leftFromText="180" w:rightFromText="180" w:vertAnchor="text" w:horzAnchor="page" w:tblpX="1169" w:tblpY="322"/>
        <w:tblOverlap w:val="never"/>
        <w:tblW w:w="9600" w:type="dxa"/>
        <w:tblInd w:w="0" w:type="dxa"/>
        <w:tblLayout w:type="fixed"/>
        <w:tblCellMar>
          <w:top w:w="0" w:type="dxa"/>
          <w:left w:w="0" w:type="dxa"/>
          <w:bottom w:w="0" w:type="dxa"/>
          <w:right w:w="0" w:type="dxa"/>
        </w:tblCellMar>
      </w:tblPr>
      <w:tblGrid>
        <w:gridCol w:w="1125"/>
        <w:gridCol w:w="90"/>
        <w:gridCol w:w="90"/>
        <w:gridCol w:w="1965"/>
        <w:gridCol w:w="180"/>
        <w:gridCol w:w="1710"/>
        <w:gridCol w:w="2232"/>
        <w:gridCol w:w="2208"/>
      </w:tblGrid>
      <w:tr>
        <w:tblPrEx>
          <w:tblCellMar>
            <w:top w:w="0" w:type="dxa"/>
            <w:left w:w="0" w:type="dxa"/>
            <w:bottom w:w="0" w:type="dxa"/>
            <w:right w:w="0" w:type="dxa"/>
          </w:tblCellMar>
        </w:tblPrEx>
        <w:trPr>
          <w:trHeight w:val="549" w:hRule="atLeast"/>
        </w:trPr>
        <w:tc>
          <w:tcPr>
            <w:tcW w:w="9600" w:type="dxa"/>
            <w:gridSpan w:val="8"/>
            <w:tcBorders>
              <w:top w:val="nil"/>
              <w:left w:val="nil"/>
              <w:bottom w:val="nil"/>
              <w:right w:val="nil"/>
            </w:tcBorders>
            <w:tcMar>
              <w:top w:w="15" w:type="dxa"/>
              <w:left w:w="15" w:type="dxa"/>
              <w:right w:w="15" w:type="dxa"/>
            </w:tcMar>
            <w:vAlign w:val="center"/>
          </w:tcPr>
          <w:p>
            <w:pPr>
              <w:widowControl/>
              <w:jc w:val="center"/>
              <w:textAlignment w:val="center"/>
              <w:rPr>
                <w:rFonts w:ascii="黑体" w:hAnsi="宋体" w:eastAsia="黑体" w:cs="Times New Roman"/>
                <w:color w:val="000000"/>
                <w:sz w:val="32"/>
                <w:szCs w:val="32"/>
              </w:rPr>
            </w:pPr>
            <w:r>
              <w:rPr>
                <w:rFonts w:hint="eastAsia" w:ascii="黑体" w:hAnsi="宋体" w:eastAsia="黑体" w:cs="黑体"/>
                <w:color w:val="000000"/>
                <w:kern w:val="0"/>
                <w:sz w:val="32"/>
                <w:szCs w:val="32"/>
              </w:rPr>
              <w:t>一般公共预算财政拨款支出决算表</w:t>
            </w:r>
          </w:p>
        </w:tc>
      </w:tr>
      <w:tr>
        <w:tblPrEx>
          <w:tblCellMar>
            <w:top w:w="0" w:type="dxa"/>
            <w:left w:w="0" w:type="dxa"/>
            <w:bottom w:w="0" w:type="dxa"/>
            <w:right w:w="0" w:type="dxa"/>
          </w:tblCellMar>
        </w:tblPrEx>
        <w:trPr>
          <w:trHeight w:val="255" w:hRule="atLeast"/>
        </w:trPr>
        <w:tc>
          <w:tcPr>
            <w:tcW w:w="1125"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90"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90"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965"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890" w:type="dxa"/>
            <w:gridSpan w:val="2"/>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4440" w:type="dxa"/>
            <w:gridSpan w:val="2"/>
            <w:tcBorders>
              <w:top w:val="nil"/>
              <w:left w:val="nil"/>
              <w:bottom w:val="nil"/>
              <w:right w:val="nil"/>
            </w:tcBorders>
            <w:tcMar>
              <w:top w:w="15" w:type="dxa"/>
              <w:left w:w="15" w:type="dxa"/>
              <w:right w:w="15" w:type="dxa"/>
            </w:tcMar>
            <w:vAlign w:val="bottom"/>
          </w:tcPr>
          <w:p>
            <w:pPr>
              <w:widowControl/>
              <w:jc w:val="right"/>
              <w:textAlignment w:val="bottom"/>
              <w:rPr>
                <w:rFonts w:ascii="宋体" w:cs="Times New Roman"/>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05</w:t>
            </w:r>
            <w:r>
              <w:rPr>
                <w:rFonts w:hint="eastAsia" w:ascii="宋体" w:hAnsi="宋体" w:cs="宋体"/>
                <w:color w:val="000000"/>
                <w:kern w:val="0"/>
                <w:sz w:val="20"/>
                <w:szCs w:val="20"/>
              </w:rPr>
              <w:t>表</w:t>
            </w:r>
          </w:p>
        </w:tc>
      </w:tr>
      <w:tr>
        <w:tblPrEx>
          <w:tblCellMar>
            <w:top w:w="0" w:type="dxa"/>
            <w:left w:w="0" w:type="dxa"/>
            <w:bottom w:w="0" w:type="dxa"/>
            <w:right w:w="0" w:type="dxa"/>
          </w:tblCellMar>
        </w:tblPrEx>
        <w:trPr>
          <w:trHeight w:val="255" w:hRule="atLeast"/>
        </w:trPr>
        <w:tc>
          <w:tcPr>
            <w:tcW w:w="5160" w:type="dxa"/>
            <w:gridSpan w:val="6"/>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r>
              <w:rPr>
                <w:rFonts w:hint="eastAsia" w:ascii="宋体" w:hAnsi="宋体" w:cs="宋体"/>
                <w:color w:val="000000"/>
                <w:kern w:val="0"/>
                <w:sz w:val="20"/>
                <w:szCs w:val="20"/>
              </w:rPr>
              <w:t>单位：石家庄市鹿泉区财政局</w:t>
            </w:r>
          </w:p>
        </w:tc>
        <w:tc>
          <w:tcPr>
            <w:tcW w:w="4440" w:type="dxa"/>
            <w:gridSpan w:val="2"/>
            <w:tcBorders>
              <w:top w:val="nil"/>
              <w:left w:val="nil"/>
              <w:bottom w:val="nil"/>
              <w:right w:val="nil"/>
            </w:tcBorders>
            <w:tcMar>
              <w:top w:w="15" w:type="dxa"/>
              <w:left w:w="15" w:type="dxa"/>
              <w:right w:w="15" w:type="dxa"/>
            </w:tcMar>
            <w:vAlign w:val="bottom"/>
          </w:tcPr>
          <w:p>
            <w:pPr>
              <w:widowControl/>
              <w:jc w:val="right"/>
              <w:textAlignment w:val="bottom"/>
              <w:rPr>
                <w:rFonts w:ascii="宋体" w:cs="Times New Roman"/>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308" w:hRule="atLeast"/>
        </w:trPr>
        <w:tc>
          <w:tcPr>
            <w:tcW w:w="3450" w:type="dxa"/>
            <w:gridSpan w:val="5"/>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项目</w:t>
            </w:r>
          </w:p>
        </w:tc>
        <w:tc>
          <w:tcPr>
            <w:tcW w:w="6150" w:type="dxa"/>
            <w:gridSpan w:val="3"/>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本年支出</w:t>
            </w:r>
          </w:p>
        </w:tc>
      </w:tr>
      <w:tr>
        <w:tblPrEx>
          <w:tblCellMar>
            <w:top w:w="0" w:type="dxa"/>
            <w:left w:w="0" w:type="dxa"/>
            <w:bottom w:w="0" w:type="dxa"/>
            <w:right w:w="0" w:type="dxa"/>
          </w:tblCellMar>
        </w:tblPrEx>
        <w:trPr>
          <w:trHeight w:val="312" w:hRule="atLeast"/>
        </w:trPr>
        <w:tc>
          <w:tcPr>
            <w:tcW w:w="1305" w:type="dxa"/>
            <w:gridSpan w:val="3"/>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功能分类科目编码</w:t>
            </w:r>
          </w:p>
        </w:tc>
        <w:tc>
          <w:tcPr>
            <w:tcW w:w="2145" w:type="dxa"/>
            <w:gridSpan w:val="2"/>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科目名称</w:t>
            </w:r>
          </w:p>
        </w:tc>
        <w:tc>
          <w:tcPr>
            <w:tcW w:w="171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小计</w:t>
            </w:r>
          </w:p>
        </w:tc>
        <w:tc>
          <w:tcPr>
            <w:tcW w:w="2232"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基本支出</w:t>
            </w:r>
          </w:p>
        </w:tc>
        <w:tc>
          <w:tcPr>
            <w:tcW w:w="2208"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项目支出</w:t>
            </w:r>
          </w:p>
        </w:tc>
      </w:tr>
      <w:tr>
        <w:tblPrEx>
          <w:tblCellMar>
            <w:top w:w="0" w:type="dxa"/>
            <w:left w:w="0" w:type="dxa"/>
            <w:bottom w:w="0" w:type="dxa"/>
            <w:right w:w="0" w:type="dxa"/>
          </w:tblCellMar>
        </w:tblPrEx>
        <w:trPr>
          <w:trHeight w:val="312" w:hRule="atLeast"/>
        </w:trPr>
        <w:tc>
          <w:tcPr>
            <w:tcW w:w="1305"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2145"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710"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2232"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2208"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r>
      <w:tr>
        <w:tblPrEx>
          <w:tblCellMar>
            <w:top w:w="0" w:type="dxa"/>
            <w:left w:w="0" w:type="dxa"/>
            <w:bottom w:w="0" w:type="dxa"/>
            <w:right w:w="0" w:type="dxa"/>
          </w:tblCellMar>
        </w:tblPrEx>
        <w:trPr>
          <w:trHeight w:val="312" w:hRule="atLeast"/>
        </w:trPr>
        <w:tc>
          <w:tcPr>
            <w:tcW w:w="1305"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2145"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710"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2232"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2208"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r>
      <w:tr>
        <w:tblPrEx>
          <w:tblCellMar>
            <w:top w:w="0" w:type="dxa"/>
            <w:left w:w="0" w:type="dxa"/>
            <w:bottom w:w="0" w:type="dxa"/>
            <w:right w:w="0" w:type="dxa"/>
          </w:tblCellMar>
        </w:tblPrEx>
        <w:trPr>
          <w:trHeight w:val="308" w:hRule="atLeast"/>
        </w:trPr>
        <w:tc>
          <w:tcPr>
            <w:tcW w:w="3450" w:type="dxa"/>
            <w:gridSpan w:val="5"/>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栏次</w:t>
            </w:r>
          </w:p>
        </w:tc>
        <w:tc>
          <w:tcPr>
            <w:tcW w:w="1710"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1</w:t>
            </w:r>
          </w:p>
        </w:tc>
        <w:tc>
          <w:tcPr>
            <w:tcW w:w="223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2</w:t>
            </w:r>
          </w:p>
        </w:tc>
        <w:tc>
          <w:tcPr>
            <w:tcW w:w="2208"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3</w:t>
            </w:r>
          </w:p>
        </w:tc>
      </w:tr>
      <w:tr>
        <w:tblPrEx>
          <w:tblCellMar>
            <w:top w:w="0" w:type="dxa"/>
            <w:left w:w="0" w:type="dxa"/>
            <w:bottom w:w="0" w:type="dxa"/>
            <w:right w:w="0" w:type="dxa"/>
          </w:tblCellMar>
        </w:tblPrEx>
        <w:trPr>
          <w:trHeight w:val="308" w:hRule="atLeast"/>
        </w:trPr>
        <w:tc>
          <w:tcPr>
            <w:tcW w:w="3450" w:type="dxa"/>
            <w:gridSpan w:val="5"/>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合计</w:t>
            </w:r>
          </w:p>
        </w:tc>
        <w:tc>
          <w:tcPr>
            <w:tcW w:w="171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b/>
                <w:bCs/>
                <w:color w:val="000000"/>
                <w:sz w:val="22"/>
                <w:szCs w:val="22"/>
              </w:rPr>
            </w:pPr>
            <w:r>
              <w:rPr>
                <w:rFonts w:hint="eastAsia" w:ascii="宋体" w:hAnsi="宋体" w:eastAsia="宋体" w:cs="宋体"/>
                <w:b/>
                <w:i w:val="0"/>
                <w:color w:val="000000"/>
                <w:kern w:val="0"/>
                <w:sz w:val="22"/>
                <w:szCs w:val="22"/>
                <w:u w:val="none"/>
                <w:lang w:val="en-US" w:eastAsia="zh-CN" w:bidi="ar"/>
              </w:rPr>
              <w:t>13,538.55</w:t>
            </w:r>
          </w:p>
        </w:tc>
        <w:tc>
          <w:tcPr>
            <w:tcW w:w="223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b/>
                <w:bCs/>
                <w:color w:val="000000"/>
                <w:sz w:val="22"/>
                <w:szCs w:val="22"/>
              </w:rPr>
            </w:pPr>
            <w:r>
              <w:rPr>
                <w:rFonts w:hint="eastAsia" w:ascii="宋体" w:hAnsi="宋体" w:eastAsia="宋体" w:cs="宋体"/>
                <w:b/>
                <w:i w:val="0"/>
                <w:color w:val="000000"/>
                <w:kern w:val="0"/>
                <w:sz w:val="22"/>
                <w:szCs w:val="22"/>
                <w:u w:val="none"/>
                <w:lang w:val="en-US" w:eastAsia="zh-CN" w:bidi="ar"/>
              </w:rPr>
              <w:t>1,649.43</w:t>
            </w:r>
          </w:p>
        </w:tc>
        <w:tc>
          <w:tcPr>
            <w:tcW w:w="2208"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b/>
                <w:bCs/>
                <w:color w:val="000000"/>
                <w:sz w:val="22"/>
                <w:szCs w:val="22"/>
              </w:rPr>
            </w:pPr>
            <w:r>
              <w:rPr>
                <w:rFonts w:hint="eastAsia" w:ascii="宋体" w:hAnsi="宋体" w:eastAsia="宋体" w:cs="宋体"/>
                <w:b/>
                <w:i w:val="0"/>
                <w:color w:val="000000"/>
                <w:kern w:val="0"/>
                <w:sz w:val="22"/>
                <w:szCs w:val="22"/>
                <w:u w:val="none"/>
                <w:lang w:val="en-US" w:eastAsia="zh-CN" w:bidi="ar"/>
              </w:rPr>
              <w:t>11,889.12</w:t>
            </w:r>
          </w:p>
        </w:tc>
      </w:tr>
      <w:tr>
        <w:tblPrEx>
          <w:tblCellMar>
            <w:top w:w="0" w:type="dxa"/>
            <w:left w:w="0" w:type="dxa"/>
            <w:bottom w:w="0" w:type="dxa"/>
            <w:right w:w="0" w:type="dxa"/>
          </w:tblCellMar>
        </w:tblPrEx>
        <w:trPr>
          <w:trHeight w:val="308" w:hRule="atLeast"/>
        </w:trPr>
        <w:tc>
          <w:tcPr>
            <w:tcW w:w="13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201</w:t>
            </w:r>
          </w:p>
        </w:tc>
        <w:tc>
          <w:tcPr>
            <w:tcW w:w="2145" w:type="dxa"/>
            <w:gridSpan w:val="2"/>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一般公共服务支出</w:t>
            </w:r>
          </w:p>
        </w:tc>
        <w:tc>
          <w:tcPr>
            <w:tcW w:w="171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13,194.18</w:t>
            </w:r>
          </w:p>
        </w:tc>
        <w:tc>
          <w:tcPr>
            <w:tcW w:w="223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1,308.08</w:t>
            </w:r>
          </w:p>
        </w:tc>
        <w:tc>
          <w:tcPr>
            <w:tcW w:w="2208"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11,886.10</w:t>
            </w:r>
          </w:p>
        </w:tc>
      </w:tr>
      <w:tr>
        <w:tblPrEx>
          <w:tblCellMar>
            <w:top w:w="0" w:type="dxa"/>
            <w:left w:w="0" w:type="dxa"/>
            <w:bottom w:w="0" w:type="dxa"/>
            <w:right w:w="0" w:type="dxa"/>
          </w:tblCellMar>
        </w:tblPrEx>
        <w:trPr>
          <w:trHeight w:val="308" w:hRule="atLeast"/>
        </w:trPr>
        <w:tc>
          <w:tcPr>
            <w:tcW w:w="13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20106</w:t>
            </w:r>
          </w:p>
        </w:tc>
        <w:tc>
          <w:tcPr>
            <w:tcW w:w="2145" w:type="dxa"/>
            <w:gridSpan w:val="2"/>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财政事务</w:t>
            </w:r>
          </w:p>
        </w:tc>
        <w:tc>
          <w:tcPr>
            <w:tcW w:w="171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13,194.18</w:t>
            </w:r>
          </w:p>
        </w:tc>
        <w:tc>
          <w:tcPr>
            <w:tcW w:w="223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1,308.08</w:t>
            </w:r>
          </w:p>
        </w:tc>
        <w:tc>
          <w:tcPr>
            <w:tcW w:w="2208"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11,886.10</w:t>
            </w:r>
          </w:p>
        </w:tc>
      </w:tr>
      <w:tr>
        <w:tblPrEx>
          <w:tblCellMar>
            <w:top w:w="0" w:type="dxa"/>
            <w:left w:w="0" w:type="dxa"/>
            <w:bottom w:w="0" w:type="dxa"/>
            <w:right w:w="0" w:type="dxa"/>
          </w:tblCellMar>
        </w:tblPrEx>
        <w:trPr>
          <w:trHeight w:val="308" w:hRule="atLeast"/>
        </w:trPr>
        <w:tc>
          <w:tcPr>
            <w:tcW w:w="13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2010601</w:t>
            </w:r>
          </w:p>
        </w:tc>
        <w:tc>
          <w:tcPr>
            <w:tcW w:w="2145" w:type="dxa"/>
            <w:gridSpan w:val="2"/>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行政运行</w:t>
            </w:r>
          </w:p>
        </w:tc>
        <w:tc>
          <w:tcPr>
            <w:tcW w:w="171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1,308.08</w:t>
            </w:r>
          </w:p>
        </w:tc>
        <w:tc>
          <w:tcPr>
            <w:tcW w:w="223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1,308.08</w:t>
            </w:r>
          </w:p>
        </w:tc>
        <w:tc>
          <w:tcPr>
            <w:tcW w:w="2208"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r>
      <w:tr>
        <w:tblPrEx>
          <w:tblCellMar>
            <w:top w:w="0" w:type="dxa"/>
            <w:left w:w="0" w:type="dxa"/>
            <w:bottom w:w="0" w:type="dxa"/>
            <w:right w:w="0" w:type="dxa"/>
          </w:tblCellMar>
        </w:tblPrEx>
        <w:trPr>
          <w:trHeight w:val="308" w:hRule="atLeast"/>
        </w:trPr>
        <w:tc>
          <w:tcPr>
            <w:tcW w:w="13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2010602</w:t>
            </w:r>
          </w:p>
        </w:tc>
        <w:tc>
          <w:tcPr>
            <w:tcW w:w="2145" w:type="dxa"/>
            <w:gridSpan w:val="2"/>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一般行政管理事务</w:t>
            </w:r>
          </w:p>
        </w:tc>
        <w:tc>
          <w:tcPr>
            <w:tcW w:w="171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9.59</w:t>
            </w:r>
          </w:p>
        </w:tc>
        <w:tc>
          <w:tcPr>
            <w:tcW w:w="223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2208"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9.59</w:t>
            </w:r>
          </w:p>
        </w:tc>
      </w:tr>
      <w:tr>
        <w:tblPrEx>
          <w:tblCellMar>
            <w:top w:w="0" w:type="dxa"/>
            <w:left w:w="0" w:type="dxa"/>
            <w:bottom w:w="0" w:type="dxa"/>
            <w:right w:w="0" w:type="dxa"/>
          </w:tblCellMar>
        </w:tblPrEx>
        <w:trPr>
          <w:trHeight w:val="308" w:hRule="atLeast"/>
        </w:trPr>
        <w:tc>
          <w:tcPr>
            <w:tcW w:w="13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2010603</w:t>
            </w:r>
          </w:p>
        </w:tc>
        <w:tc>
          <w:tcPr>
            <w:tcW w:w="2145" w:type="dxa"/>
            <w:gridSpan w:val="2"/>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机关服务</w:t>
            </w:r>
          </w:p>
        </w:tc>
        <w:tc>
          <w:tcPr>
            <w:tcW w:w="171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24.44</w:t>
            </w:r>
          </w:p>
        </w:tc>
        <w:tc>
          <w:tcPr>
            <w:tcW w:w="223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2208"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24.44</w:t>
            </w:r>
          </w:p>
        </w:tc>
      </w:tr>
      <w:tr>
        <w:tblPrEx>
          <w:tblCellMar>
            <w:top w:w="0" w:type="dxa"/>
            <w:left w:w="0" w:type="dxa"/>
            <w:bottom w:w="0" w:type="dxa"/>
            <w:right w:w="0" w:type="dxa"/>
          </w:tblCellMar>
        </w:tblPrEx>
        <w:trPr>
          <w:trHeight w:val="308" w:hRule="atLeast"/>
        </w:trPr>
        <w:tc>
          <w:tcPr>
            <w:tcW w:w="13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2010604</w:t>
            </w:r>
          </w:p>
        </w:tc>
        <w:tc>
          <w:tcPr>
            <w:tcW w:w="2145" w:type="dxa"/>
            <w:gridSpan w:val="2"/>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预算改革业务</w:t>
            </w:r>
          </w:p>
        </w:tc>
        <w:tc>
          <w:tcPr>
            <w:tcW w:w="171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21.34</w:t>
            </w:r>
          </w:p>
        </w:tc>
        <w:tc>
          <w:tcPr>
            <w:tcW w:w="223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2208"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21.34</w:t>
            </w:r>
          </w:p>
        </w:tc>
      </w:tr>
      <w:tr>
        <w:tblPrEx>
          <w:tblCellMar>
            <w:top w:w="0" w:type="dxa"/>
            <w:left w:w="0" w:type="dxa"/>
            <w:bottom w:w="0" w:type="dxa"/>
            <w:right w:w="0" w:type="dxa"/>
          </w:tblCellMar>
        </w:tblPrEx>
        <w:trPr>
          <w:trHeight w:val="308" w:hRule="atLeast"/>
        </w:trPr>
        <w:tc>
          <w:tcPr>
            <w:tcW w:w="13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2010607</w:t>
            </w:r>
          </w:p>
        </w:tc>
        <w:tc>
          <w:tcPr>
            <w:tcW w:w="2145" w:type="dxa"/>
            <w:gridSpan w:val="2"/>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信息化建设</w:t>
            </w:r>
          </w:p>
        </w:tc>
        <w:tc>
          <w:tcPr>
            <w:tcW w:w="171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64.94</w:t>
            </w:r>
          </w:p>
        </w:tc>
        <w:tc>
          <w:tcPr>
            <w:tcW w:w="223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2208"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64.94</w:t>
            </w:r>
          </w:p>
        </w:tc>
      </w:tr>
      <w:tr>
        <w:tblPrEx>
          <w:tblCellMar>
            <w:top w:w="0" w:type="dxa"/>
            <w:left w:w="0" w:type="dxa"/>
            <w:bottom w:w="0" w:type="dxa"/>
            <w:right w:w="0" w:type="dxa"/>
          </w:tblCellMar>
        </w:tblPrEx>
        <w:trPr>
          <w:trHeight w:val="308" w:hRule="atLeast"/>
        </w:trPr>
        <w:tc>
          <w:tcPr>
            <w:tcW w:w="13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2010608</w:t>
            </w:r>
          </w:p>
        </w:tc>
        <w:tc>
          <w:tcPr>
            <w:tcW w:w="2145" w:type="dxa"/>
            <w:gridSpan w:val="2"/>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财政委托业务支出</w:t>
            </w:r>
          </w:p>
        </w:tc>
        <w:tc>
          <w:tcPr>
            <w:tcW w:w="171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329.42</w:t>
            </w:r>
          </w:p>
        </w:tc>
        <w:tc>
          <w:tcPr>
            <w:tcW w:w="223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2208"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329.42</w:t>
            </w:r>
          </w:p>
        </w:tc>
      </w:tr>
      <w:tr>
        <w:tblPrEx>
          <w:tblCellMar>
            <w:top w:w="0" w:type="dxa"/>
            <w:left w:w="0" w:type="dxa"/>
            <w:bottom w:w="0" w:type="dxa"/>
            <w:right w:w="0" w:type="dxa"/>
          </w:tblCellMar>
        </w:tblPrEx>
        <w:trPr>
          <w:trHeight w:val="308" w:hRule="atLeast"/>
        </w:trPr>
        <w:tc>
          <w:tcPr>
            <w:tcW w:w="13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2010699</w:t>
            </w:r>
          </w:p>
        </w:tc>
        <w:tc>
          <w:tcPr>
            <w:tcW w:w="2145" w:type="dxa"/>
            <w:gridSpan w:val="2"/>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其他财政事务支出</w:t>
            </w:r>
          </w:p>
        </w:tc>
        <w:tc>
          <w:tcPr>
            <w:tcW w:w="171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11,436.38</w:t>
            </w:r>
          </w:p>
        </w:tc>
        <w:tc>
          <w:tcPr>
            <w:tcW w:w="223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2208"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11,436.38</w:t>
            </w:r>
          </w:p>
        </w:tc>
      </w:tr>
      <w:tr>
        <w:tblPrEx>
          <w:tblCellMar>
            <w:top w:w="0" w:type="dxa"/>
            <w:left w:w="0" w:type="dxa"/>
            <w:bottom w:w="0" w:type="dxa"/>
            <w:right w:w="0" w:type="dxa"/>
          </w:tblCellMar>
        </w:tblPrEx>
        <w:trPr>
          <w:trHeight w:val="308" w:hRule="atLeast"/>
        </w:trPr>
        <w:tc>
          <w:tcPr>
            <w:tcW w:w="13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208</w:t>
            </w:r>
          </w:p>
        </w:tc>
        <w:tc>
          <w:tcPr>
            <w:tcW w:w="2145" w:type="dxa"/>
            <w:gridSpan w:val="2"/>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社会保障和就业支出</w:t>
            </w:r>
          </w:p>
        </w:tc>
        <w:tc>
          <w:tcPr>
            <w:tcW w:w="171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181.72</w:t>
            </w:r>
          </w:p>
        </w:tc>
        <w:tc>
          <w:tcPr>
            <w:tcW w:w="223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181.72</w:t>
            </w:r>
          </w:p>
        </w:tc>
        <w:tc>
          <w:tcPr>
            <w:tcW w:w="2208"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r>
      <w:tr>
        <w:tblPrEx>
          <w:tblCellMar>
            <w:top w:w="0" w:type="dxa"/>
            <w:left w:w="0" w:type="dxa"/>
            <w:bottom w:w="0" w:type="dxa"/>
            <w:right w:w="0" w:type="dxa"/>
          </w:tblCellMar>
        </w:tblPrEx>
        <w:trPr>
          <w:trHeight w:val="308" w:hRule="atLeast"/>
        </w:trPr>
        <w:tc>
          <w:tcPr>
            <w:tcW w:w="13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20805</w:t>
            </w:r>
          </w:p>
        </w:tc>
        <w:tc>
          <w:tcPr>
            <w:tcW w:w="2145" w:type="dxa"/>
            <w:gridSpan w:val="2"/>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行政事业单位养老支出</w:t>
            </w:r>
          </w:p>
        </w:tc>
        <w:tc>
          <w:tcPr>
            <w:tcW w:w="171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181.72</w:t>
            </w:r>
          </w:p>
        </w:tc>
        <w:tc>
          <w:tcPr>
            <w:tcW w:w="223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181.72</w:t>
            </w:r>
          </w:p>
        </w:tc>
        <w:tc>
          <w:tcPr>
            <w:tcW w:w="2208"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r>
      <w:tr>
        <w:tblPrEx>
          <w:tblCellMar>
            <w:top w:w="0" w:type="dxa"/>
            <w:left w:w="0" w:type="dxa"/>
            <w:bottom w:w="0" w:type="dxa"/>
            <w:right w:w="0" w:type="dxa"/>
          </w:tblCellMar>
        </w:tblPrEx>
        <w:trPr>
          <w:trHeight w:val="308" w:hRule="atLeast"/>
        </w:trPr>
        <w:tc>
          <w:tcPr>
            <w:tcW w:w="13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2080501</w:t>
            </w:r>
          </w:p>
        </w:tc>
        <w:tc>
          <w:tcPr>
            <w:tcW w:w="2145" w:type="dxa"/>
            <w:gridSpan w:val="2"/>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行政单位离退休</w:t>
            </w:r>
          </w:p>
        </w:tc>
        <w:tc>
          <w:tcPr>
            <w:tcW w:w="171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89.50</w:t>
            </w:r>
          </w:p>
        </w:tc>
        <w:tc>
          <w:tcPr>
            <w:tcW w:w="223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89.50</w:t>
            </w:r>
          </w:p>
        </w:tc>
        <w:tc>
          <w:tcPr>
            <w:tcW w:w="2208"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r>
      <w:tr>
        <w:tblPrEx>
          <w:tblCellMar>
            <w:top w:w="0" w:type="dxa"/>
            <w:left w:w="0" w:type="dxa"/>
            <w:bottom w:w="0" w:type="dxa"/>
            <w:right w:w="0" w:type="dxa"/>
          </w:tblCellMar>
        </w:tblPrEx>
        <w:trPr>
          <w:trHeight w:val="308" w:hRule="atLeast"/>
        </w:trPr>
        <w:tc>
          <w:tcPr>
            <w:tcW w:w="13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2080505</w:t>
            </w:r>
          </w:p>
        </w:tc>
        <w:tc>
          <w:tcPr>
            <w:tcW w:w="2145" w:type="dxa"/>
            <w:gridSpan w:val="2"/>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机关事业单位基本养老保险缴费支出</w:t>
            </w:r>
          </w:p>
        </w:tc>
        <w:tc>
          <w:tcPr>
            <w:tcW w:w="171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92.22</w:t>
            </w:r>
          </w:p>
        </w:tc>
        <w:tc>
          <w:tcPr>
            <w:tcW w:w="223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92.22</w:t>
            </w:r>
          </w:p>
        </w:tc>
        <w:tc>
          <w:tcPr>
            <w:tcW w:w="2208"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r>
      <w:tr>
        <w:tblPrEx>
          <w:tblCellMar>
            <w:top w:w="0" w:type="dxa"/>
            <w:left w:w="0" w:type="dxa"/>
            <w:bottom w:w="0" w:type="dxa"/>
            <w:right w:w="0" w:type="dxa"/>
          </w:tblCellMar>
        </w:tblPrEx>
        <w:trPr>
          <w:trHeight w:val="308" w:hRule="atLeast"/>
        </w:trPr>
        <w:tc>
          <w:tcPr>
            <w:tcW w:w="13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210</w:t>
            </w:r>
          </w:p>
        </w:tc>
        <w:tc>
          <w:tcPr>
            <w:tcW w:w="2145" w:type="dxa"/>
            <w:gridSpan w:val="2"/>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卫生健康支出</w:t>
            </w:r>
          </w:p>
        </w:tc>
        <w:tc>
          <w:tcPr>
            <w:tcW w:w="171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66.46</w:t>
            </w:r>
          </w:p>
        </w:tc>
        <w:tc>
          <w:tcPr>
            <w:tcW w:w="223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66.46</w:t>
            </w:r>
          </w:p>
        </w:tc>
        <w:tc>
          <w:tcPr>
            <w:tcW w:w="2208"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r>
      <w:tr>
        <w:tblPrEx>
          <w:tblCellMar>
            <w:top w:w="0" w:type="dxa"/>
            <w:left w:w="0" w:type="dxa"/>
            <w:bottom w:w="0" w:type="dxa"/>
            <w:right w:w="0" w:type="dxa"/>
          </w:tblCellMar>
        </w:tblPrEx>
        <w:trPr>
          <w:trHeight w:val="308" w:hRule="atLeast"/>
        </w:trPr>
        <w:tc>
          <w:tcPr>
            <w:tcW w:w="13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21011</w:t>
            </w:r>
          </w:p>
        </w:tc>
        <w:tc>
          <w:tcPr>
            <w:tcW w:w="2145" w:type="dxa"/>
            <w:gridSpan w:val="2"/>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行政事业单位医疗</w:t>
            </w:r>
          </w:p>
        </w:tc>
        <w:tc>
          <w:tcPr>
            <w:tcW w:w="171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66.46</w:t>
            </w:r>
          </w:p>
        </w:tc>
        <w:tc>
          <w:tcPr>
            <w:tcW w:w="223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66.46</w:t>
            </w:r>
          </w:p>
        </w:tc>
        <w:tc>
          <w:tcPr>
            <w:tcW w:w="2208"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r>
      <w:tr>
        <w:tblPrEx>
          <w:tblCellMar>
            <w:top w:w="0" w:type="dxa"/>
            <w:left w:w="0" w:type="dxa"/>
            <w:bottom w:w="0" w:type="dxa"/>
            <w:right w:w="0" w:type="dxa"/>
          </w:tblCellMar>
        </w:tblPrEx>
        <w:trPr>
          <w:trHeight w:val="308" w:hRule="atLeast"/>
        </w:trPr>
        <w:tc>
          <w:tcPr>
            <w:tcW w:w="13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2101101</w:t>
            </w:r>
          </w:p>
        </w:tc>
        <w:tc>
          <w:tcPr>
            <w:tcW w:w="2145" w:type="dxa"/>
            <w:gridSpan w:val="2"/>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行政单位医疗</w:t>
            </w:r>
          </w:p>
        </w:tc>
        <w:tc>
          <w:tcPr>
            <w:tcW w:w="171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66.46</w:t>
            </w:r>
          </w:p>
        </w:tc>
        <w:tc>
          <w:tcPr>
            <w:tcW w:w="223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66.46</w:t>
            </w:r>
          </w:p>
        </w:tc>
        <w:tc>
          <w:tcPr>
            <w:tcW w:w="2208"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r>
      <w:tr>
        <w:tblPrEx>
          <w:tblCellMar>
            <w:top w:w="0" w:type="dxa"/>
            <w:left w:w="0" w:type="dxa"/>
            <w:bottom w:w="0" w:type="dxa"/>
            <w:right w:w="0" w:type="dxa"/>
          </w:tblCellMar>
        </w:tblPrEx>
        <w:trPr>
          <w:trHeight w:val="308" w:hRule="atLeast"/>
        </w:trPr>
        <w:tc>
          <w:tcPr>
            <w:tcW w:w="13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213</w:t>
            </w:r>
          </w:p>
        </w:tc>
        <w:tc>
          <w:tcPr>
            <w:tcW w:w="2145" w:type="dxa"/>
            <w:gridSpan w:val="2"/>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农林水支出</w:t>
            </w:r>
          </w:p>
        </w:tc>
        <w:tc>
          <w:tcPr>
            <w:tcW w:w="171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3.03</w:t>
            </w:r>
          </w:p>
        </w:tc>
        <w:tc>
          <w:tcPr>
            <w:tcW w:w="223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2208"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3.03</w:t>
            </w:r>
          </w:p>
        </w:tc>
      </w:tr>
      <w:tr>
        <w:tblPrEx>
          <w:tblCellMar>
            <w:top w:w="0" w:type="dxa"/>
            <w:left w:w="0" w:type="dxa"/>
            <w:bottom w:w="0" w:type="dxa"/>
            <w:right w:w="0" w:type="dxa"/>
          </w:tblCellMar>
        </w:tblPrEx>
        <w:trPr>
          <w:trHeight w:val="308" w:hRule="atLeast"/>
        </w:trPr>
        <w:tc>
          <w:tcPr>
            <w:tcW w:w="13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21307</w:t>
            </w:r>
          </w:p>
        </w:tc>
        <w:tc>
          <w:tcPr>
            <w:tcW w:w="2145" w:type="dxa"/>
            <w:gridSpan w:val="2"/>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农村综合改革</w:t>
            </w:r>
          </w:p>
        </w:tc>
        <w:tc>
          <w:tcPr>
            <w:tcW w:w="171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3.03</w:t>
            </w:r>
          </w:p>
        </w:tc>
        <w:tc>
          <w:tcPr>
            <w:tcW w:w="223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2208"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3.03</w:t>
            </w:r>
          </w:p>
        </w:tc>
      </w:tr>
      <w:tr>
        <w:tblPrEx>
          <w:tblCellMar>
            <w:top w:w="0" w:type="dxa"/>
            <w:left w:w="0" w:type="dxa"/>
            <w:bottom w:w="0" w:type="dxa"/>
            <w:right w:w="0" w:type="dxa"/>
          </w:tblCellMar>
        </w:tblPrEx>
        <w:trPr>
          <w:trHeight w:val="308" w:hRule="atLeast"/>
        </w:trPr>
        <w:tc>
          <w:tcPr>
            <w:tcW w:w="13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2130799</w:t>
            </w:r>
          </w:p>
        </w:tc>
        <w:tc>
          <w:tcPr>
            <w:tcW w:w="2145" w:type="dxa"/>
            <w:gridSpan w:val="2"/>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其他农村综合改革支出</w:t>
            </w:r>
          </w:p>
        </w:tc>
        <w:tc>
          <w:tcPr>
            <w:tcW w:w="171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3.03</w:t>
            </w:r>
          </w:p>
        </w:tc>
        <w:tc>
          <w:tcPr>
            <w:tcW w:w="223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2208"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3.03</w:t>
            </w:r>
          </w:p>
        </w:tc>
      </w:tr>
      <w:tr>
        <w:tblPrEx>
          <w:tblCellMar>
            <w:top w:w="0" w:type="dxa"/>
            <w:left w:w="0" w:type="dxa"/>
            <w:bottom w:w="0" w:type="dxa"/>
            <w:right w:w="0" w:type="dxa"/>
          </w:tblCellMar>
        </w:tblPrEx>
        <w:trPr>
          <w:trHeight w:val="308" w:hRule="atLeast"/>
        </w:trPr>
        <w:tc>
          <w:tcPr>
            <w:tcW w:w="13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221</w:t>
            </w:r>
          </w:p>
        </w:tc>
        <w:tc>
          <w:tcPr>
            <w:tcW w:w="2145" w:type="dxa"/>
            <w:gridSpan w:val="2"/>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住房保障支出</w:t>
            </w:r>
          </w:p>
        </w:tc>
        <w:tc>
          <w:tcPr>
            <w:tcW w:w="171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93.16</w:t>
            </w:r>
          </w:p>
        </w:tc>
        <w:tc>
          <w:tcPr>
            <w:tcW w:w="223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93.16</w:t>
            </w:r>
          </w:p>
        </w:tc>
        <w:tc>
          <w:tcPr>
            <w:tcW w:w="2208"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r>
      <w:tr>
        <w:tblPrEx>
          <w:tblCellMar>
            <w:top w:w="0" w:type="dxa"/>
            <w:left w:w="0" w:type="dxa"/>
            <w:bottom w:w="0" w:type="dxa"/>
            <w:right w:w="0" w:type="dxa"/>
          </w:tblCellMar>
        </w:tblPrEx>
        <w:trPr>
          <w:trHeight w:val="308" w:hRule="atLeast"/>
        </w:trPr>
        <w:tc>
          <w:tcPr>
            <w:tcW w:w="13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22102</w:t>
            </w:r>
          </w:p>
        </w:tc>
        <w:tc>
          <w:tcPr>
            <w:tcW w:w="2145" w:type="dxa"/>
            <w:gridSpan w:val="2"/>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住房改革支出</w:t>
            </w:r>
          </w:p>
        </w:tc>
        <w:tc>
          <w:tcPr>
            <w:tcW w:w="171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93.16</w:t>
            </w:r>
          </w:p>
        </w:tc>
        <w:tc>
          <w:tcPr>
            <w:tcW w:w="223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93.16</w:t>
            </w:r>
          </w:p>
        </w:tc>
        <w:tc>
          <w:tcPr>
            <w:tcW w:w="2208"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r>
      <w:tr>
        <w:tblPrEx>
          <w:tblCellMar>
            <w:top w:w="0" w:type="dxa"/>
            <w:left w:w="0" w:type="dxa"/>
            <w:bottom w:w="0" w:type="dxa"/>
            <w:right w:w="0" w:type="dxa"/>
          </w:tblCellMar>
        </w:tblPrEx>
        <w:trPr>
          <w:trHeight w:val="308" w:hRule="atLeast"/>
        </w:trPr>
        <w:tc>
          <w:tcPr>
            <w:tcW w:w="13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2210201</w:t>
            </w:r>
          </w:p>
        </w:tc>
        <w:tc>
          <w:tcPr>
            <w:tcW w:w="2145" w:type="dxa"/>
            <w:gridSpan w:val="2"/>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住房公积金</w:t>
            </w:r>
          </w:p>
        </w:tc>
        <w:tc>
          <w:tcPr>
            <w:tcW w:w="171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93.16</w:t>
            </w:r>
          </w:p>
        </w:tc>
        <w:tc>
          <w:tcPr>
            <w:tcW w:w="223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93.16</w:t>
            </w:r>
          </w:p>
        </w:tc>
        <w:tc>
          <w:tcPr>
            <w:tcW w:w="2208"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r>
      <w:tr>
        <w:tblPrEx>
          <w:tblCellMar>
            <w:top w:w="0" w:type="dxa"/>
            <w:left w:w="0" w:type="dxa"/>
            <w:bottom w:w="0" w:type="dxa"/>
            <w:right w:w="0" w:type="dxa"/>
          </w:tblCellMar>
        </w:tblPrEx>
        <w:trPr>
          <w:trHeight w:val="308" w:hRule="atLeast"/>
        </w:trPr>
        <w:tc>
          <w:tcPr>
            <w:tcW w:w="13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p>
        </w:tc>
        <w:tc>
          <w:tcPr>
            <w:tcW w:w="214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p>
        </w:tc>
        <w:tc>
          <w:tcPr>
            <w:tcW w:w="171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cs="Times New Roman"/>
                <w:color w:val="000000"/>
                <w:sz w:val="22"/>
                <w:szCs w:val="22"/>
              </w:rPr>
            </w:pPr>
          </w:p>
        </w:tc>
        <w:tc>
          <w:tcPr>
            <w:tcW w:w="223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cs="Times New Roman"/>
                <w:color w:val="000000"/>
                <w:sz w:val="22"/>
                <w:szCs w:val="22"/>
              </w:rPr>
            </w:pPr>
          </w:p>
        </w:tc>
        <w:tc>
          <w:tcPr>
            <w:tcW w:w="220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08" w:hRule="atLeast"/>
        </w:trPr>
        <w:tc>
          <w:tcPr>
            <w:tcW w:w="13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p>
        </w:tc>
        <w:tc>
          <w:tcPr>
            <w:tcW w:w="214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p>
        </w:tc>
        <w:tc>
          <w:tcPr>
            <w:tcW w:w="171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cs="Times New Roman"/>
                <w:color w:val="000000"/>
                <w:sz w:val="22"/>
                <w:szCs w:val="22"/>
              </w:rPr>
            </w:pPr>
          </w:p>
        </w:tc>
        <w:tc>
          <w:tcPr>
            <w:tcW w:w="223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cs="Times New Roman"/>
                <w:color w:val="000000"/>
                <w:sz w:val="22"/>
                <w:szCs w:val="22"/>
              </w:rPr>
            </w:pPr>
          </w:p>
        </w:tc>
        <w:tc>
          <w:tcPr>
            <w:tcW w:w="220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08" w:hRule="atLeast"/>
        </w:trPr>
        <w:tc>
          <w:tcPr>
            <w:tcW w:w="9600" w:type="dxa"/>
            <w:gridSpan w:val="8"/>
            <w:tcBorders>
              <w:top w:val="single" w:color="auto" w:sz="4" w:space="0"/>
              <w:left w:val="nil"/>
              <w:bottom w:val="nil"/>
              <w:right w:val="nil"/>
            </w:tcBorders>
            <w:tcMar>
              <w:top w:w="15" w:type="dxa"/>
              <w:left w:w="15" w:type="dxa"/>
              <w:right w:w="15" w:type="dxa"/>
            </w:tcMar>
            <w:vAlign w:val="center"/>
          </w:tcPr>
          <w:p>
            <w:pPr>
              <w:tabs>
                <w:tab w:val="left" w:pos="218"/>
              </w:tabs>
              <w:jc w:val="left"/>
              <w:rPr>
                <w:rFonts w:ascii="宋体" w:cs="Times New Roman"/>
                <w:color w:val="000000"/>
                <w:sz w:val="22"/>
                <w:szCs w:val="22"/>
              </w:rPr>
            </w:pPr>
            <w:r>
              <w:rPr>
                <w:rFonts w:hint="eastAsia" w:ascii="宋体" w:hAnsi="宋体" w:cs="宋体"/>
                <w:color w:val="000000"/>
                <w:sz w:val="22"/>
                <w:szCs w:val="22"/>
              </w:rPr>
              <w:t>注：本表反映</w:t>
            </w:r>
            <w:r>
              <w:rPr>
                <w:rFonts w:hint="eastAsia" w:ascii="宋体" w:hAnsi="宋体" w:cs="宋体"/>
                <w:color w:val="000000"/>
                <w:sz w:val="22"/>
                <w:szCs w:val="22"/>
                <w:lang w:eastAsia="zh-CN"/>
              </w:rPr>
              <w:t>部门</w:t>
            </w:r>
            <w:r>
              <w:rPr>
                <w:rFonts w:hint="eastAsia" w:ascii="宋体" w:hAnsi="宋体" w:cs="宋体"/>
                <w:color w:val="000000"/>
                <w:sz w:val="22"/>
                <w:szCs w:val="22"/>
              </w:rPr>
              <w:t>本年度一般公共预算财政拨款支出情况。</w:t>
            </w:r>
          </w:p>
        </w:tc>
      </w:tr>
    </w:tbl>
    <w:p>
      <w:pPr>
        <w:widowControl/>
        <w:jc w:val="left"/>
        <w:textAlignment w:val="center"/>
        <w:rPr>
          <w:rFonts w:ascii="宋体" w:cs="Times New Roman"/>
          <w:color w:val="000000"/>
          <w:kern w:val="0"/>
          <w:sz w:val="20"/>
          <w:szCs w:val="20"/>
        </w:rPr>
      </w:pPr>
      <w:r>
        <w:rPr>
          <w:rFonts w:cs="Times New Roman"/>
        </w:rPr>
        <w:br w:type="page"/>
      </w:r>
    </w:p>
    <w:p>
      <w:pPr>
        <w:widowControl/>
        <w:jc w:val="left"/>
        <w:textAlignment w:val="center"/>
        <w:rPr>
          <w:rFonts w:ascii="宋体" w:cs="Times New Roman"/>
          <w:color w:val="000000"/>
          <w:kern w:val="0"/>
          <w:sz w:val="20"/>
          <w:szCs w:val="20"/>
        </w:rPr>
      </w:pPr>
    </w:p>
    <w:p>
      <w:pPr>
        <w:rPr>
          <w:rFonts w:cs="Times New Roman"/>
        </w:rPr>
      </w:pPr>
    </w:p>
    <w:tbl>
      <w:tblPr>
        <w:tblStyle w:val="5"/>
        <w:tblW w:w="10000" w:type="dxa"/>
        <w:jc w:val="center"/>
        <w:shd w:val="clear" w:color="auto" w:fill="FFFFFF" w:themeFill="background1"/>
        <w:tblLayout w:type="fixed"/>
        <w:tblCellMar>
          <w:top w:w="0" w:type="dxa"/>
          <w:left w:w="0" w:type="dxa"/>
          <w:bottom w:w="0" w:type="dxa"/>
          <w:right w:w="0" w:type="dxa"/>
        </w:tblCellMar>
      </w:tblPr>
      <w:tblGrid>
        <w:gridCol w:w="896"/>
        <w:gridCol w:w="1932"/>
        <w:gridCol w:w="783"/>
        <w:gridCol w:w="655"/>
        <w:gridCol w:w="1599"/>
        <w:gridCol w:w="768"/>
        <w:gridCol w:w="744"/>
        <w:gridCol w:w="1891"/>
        <w:gridCol w:w="732"/>
      </w:tblGrid>
      <w:tr>
        <w:tblPrEx>
          <w:shd w:val="clear" w:color="auto" w:fill="FFFFFF" w:themeFill="background1"/>
          <w:tblCellMar>
            <w:top w:w="0" w:type="dxa"/>
            <w:left w:w="0" w:type="dxa"/>
            <w:bottom w:w="0" w:type="dxa"/>
            <w:right w:w="0" w:type="dxa"/>
          </w:tblCellMar>
        </w:tblPrEx>
        <w:trPr>
          <w:trHeight w:val="552" w:hRule="atLeast"/>
          <w:jc w:val="center"/>
        </w:trPr>
        <w:tc>
          <w:tcPr>
            <w:tcW w:w="10000" w:type="dxa"/>
            <w:gridSpan w:val="9"/>
            <w:tcBorders>
              <w:top w:val="nil"/>
              <w:left w:val="nil"/>
              <w:bottom w:val="nil"/>
              <w:right w:val="nil"/>
            </w:tcBorders>
            <w:shd w:val="clear" w:color="auto" w:fill="FFFFFF" w:themeFill="background1"/>
            <w:tcMar>
              <w:top w:w="15" w:type="dxa"/>
              <w:left w:w="15" w:type="dxa"/>
              <w:right w:w="15" w:type="dxa"/>
            </w:tcMar>
            <w:vAlign w:val="center"/>
          </w:tcPr>
          <w:p>
            <w:pPr>
              <w:widowControl/>
              <w:jc w:val="center"/>
              <w:textAlignment w:val="center"/>
              <w:rPr>
                <w:rFonts w:ascii="黑体" w:hAnsi="宋体" w:eastAsia="黑体" w:cs="Times New Roman"/>
                <w:color w:val="000000"/>
                <w:sz w:val="32"/>
                <w:szCs w:val="32"/>
              </w:rPr>
            </w:pPr>
            <w:r>
              <w:rPr>
                <w:rFonts w:hint="eastAsia" w:ascii="黑体" w:hAnsi="宋体" w:eastAsia="黑体" w:cs="黑体"/>
                <w:color w:val="000000"/>
                <w:kern w:val="0"/>
                <w:sz w:val="32"/>
                <w:szCs w:val="32"/>
              </w:rPr>
              <w:t>一般公共预算财政拨款基本支出决算明细表</w:t>
            </w:r>
          </w:p>
        </w:tc>
      </w:tr>
      <w:tr>
        <w:tblPrEx>
          <w:tblCellMar>
            <w:top w:w="0" w:type="dxa"/>
            <w:left w:w="0" w:type="dxa"/>
            <w:bottom w:w="0" w:type="dxa"/>
            <w:right w:w="0" w:type="dxa"/>
          </w:tblCellMar>
        </w:tblPrEx>
        <w:trPr>
          <w:trHeight w:val="165" w:hRule="atLeast"/>
          <w:jc w:val="center"/>
        </w:trPr>
        <w:tc>
          <w:tcPr>
            <w:tcW w:w="896" w:type="dxa"/>
            <w:tcBorders>
              <w:top w:val="nil"/>
              <w:left w:val="nil"/>
              <w:bottom w:val="nil"/>
              <w:right w:val="nil"/>
            </w:tcBorders>
            <w:shd w:val="clear" w:color="auto" w:fill="FFFFFF" w:themeFill="background1"/>
            <w:tcMar>
              <w:top w:w="15" w:type="dxa"/>
              <w:left w:w="15" w:type="dxa"/>
              <w:right w:w="15" w:type="dxa"/>
            </w:tcMar>
            <w:vAlign w:val="bottom"/>
          </w:tcPr>
          <w:p>
            <w:pPr>
              <w:rPr>
                <w:rFonts w:ascii="Arial" w:hAnsi="Arial" w:cs="Arial"/>
                <w:color w:val="000000"/>
                <w:sz w:val="20"/>
                <w:szCs w:val="20"/>
              </w:rPr>
            </w:pPr>
          </w:p>
        </w:tc>
        <w:tc>
          <w:tcPr>
            <w:tcW w:w="1932" w:type="dxa"/>
            <w:tcBorders>
              <w:top w:val="nil"/>
              <w:left w:val="nil"/>
              <w:bottom w:val="nil"/>
              <w:right w:val="nil"/>
            </w:tcBorders>
            <w:shd w:val="clear" w:color="auto" w:fill="FFFFFF" w:themeFill="background1"/>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shd w:val="clear" w:color="auto" w:fill="FFFFFF" w:themeFill="background1"/>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FFFFFF" w:themeFill="background1"/>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FFFFFF" w:themeFill="background1"/>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FFFFFF" w:themeFill="background1"/>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FFFFFF" w:themeFill="background1"/>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FFFFFF" w:themeFill="background1"/>
            <w:tcMar>
              <w:top w:w="15" w:type="dxa"/>
              <w:left w:w="15" w:type="dxa"/>
              <w:right w:w="15" w:type="dxa"/>
            </w:tcMar>
            <w:vAlign w:val="bottom"/>
          </w:tcPr>
          <w:p>
            <w:pPr>
              <w:widowControl/>
              <w:jc w:val="right"/>
              <w:textAlignment w:val="bottom"/>
              <w:rPr>
                <w:rFonts w:ascii="宋体" w:cs="Times New Roman"/>
                <w:color w:val="000000"/>
                <w:sz w:val="18"/>
                <w:szCs w:val="18"/>
              </w:rPr>
            </w:pPr>
            <w:r>
              <w:rPr>
                <w:rFonts w:hint="eastAsia" w:ascii="宋体" w:hAnsi="宋体" w:cs="宋体"/>
                <w:color w:val="000000"/>
                <w:kern w:val="0"/>
                <w:sz w:val="18"/>
                <w:szCs w:val="18"/>
              </w:rPr>
              <w:t>公开</w:t>
            </w:r>
            <w:r>
              <w:rPr>
                <w:rFonts w:ascii="宋体" w:hAnsi="宋体" w:cs="宋体"/>
                <w:color w:val="000000"/>
                <w:kern w:val="0"/>
                <w:sz w:val="18"/>
                <w:szCs w:val="18"/>
              </w:rPr>
              <w:t>06</w:t>
            </w:r>
            <w:r>
              <w:rPr>
                <w:rFonts w:hint="eastAsia" w:ascii="宋体" w:hAnsi="宋体" w:cs="宋体"/>
                <w:color w:val="000000"/>
                <w:kern w:val="0"/>
                <w:sz w:val="18"/>
                <w:szCs w:val="18"/>
              </w:rPr>
              <w:t>表</w:t>
            </w:r>
          </w:p>
        </w:tc>
      </w:tr>
      <w:tr>
        <w:tblPrEx>
          <w:tblCellMar>
            <w:top w:w="0" w:type="dxa"/>
            <w:left w:w="0" w:type="dxa"/>
            <w:bottom w:w="0" w:type="dxa"/>
            <w:right w:w="0" w:type="dxa"/>
          </w:tblCellMar>
        </w:tblPrEx>
        <w:trPr>
          <w:trHeight w:val="155" w:hRule="atLeast"/>
          <w:jc w:val="center"/>
        </w:trPr>
        <w:tc>
          <w:tcPr>
            <w:tcW w:w="4266" w:type="dxa"/>
            <w:gridSpan w:val="4"/>
            <w:tcBorders>
              <w:top w:val="nil"/>
              <w:left w:val="nil"/>
              <w:bottom w:val="nil"/>
              <w:right w:val="nil"/>
            </w:tcBorders>
            <w:shd w:val="clear" w:color="auto" w:fill="FFFFFF" w:themeFill="background1"/>
            <w:tcMar>
              <w:top w:w="15" w:type="dxa"/>
              <w:left w:w="15" w:type="dxa"/>
              <w:right w:w="15" w:type="dxa"/>
            </w:tcMar>
            <w:vAlign w:val="bottom"/>
          </w:tcPr>
          <w:p>
            <w:pPr>
              <w:rPr>
                <w:rFonts w:ascii="Arial" w:hAnsi="Arial" w:cs="Arial"/>
                <w:color w:val="000000"/>
                <w:sz w:val="20"/>
                <w:szCs w:val="20"/>
              </w:rPr>
            </w:pPr>
            <w:r>
              <w:rPr>
                <w:rFonts w:hint="eastAsia" w:ascii="宋体" w:hAnsi="宋体" w:cs="宋体"/>
                <w:color w:val="000000"/>
                <w:kern w:val="0"/>
                <w:sz w:val="20"/>
                <w:szCs w:val="20"/>
              </w:rPr>
              <w:t>单位：石家庄市鹿泉区财政局</w:t>
            </w:r>
          </w:p>
        </w:tc>
        <w:tc>
          <w:tcPr>
            <w:tcW w:w="1599" w:type="dxa"/>
            <w:tcBorders>
              <w:top w:val="nil"/>
              <w:left w:val="nil"/>
              <w:bottom w:val="nil"/>
              <w:right w:val="nil"/>
            </w:tcBorders>
            <w:shd w:val="clear" w:color="auto" w:fill="FFFFFF" w:themeFill="background1"/>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FFFFFF" w:themeFill="background1"/>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FFFFFF" w:themeFill="background1"/>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FFFFFF" w:themeFill="background1"/>
            <w:tcMar>
              <w:top w:w="15" w:type="dxa"/>
              <w:left w:w="15" w:type="dxa"/>
              <w:right w:w="15" w:type="dxa"/>
            </w:tcMar>
            <w:vAlign w:val="bottom"/>
          </w:tcPr>
          <w:p>
            <w:pPr>
              <w:widowControl/>
              <w:jc w:val="right"/>
              <w:textAlignment w:val="bottom"/>
              <w:rPr>
                <w:rFonts w:ascii="宋体" w:cs="Times New Roman"/>
                <w:color w:val="000000"/>
                <w:sz w:val="18"/>
                <w:szCs w:val="18"/>
              </w:rPr>
            </w:pPr>
            <w:r>
              <w:rPr>
                <w:rFonts w:hint="eastAsia" w:ascii="宋体" w:hAnsi="宋体" w:cs="宋体"/>
                <w:color w:val="000000"/>
                <w:kern w:val="0"/>
                <w:sz w:val="18"/>
                <w:szCs w:val="18"/>
              </w:rPr>
              <w:t>金额单位：万元</w:t>
            </w:r>
          </w:p>
        </w:tc>
      </w:tr>
      <w:tr>
        <w:tblPrEx>
          <w:tblCellMar>
            <w:top w:w="0" w:type="dxa"/>
            <w:left w:w="0" w:type="dxa"/>
            <w:bottom w:w="0" w:type="dxa"/>
            <w:right w:w="0" w:type="dxa"/>
          </w:tblCellMar>
        </w:tblPrEx>
        <w:trPr>
          <w:trHeight w:val="249" w:hRule="atLeast"/>
          <w:jc w:val="center"/>
        </w:trPr>
        <w:tc>
          <w:tcPr>
            <w:tcW w:w="3611" w:type="dxa"/>
            <w:gridSpan w:val="3"/>
            <w:tcBorders>
              <w:top w:val="single" w:color="000000" w:sz="4" w:space="0"/>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人员经费</w:t>
            </w:r>
          </w:p>
        </w:tc>
        <w:tc>
          <w:tcPr>
            <w:tcW w:w="6389" w:type="dxa"/>
            <w:gridSpan w:val="6"/>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公用经费</w:t>
            </w:r>
          </w:p>
        </w:tc>
      </w:tr>
      <w:tr>
        <w:tblPrEx>
          <w:tblCellMar>
            <w:top w:w="0" w:type="dxa"/>
            <w:left w:w="0" w:type="dxa"/>
            <w:bottom w:w="0" w:type="dxa"/>
            <w:right w:w="0" w:type="dxa"/>
          </w:tblCellMar>
        </w:tblPrEx>
        <w:trPr>
          <w:trHeight w:val="362" w:hRule="atLeast"/>
          <w:jc w:val="center"/>
        </w:trPr>
        <w:tc>
          <w:tcPr>
            <w:tcW w:w="896" w:type="dxa"/>
            <w:vMerge w:val="restart"/>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center"/>
              <w:textAlignment w:val="center"/>
              <w:rPr>
                <w:rFonts w:ascii="宋体" w:cs="Times New Roman"/>
                <w:color w:val="000000"/>
                <w:kern w:val="0"/>
                <w:sz w:val="22"/>
                <w:szCs w:val="22"/>
              </w:rPr>
            </w:pPr>
            <w:r>
              <w:rPr>
                <w:rFonts w:hint="eastAsia" w:ascii="宋体" w:hAnsi="宋体" w:cs="宋体"/>
                <w:color w:val="000000"/>
                <w:kern w:val="0"/>
                <w:sz w:val="22"/>
                <w:szCs w:val="22"/>
              </w:rPr>
              <w:t>科目</w:t>
            </w:r>
          </w:p>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编码</w:t>
            </w:r>
          </w:p>
        </w:tc>
        <w:tc>
          <w:tcPr>
            <w:tcW w:w="1932" w:type="dxa"/>
            <w:vMerge w:val="restart"/>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科目名称</w:t>
            </w:r>
          </w:p>
        </w:tc>
        <w:tc>
          <w:tcPr>
            <w:tcW w:w="783" w:type="dxa"/>
            <w:vMerge w:val="restart"/>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决算数</w:t>
            </w:r>
          </w:p>
        </w:tc>
        <w:tc>
          <w:tcPr>
            <w:tcW w:w="655" w:type="dxa"/>
            <w:vMerge w:val="restart"/>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科目编码</w:t>
            </w:r>
          </w:p>
        </w:tc>
        <w:tc>
          <w:tcPr>
            <w:tcW w:w="1599" w:type="dxa"/>
            <w:vMerge w:val="restart"/>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科目名称</w:t>
            </w:r>
          </w:p>
        </w:tc>
        <w:tc>
          <w:tcPr>
            <w:tcW w:w="768" w:type="dxa"/>
            <w:vMerge w:val="restart"/>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决算数</w:t>
            </w:r>
          </w:p>
        </w:tc>
        <w:tc>
          <w:tcPr>
            <w:tcW w:w="744" w:type="dxa"/>
            <w:vMerge w:val="restart"/>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center"/>
              <w:textAlignment w:val="center"/>
              <w:rPr>
                <w:rFonts w:ascii="宋体" w:cs="Times New Roman"/>
                <w:color w:val="000000"/>
                <w:kern w:val="0"/>
                <w:sz w:val="22"/>
                <w:szCs w:val="22"/>
              </w:rPr>
            </w:pPr>
            <w:r>
              <w:rPr>
                <w:rFonts w:hint="eastAsia" w:ascii="宋体" w:hAnsi="宋体" w:cs="宋体"/>
                <w:color w:val="000000"/>
                <w:kern w:val="0"/>
                <w:sz w:val="22"/>
                <w:szCs w:val="22"/>
              </w:rPr>
              <w:t>科目</w:t>
            </w:r>
          </w:p>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编码</w:t>
            </w:r>
          </w:p>
        </w:tc>
        <w:tc>
          <w:tcPr>
            <w:tcW w:w="1891" w:type="dxa"/>
            <w:vMerge w:val="restart"/>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科目名称</w:t>
            </w:r>
          </w:p>
        </w:tc>
        <w:tc>
          <w:tcPr>
            <w:tcW w:w="732" w:type="dxa"/>
            <w:vMerge w:val="restart"/>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决算数</w:t>
            </w:r>
          </w:p>
        </w:tc>
      </w:tr>
      <w:tr>
        <w:tblPrEx>
          <w:tblCellMar>
            <w:top w:w="0" w:type="dxa"/>
            <w:left w:w="0" w:type="dxa"/>
            <w:bottom w:w="0" w:type="dxa"/>
            <w:right w:w="0" w:type="dxa"/>
          </w:tblCellMar>
        </w:tblPrEx>
        <w:trPr>
          <w:trHeight w:val="312" w:hRule="atLeast"/>
          <w:jc w:val="center"/>
        </w:trPr>
        <w:tc>
          <w:tcPr>
            <w:tcW w:w="896" w:type="dxa"/>
            <w:vMerge w:val="continue"/>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cs="Times New Roman"/>
                <w:color w:val="000000"/>
                <w:sz w:val="22"/>
                <w:szCs w:val="22"/>
              </w:rPr>
            </w:pPr>
          </w:p>
        </w:tc>
        <w:tc>
          <w:tcPr>
            <w:tcW w:w="1932" w:type="dxa"/>
            <w:vMerge w:val="continue"/>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cs="Times New Roman"/>
                <w:color w:val="000000"/>
                <w:sz w:val="22"/>
                <w:szCs w:val="22"/>
              </w:rPr>
            </w:pPr>
          </w:p>
        </w:tc>
        <w:tc>
          <w:tcPr>
            <w:tcW w:w="783" w:type="dxa"/>
            <w:vMerge w:val="continue"/>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cs="Times New Roman"/>
                <w:color w:val="000000"/>
                <w:sz w:val="22"/>
                <w:szCs w:val="22"/>
              </w:rPr>
            </w:pPr>
          </w:p>
        </w:tc>
        <w:tc>
          <w:tcPr>
            <w:tcW w:w="655" w:type="dxa"/>
            <w:vMerge w:val="continue"/>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cs="Times New Roman"/>
                <w:color w:val="000000"/>
                <w:sz w:val="22"/>
                <w:szCs w:val="22"/>
              </w:rPr>
            </w:pPr>
          </w:p>
        </w:tc>
        <w:tc>
          <w:tcPr>
            <w:tcW w:w="1599" w:type="dxa"/>
            <w:vMerge w:val="continue"/>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cs="Times New Roman"/>
                <w:color w:val="000000"/>
                <w:sz w:val="22"/>
                <w:szCs w:val="22"/>
              </w:rPr>
            </w:pPr>
          </w:p>
        </w:tc>
        <w:tc>
          <w:tcPr>
            <w:tcW w:w="768" w:type="dxa"/>
            <w:vMerge w:val="continue"/>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cs="Times New Roman"/>
                <w:color w:val="000000"/>
                <w:sz w:val="22"/>
                <w:szCs w:val="22"/>
              </w:rPr>
            </w:pPr>
          </w:p>
        </w:tc>
        <w:tc>
          <w:tcPr>
            <w:tcW w:w="744" w:type="dxa"/>
            <w:vMerge w:val="continue"/>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cs="Times New Roman"/>
                <w:color w:val="000000"/>
                <w:sz w:val="22"/>
                <w:szCs w:val="22"/>
              </w:rPr>
            </w:pPr>
          </w:p>
        </w:tc>
        <w:tc>
          <w:tcPr>
            <w:tcW w:w="1891" w:type="dxa"/>
            <w:vMerge w:val="continue"/>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cs="Times New Roman"/>
                <w:color w:val="000000"/>
                <w:sz w:val="22"/>
                <w:szCs w:val="22"/>
              </w:rPr>
            </w:pPr>
          </w:p>
        </w:tc>
        <w:tc>
          <w:tcPr>
            <w:tcW w:w="732" w:type="dxa"/>
            <w:vMerge w:val="continue"/>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cs="Times New Roman"/>
                <w:color w:val="000000"/>
                <w:sz w:val="22"/>
                <w:szCs w:val="22"/>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301</w:t>
            </w:r>
          </w:p>
        </w:tc>
        <w:tc>
          <w:tcPr>
            <w:tcW w:w="19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工资福利支出</w:t>
            </w:r>
          </w:p>
        </w:tc>
        <w:tc>
          <w:tcPr>
            <w:tcW w:w="783"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1,328.19</w:t>
            </w:r>
          </w:p>
        </w:tc>
        <w:tc>
          <w:tcPr>
            <w:tcW w:w="655"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302</w:t>
            </w:r>
          </w:p>
        </w:tc>
        <w:tc>
          <w:tcPr>
            <w:tcW w:w="1599"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商品和服务支出</w:t>
            </w:r>
          </w:p>
        </w:tc>
        <w:tc>
          <w:tcPr>
            <w:tcW w:w="768"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206.45</w:t>
            </w:r>
          </w:p>
        </w:tc>
        <w:tc>
          <w:tcPr>
            <w:tcW w:w="744"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307</w:t>
            </w:r>
          </w:p>
        </w:tc>
        <w:tc>
          <w:tcPr>
            <w:tcW w:w="1891"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债务利息及费用支出</w:t>
            </w:r>
          </w:p>
        </w:tc>
        <w:tc>
          <w:tcPr>
            <w:tcW w:w="7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30101</w:t>
            </w:r>
          </w:p>
        </w:tc>
        <w:tc>
          <w:tcPr>
            <w:tcW w:w="19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 xml:space="preserve">  基本工资</w:t>
            </w:r>
          </w:p>
        </w:tc>
        <w:tc>
          <w:tcPr>
            <w:tcW w:w="783"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244.21</w:t>
            </w:r>
          </w:p>
        </w:tc>
        <w:tc>
          <w:tcPr>
            <w:tcW w:w="655"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30201</w:t>
            </w:r>
          </w:p>
        </w:tc>
        <w:tc>
          <w:tcPr>
            <w:tcW w:w="1599"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办公费</w:t>
            </w:r>
          </w:p>
        </w:tc>
        <w:tc>
          <w:tcPr>
            <w:tcW w:w="768"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1.21</w:t>
            </w:r>
          </w:p>
        </w:tc>
        <w:tc>
          <w:tcPr>
            <w:tcW w:w="744"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30701</w:t>
            </w:r>
          </w:p>
        </w:tc>
        <w:tc>
          <w:tcPr>
            <w:tcW w:w="1891"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国内债务付息</w:t>
            </w:r>
          </w:p>
        </w:tc>
        <w:tc>
          <w:tcPr>
            <w:tcW w:w="7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30102</w:t>
            </w:r>
          </w:p>
        </w:tc>
        <w:tc>
          <w:tcPr>
            <w:tcW w:w="19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 xml:space="preserve">  津贴补贴</w:t>
            </w:r>
          </w:p>
        </w:tc>
        <w:tc>
          <w:tcPr>
            <w:tcW w:w="783"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141.33</w:t>
            </w:r>
          </w:p>
        </w:tc>
        <w:tc>
          <w:tcPr>
            <w:tcW w:w="655"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30202</w:t>
            </w:r>
          </w:p>
        </w:tc>
        <w:tc>
          <w:tcPr>
            <w:tcW w:w="1599"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印刷费</w:t>
            </w:r>
          </w:p>
        </w:tc>
        <w:tc>
          <w:tcPr>
            <w:tcW w:w="768"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6.67</w:t>
            </w:r>
          </w:p>
        </w:tc>
        <w:tc>
          <w:tcPr>
            <w:tcW w:w="744"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30702</w:t>
            </w:r>
          </w:p>
        </w:tc>
        <w:tc>
          <w:tcPr>
            <w:tcW w:w="1891"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国外债务付息</w:t>
            </w:r>
          </w:p>
        </w:tc>
        <w:tc>
          <w:tcPr>
            <w:tcW w:w="7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30103</w:t>
            </w:r>
          </w:p>
        </w:tc>
        <w:tc>
          <w:tcPr>
            <w:tcW w:w="19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 xml:space="preserve">  奖金</w:t>
            </w:r>
          </w:p>
        </w:tc>
        <w:tc>
          <w:tcPr>
            <w:tcW w:w="783"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13.65</w:t>
            </w:r>
          </w:p>
        </w:tc>
        <w:tc>
          <w:tcPr>
            <w:tcW w:w="655"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30203</w:t>
            </w:r>
          </w:p>
        </w:tc>
        <w:tc>
          <w:tcPr>
            <w:tcW w:w="1599"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咨询费</w:t>
            </w:r>
          </w:p>
        </w:tc>
        <w:tc>
          <w:tcPr>
            <w:tcW w:w="768"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p>
        </w:tc>
        <w:tc>
          <w:tcPr>
            <w:tcW w:w="744"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310</w:t>
            </w:r>
          </w:p>
        </w:tc>
        <w:tc>
          <w:tcPr>
            <w:tcW w:w="1891"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资本性支出</w:t>
            </w:r>
          </w:p>
        </w:tc>
        <w:tc>
          <w:tcPr>
            <w:tcW w:w="7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30106</w:t>
            </w:r>
          </w:p>
        </w:tc>
        <w:tc>
          <w:tcPr>
            <w:tcW w:w="19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 xml:space="preserve">  伙食补助费</w:t>
            </w:r>
          </w:p>
        </w:tc>
        <w:tc>
          <w:tcPr>
            <w:tcW w:w="783"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p>
        </w:tc>
        <w:tc>
          <w:tcPr>
            <w:tcW w:w="655"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30204</w:t>
            </w:r>
          </w:p>
        </w:tc>
        <w:tc>
          <w:tcPr>
            <w:tcW w:w="1599"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手续费</w:t>
            </w:r>
          </w:p>
        </w:tc>
        <w:tc>
          <w:tcPr>
            <w:tcW w:w="768"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0.06</w:t>
            </w:r>
          </w:p>
        </w:tc>
        <w:tc>
          <w:tcPr>
            <w:tcW w:w="744"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31001</w:t>
            </w:r>
          </w:p>
        </w:tc>
        <w:tc>
          <w:tcPr>
            <w:tcW w:w="1891"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房屋建筑物购建</w:t>
            </w:r>
          </w:p>
        </w:tc>
        <w:tc>
          <w:tcPr>
            <w:tcW w:w="7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30107</w:t>
            </w:r>
          </w:p>
        </w:tc>
        <w:tc>
          <w:tcPr>
            <w:tcW w:w="19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 xml:space="preserve">  绩效工资</w:t>
            </w:r>
          </w:p>
        </w:tc>
        <w:tc>
          <w:tcPr>
            <w:tcW w:w="783"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129.36</w:t>
            </w:r>
          </w:p>
        </w:tc>
        <w:tc>
          <w:tcPr>
            <w:tcW w:w="655"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30205</w:t>
            </w:r>
          </w:p>
        </w:tc>
        <w:tc>
          <w:tcPr>
            <w:tcW w:w="1599"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水费</w:t>
            </w:r>
          </w:p>
        </w:tc>
        <w:tc>
          <w:tcPr>
            <w:tcW w:w="768"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2.52</w:t>
            </w:r>
          </w:p>
        </w:tc>
        <w:tc>
          <w:tcPr>
            <w:tcW w:w="744"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31002</w:t>
            </w:r>
          </w:p>
        </w:tc>
        <w:tc>
          <w:tcPr>
            <w:tcW w:w="1891"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办公设备购置</w:t>
            </w:r>
          </w:p>
        </w:tc>
        <w:tc>
          <w:tcPr>
            <w:tcW w:w="7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30108</w:t>
            </w:r>
          </w:p>
        </w:tc>
        <w:tc>
          <w:tcPr>
            <w:tcW w:w="19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 xml:space="preserve">  机关事业单位基本养老保险缴费</w:t>
            </w:r>
          </w:p>
        </w:tc>
        <w:tc>
          <w:tcPr>
            <w:tcW w:w="783"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92.22</w:t>
            </w:r>
          </w:p>
        </w:tc>
        <w:tc>
          <w:tcPr>
            <w:tcW w:w="655"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30206</w:t>
            </w:r>
          </w:p>
        </w:tc>
        <w:tc>
          <w:tcPr>
            <w:tcW w:w="1599"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电费</w:t>
            </w:r>
          </w:p>
        </w:tc>
        <w:tc>
          <w:tcPr>
            <w:tcW w:w="768"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10.62</w:t>
            </w:r>
          </w:p>
        </w:tc>
        <w:tc>
          <w:tcPr>
            <w:tcW w:w="744"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31003</w:t>
            </w:r>
          </w:p>
        </w:tc>
        <w:tc>
          <w:tcPr>
            <w:tcW w:w="1891"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专用设备购置</w:t>
            </w:r>
          </w:p>
        </w:tc>
        <w:tc>
          <w:tcPr>
            <w:tcW w:w="7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30109</w:t>
            </w:r>
          </w:p>
        </w:tc>
        <w:tc>
          <w:tcPr>
            <w:tcW w:w="19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 xml:space="preserve">  职业年金缴费</w:t>
            </w:r>
          </w:p>
        </w:tc>
        <w:tc>
          <w:tcPr>
            <w:tcW w:w="783"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p>
        </w:tc>
        <w:tc>
          <w:tcPr>
            <w:tcW w:w="655"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30207</w:t>
            </w:r>
          </w:p>
        </w:tc>
        <w:tc>
          <w:tcPr>
            <w:tcW w:w="1599"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邮电费</w:t>
            </w:r>
          </w:p>
        </w:tc>
        <w:tc>
          <w:tcPr>
            <w:tcW w:w="768"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13.08</w:t>
            </w:r>
          </w:p>
        </w:tc>
        <w:tc>
          <w:tcPr>
            <w:tcW w:w="744"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31005</w:t>
            </w:r>
          </w:p>
        </w:tc>
        <w:tc>
          <w:tcPr>
            <w:tcW w:w="1891"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基础设施建设</w:t>
            </w:r>
          </w:p>
        </w:tc>
        <w:tc>
          <w:tcPr>
            <w:tcW w:w="7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30110</w:t>
            </w:r>
          </w:p>
        </w:tc>
        <w:tc>
          <w:tcPr>
            <w:tcW w:w="19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 xml:space="preserve">  职工基本医疗保险缴费</w:t>
            </w:r>
          </w:p>
        </w:tc>
        <w:tc>
          <w:tcPr>
            <w:tcW w:w="783"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37.47</w:t>
            </w:r>
          </w:p>
        </w:tc>
        <w:tc>
          <w:tcPr>
            <w:tcW w:w="655"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30208</w:t>
            </w:r>
          </w:p>
        </w:tc>
        <w:tc>
          <w:tcPr>
            <w:tcW w:w="1599"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取暖费</w:t>
            </w:r>
          </w:p>
        </w:tc>
        <w:tc>
          <w:tcPr>
            <w:tcW w:w="768"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p>
        </w:tc>
        <w:tc>
          <w:tcPr>
            <w:tcW w:w="744"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31006</w:t>
            </w:r>
          </w:p>
        </w:tc>
        <w:tc>
          <w:tcPr>
            <w:tcW w:w="1891"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大型修缮</w:t>
            </w:r>
          </w:p>
        </w:tc>
        <w:tc>
          <w:tcPr>
            <w:tcW w:w="7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30111</w:t>
            </w:r>
          </w:p>
        </w:tc>
        <w:tc>
          <w:tcPr>
            <w:tcW w:w="19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 xml:space="preserve">  公务员医疗补助缴费</w:t>
            </w:r>
          </w:p>
        </w:tc>
        <w:tc>
          <w:tcPr>
            <w:tcW w:w="783"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28.99</w:t>
            </w:r>
          </w:p>
        </w:tc>
        <w:tc>
          <w:tcPr>
            <w:tcW w:w="655"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30209</w:t>
            </w:r>
          </w:p>
        </w:tc>
        <w:tc>
          <w:tcPr>
            <w:tcW w:w="1599"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物业管理费</w:t>
            </w:r>
          </w:p>
        </w:tc>
        <w:tc>
          <w:tcPr>
            <w:tcW w:w="768"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0.16</w:t>
            </w:r>
          </w:p>
        </w:tc>
        <w:tc>
          <w:tcPr>
            <w:tcW w:w="744"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31007</w:t>
            </w:r>
          </w:p>
        </w:tc>
        <w:tc>
          <w:tcPr>
            <w:tcW w:w="1891"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信息网络及软件购置更新</w:t>
            </w:r>
          </w:p>
        </w:tc>
        <w:tc>
          <w:tcPr>
            <w:tcW w:w="7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30112</w:t>
            </w:r>
          </w:p>
        </w:tc>
        <w:tc>
          <w:tcPr>
            <w:tcW w:w="19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 xml:space="preserve">  其他社会保障缴费</w:t>
            </w:r>
          </w:p>
        </w:tc>
        <w:tc>
          <w:tcPr>
            <w:tcW w:w="783"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4.36</w:t>
            </w:r>
          </w:p>
        </w:tc>
        <w:tc>
          <w:tcPr>
            <w:tcW w:w="655"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30211</w:t>
            </w:r>
          </w:p>
        </w:tc>
        <w:tc>
          <w:tcPr>
            <w:tcW w:w="1599"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差旅费</w:t>
            </w:r>
          </w:p>
        </w:tc>
        <w:tc>
          <w:tcPr>
            <w:tcW w:w="768"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0.81</w:t>
            </w:r>
          </w:p>
        </w:tc>
        <w:tc>
          <w:tcPr>
            <w:tcW w:w="744"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31008</w:t>
            </w:r>
          </w:p>
        </w:tc>
        <w:tc>
          <w:tcPr>
            <w:tcW w:w="1891"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物资储备</w:t>
            </w:r>
          </w:p>
        </w:tc>
        <w:tc>
          <w:tcPr>
            <w:tcW w:w="7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30113</w:t>
            </w:r>
          </w:p>
        </w:tc>
        <w:tc>
          <w:tcPr>
            <w:tcW w:w="19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 xml:space="preserve">  住房公积金</w:t>
            </w:r>
          </w:p>
        </w:tc>
        <w:tc>
          <w:tcPr>
            <w:tcW w:w="783"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93.16</w:t>
            </w:r>
          </w:p>
        </w:tc>
        <w:tc>
          <w:tcPr>
            <w:tcW w:w="655"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30212</w:t>
            </w:r>
          </w:p>
        </w:tc>
        <w:tc>
          <w:tcPr>
            <w:tcW w:w="1599"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因公出国（境）费用</w:t>
            </w:r>
          </w:p>
        </w:tc>
        <w:tc>
          <w:tcPr>
            <w:tcW w:w="768"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p>
        </w:tc>
        <w:tc>
          <w:tcPr>
            <w:tcW w:w="744"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31009</w:t>
            </w:r>
          </w:p>
        </w:tc>
        <w:tc>
          <w:tcPr>
            <w:tcW w:w="1891"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土地补偿</w:t>
            </w:r>
          </w:p>
        </w:tc>
        <w:tc>
          <w:tcPr>
            <w:tcW w:w="7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30114</w:t>
            </w:r>
          </w:p>
        </w:tc>
        <w:tc>
          <w:tcPr>
            <w:tcW w:w="19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 xml:space="preserve">  医疗费</w:t>
            </w:r>
          </w:p>
        </w:tc>
        <w:tc>
          <w:tcPr>
            <w:tcW w:w="783"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p>
        </w:tc>
        <w:tc>
          <w:tcPr>
            <w:tcW w:w="655"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30213</w:t>
            </w:r>
          </w:p>
        </w:tc>
        <w:tc>
          <w:tcPr>
            <w:tcW w:w="1599"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维修（护）费</w:t>
            </w:r>
          </w:p>
        </w:tc>
        <w:tc>
          <w:tcPr>
            <w:tcW w:w="768"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10.15</w:t>
            </w:r>
          </w:p>
        </w:tc>
        <w:tc>
          <w:tcPr>
            <w:tcW w:w="744"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31010</w:t>
            </w:r>
          </w:p>
        </w:tc>
        <w:tc>
          <w:tcPr>
            <w:tcW w:w="1891"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安置补助</w:t>
            </w:r>
          </w:p>
        </w:tc>
        <w:tc>
          <w:tcPr>
            <w:tcW w:w="7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30199</w:t>
            </w:r>
          </w:p>
        </w:tc>
        <w:tc>
          <w:tcPr>
            <w:tcW w:w="19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 xml:space="preserve">  其他工资福利支出</w:t>
            </w:r>
          </w:p>
        </w:tc>
        <w:tc>
          <w:tcPr>
            <w:tcW w:w="783"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543.44</w:t>
            </w:r>
          </w:p>
        </w:tc>
        <w:tc>
          <w:tcPr>
            <w:tcW w:w="655"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30214</w:t>
            </w:r>
          </w:p>
        </w:tc>
        <w:tc>
          <w:tcPr>
            <w:tcW w:w="1599"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租赁费</w:t>
            </w:r>
          </w:p>
        </w:tc>
        <w:tc>
          <w:tcPr>
            <w:tcW w:w="768"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p>
        </w:tc>
        <w:tc>
          <w:tcPr>
            <w:tcW w:w="744"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31011</w:t>
            </w:r>
          </w:p>
        </w:tc>
        <w:tc>
          <w:tcPr>
            <w:tcW w:w="1891"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地上附着物和青苗补偿</w:t>
            </w:r>
          </w:p>
        </w:tc>
        <w:tc>
          <w:tcPr>
            <w:tcW w:w="7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303</w:t>
            </w:r>
          </w:p>
        </w:tc>
        <w:tc>
          <w:tcPr>
            <w:tcW w:w="19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对个人和家庭的补助</w:t>
            </w:r>
          </w:p>
        </w:tc>
        <w:tc>
          <w:tcPr>
            <w:tcW w:w="783"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114.78</w:t>
            </w:r>
          </w:p>
        </w:tc>
        <w:tc>
          <w:tcPr>
            <w:tcW w:w="655"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30215</w:t>
            </w:r>
          </w:p>
        </w:tc>
        <w:tc>
          <w:tcPr>
            <w:tcW w:w="1599"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会议费</w:t>
            </w:r>
          </w:p>
        </w:tc>
        <w:tc>
          <w:tcPr>
            <w:tcW w:w="768"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p>
        </w:tc>
        <w:tc>
          <w:tcPr>
            <w:tcW w:w="744"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31012</w:t>
            </w:r>
          </w:p>
        </w:tc>
        <w:tc>
          <w:tcPr>
            <w:tcW w:w="1891"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拆迁补偿</w:t>
            </w:r>
          </w:p>
        </w:tc>
        <w:tc>
          <w:tcPr>
            <w:tcW w:w="7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30301</w:t>
            </w:r>
          </w:p>
        </w:tc>
        <w:tc>
          <w:tcPr>
            <w:tcW w:w="19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 xml:space="preserve">  离休费</w:t>
            </w:r>
          </w:p>
        </w:tc>
        <w:tc>
          <w:tcPr>
            <w:tcW w:w="783"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11.78</w:t>
            </w:r>
          </w:p>
        </w:tc>
        <w:tc>
          <w:tcPr>
            <w:tcW w:w="655"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30216</w:t>
            </w:r>
          </w:p>
        </w:tc>
        <w:tc>
          <w:tcPr>
            <w:tcW w:w="1599"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培训费</w:t>
            </w:r>
          </w:p>
        </w:tc>
        <w:tc>
          <w:tcPr>
            <w:tcW w:w="768"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0.12</w:t>
            </w:r>
          </w:p>
        </w:tc>
        <w:tc>
          <w:tcPr>
            <w:tcW w:w="744"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31013</w:t>
            </w:r>
          </w:p>
        </w:tc>
        <w:tc>
          <w:tcPr>
            <w:tcW w:w="1891"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公务用车购置</w:t>
            </w:r>
          </w:p>
        </w:tc>
        <w:tc>
          <w:tcPr>
            <w:tcW w:w="7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30302</w:t>
            </w:r>
          </w:p>
        </w:tc>
        <w:tc>
          <w:tcPr>
            <w:tcW w:w="19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 xml:space="preserve">  退休费</w:t>
            </w:r>
          </w:p>
        </w:tc>
        <w:tc>
          <w:tcPr>
            <w:tcW w:w="783"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36.49</w:t>
            </w:r>
          </w:p>
        </w:tc>
        <w:tc>
          <w:tcPr>
            <w:tcW w:w="655"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30217</w:t>
            </w:r>
          </w:p>
        </w:tc>
        <w:tc>
          <w:tcPr>
            <w:tcW w:w="1599"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公务接待费</w:t>
            </w:r>
          </w:p>
        </w:tc>
        <w:tc>
          <w:tcPr>
            <w:tcW w:w="768"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p>
        </w:tc>
        <w:tc>
          <w:tcPr>
            <w:tcW w:w="744"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31019</w:t>
            </w:r>
          </w:p>
        </w:tc>
        <w:tc>
          <w:tcPr>
            <w:tcW w:w="1891"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其他交通工具购置</w:t>
            </w:r>
          </w:p>
        </w:tc>
        <w:tc>
          <w:tcPr>
            <w:tcW w:w="7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30303</w:t>
            </w:r>
          </w:p>
        </w:tc>
        <w:tc>
          <w:tcPr>
            <w:tcW w:w="19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 xml:space="preserve">  退职（役）费</w:t>
            </w:r>
          </w:p>
        </w:tc>
        <w:tc>
          <w:tcPr>
            <w:tcW w:w="783"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p>
        </w:tc>
        <w:tc>
          <w:tcPr>
            <w:tcW w:w="655"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30218</w:t>
            </w:r>
          </w:p>
        </w:tc>
        <w:tc>
          <w:tcPr>
            <w:tcW w:w="1599"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专用材料费</w:t>
            </w:r>
          </w:p>
        </w:tc>
        <w:tc>
          <w:tcPr>
            <w:tcW w:w="768"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p>
        </w:tc>
        <w:tc>
          <w:tcPr>
            <w:tcW w:w="744"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31021</w:t>
            </w:r>
          </w:p>
        </w:tc>
        <w:tc>
          <w:tcPr>
            <w:tcW w:w="1891"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文物和陈列品购置</w:t>
            </w:r>
          </w:p>
        </w:tc>
        <w:tc>
          <w:tcPr>
            <w:tcW w:w="7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30304</w:t>
            </w:r>
          </w:p>
        </w:tc>
        <w:tc>
          <w:tcPr>
            <w:tcW w:w="19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 xml:space="preserve">  抚恤金</w:t>
            </w:r>
          </w:p>
        </w:tc>
        <w:tc>
          <w:tcPr>
            <w:tcW w:w="783"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p>
        </w:tc>
        <w:tc>
          <w:tcPr>
            <w:tcW w:w="655"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30224</w:t>
            </w:r>
          </w:p>
        </w:tc>
        <w:tc>
          <w:tcPr>
            <w:tcW w:w="1599"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被装购置费</w:t>
            </w:r>
          </w:p>
        </w:tc>
        <w:tc>
          <w:tcPr>
            <w:tcW w:w="768"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p>
        </w:tc>
        <w:tc>
          <w:tcPr>
            <w:tcW w:w="744"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31022</w:t>
            </w:r>
          </w:p>
        </w:tc>
        <w:tc>
          <w:tcPr>
            <w:tcW w:w="1891"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无形资产购置</w:t>
            </w:r>
          </w:p>
        </w:tc>
        <w:tc>
          <w:tcPr>
            <w:tcW w:w="7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30305</w:t>
            </w:r>
          </w:p>
        </w:tc>
        <w:tc>
          <w:tcPr>
            <w:tcW w:w="19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 xml:space="preserve">  生活补助</w:t>
            </w:r>
          </w:p>
        </w:tc>
        <w:tc>
          <w:tcPr>
            <w:tcW w:w="783"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3.14</w:t>
            </w:r>
          </w:p>
        </w:tc>
        <w:tc>
          <w:tcPr>
            <w:tcW w:w="655"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30225</w:t>
            </w:r>
          </w:p>
        </w:tc>
        <w:tc>
          <w:tcPr>
            <w:tcW w:w="1599"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专用燃料费</w:t>
            </w:r>
          </w:p>
        </w:tc>
        <w:tc>
          <w:tcPr>
            <w:tcW w:w="768"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p>
        </w:tc>
        <w:tc>
          <w:tcPr>
            <w:tcW w:w="744"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31099</w:t>
            </w:r>
          </w:p>
        </w:tc>
        <w:tc>
          <w:tcPr>
            <w:tcW w:w="1891"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其他资本性支出</w:t>
            </w:r>
          </w:p>
        </w:tc>
        <w:tc>
          <w:tcPr>
            <w:tcW w:w="7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30306</w:t>
            </w:r>
          </w:p>
        </w:tc>
        <w:tc>
          <w:tcPr>
            <w:tcW w:w="19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 xml:space="preserve">  救济费</w:t>
            </w:r>
          </w:p>
        </w:tc>
        <w:tc>
          <w:tcPr>
            <w:tcW w:w="783"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p>
        </w:tc>
        <w:tc>
          <w:tcPr>
            <w:tcW w:w="655"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30226</w:t>
            </w:r>
          </w:p>
        </w:tc>
        <w:tc>
          <w:tcPr>
            <w:tcW w:w="1599"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劳务费</w:t>
            </w:r>
          </w:p>
        </w:tc>
        <w:tc>
          <w:tcPr>
            <w:tcW w:w="768"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2.42</w:t>
            </w:r>
          </w:p>
        </w:tc>
        <w:tc>
          <w:tcPr>
            <w:tcW w:w="744"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399</w:t>
            </w:r>
          </w:p>
        </w:tc>
        <w:tc>
          <w:tcPr>
            <w:tcW w:w="1891"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其他支出</w:t>
            </w:r>
          </w:p>
        </w:tc>
        <w:tc>
          <w:tcPr>
            <w:tcW w:w="7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30307</w:t>
            </w:r>
          </w:p>
        </w:tc>
        <w:tc>
          <w:tcPr>
            <w:tcW w:w="19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 xml:space="preserve">  医疗费补助</w:t>
            </w:r>
          </w:p>
        </w:tc>
        <w:tc>
          <w:tcPr>
            <w:tcW w:w="783"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p>
        </w:tc>
        <w:tc>
          <w:tcPr>
            <w:tcW w:w="655"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30227</w:t>
            </w:r>
          </w:p>
        </w:tc>
        <w:tc>
          <w:tcPr>
            <w:tcW w:w="1599"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委托业务费</w:t>
            </w:r>
          </w:p>
        </w:tc>
        <w:tc>
          <w:tcPr>
            <w:tcW w:w="768"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124.35</w:t>
            </w:r>
          </w:p>
        </w:tc>
        <w:tc>
          <w:tcPr>
            <w:tcW w:w="744"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39907</w:t>
            </w:r>
          </w:p>
        </w:tc>
        <w:tc>
          <w:tcPr>
            <w:tcW w:w="1891"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国家赔偿费用支出</w:t>
            </w:r>
          </w:p>
        </w:tc>
        <w:tc>
          <w:tcPr>
            <w:tcW w:w="7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30308</w:t>
            </w:r>
          </w:p>
        </w:tc>
        <w:tc>
          <w:tcPr>
            <w:tcW w:w="19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 xml:space="preserve">  助学金</w:t>
            </w:r>
          </w:p>
        </w:tc>
        <w:tc>
          <w:tcPr>
            <w:tcW w:w="783"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p>
        </w:tc>
        <w:tc>
          <w:tcPr>
            <w:tcW w:w="655"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30228</w:t>
            </w:r>
          </w:p>
        </w:tc>
        <w:tc>
          <w:tcPr>
            <w:tcW w:w="1599"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工会经费</w:t>
            </w:r>
          </w:p>
        </w:tc>
        <w:tc>
          <w:tcPr>
            <w:tcW w:w="768"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5.45</w:t>
            </w:r>
          </w:p>
        </w:tc>
        <w:tc>
          <w:tcPr>
            <w:tcW w:w="744"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39908</w:t>
            </w:r>
          </w:p>
        </w:tc>
        <w:tc>
          <w:tcPr>
            <w:tcW w:w="1891"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对民间非营利组织和群众性自治组织补贴</w:t>
            </w:r>
          </w:p>
        </w:tc>
        <w:tc>
          <w:tcPr>
            <w:tcW w:w="7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p>
        </w:tc>
      </w:tr>
      <w:tr>
        <w:tblPrEx>
          <w:tblCellMar>
            <w:top w:w="0" w:type="dxa"/>
            <w:left w:w="0" w:type="dxa"/>
            <w:bottom w:w="0" w:type="dxa"/>
            <w:right w:w="0" w:type="dxa"/>
          </w:tblCellMar>
        </w:tblPrEx>
        <w:trPr>
          <w:trHeight w:val="442" w:hRule="atLeast"/>
          <w:jc w:val="center"/>
        </w:trPr>
        <w:tc>
          <w:tcPr>
            <w:tcW w:w="896" w:type="dxa"/>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30309</w:t>
            </w:r>
          </w:p>
        </w:tc>
        <w:tc>
          <w:tcPr>
            <w:tcW w:w="19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 xml:space="preserve">  奖励金</w:t>
            </w:r>
          </w:p>
        </w:tc>
        <w:tc>
          <w:tcPr>
            <w:tcW w:w="783"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63.37</w:t>
            </w:r>
          </w:p>
        </w:tc>
        <w:tc>
          <w:tcPr>
            <w:tcW w:w="655"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30229</w:t>
            </w:r>
          </w:p>
        </w:tc>
        <w:tc>
          <w:tcPr>
            <w:tcW w:w="1599"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福利费</w:t>
            </w:r>
          </w:p>
        </w:tc>
        <w:tc>
          <w:tcPr>
            <w:tcW w:w="768"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8.56</w:t>
            </w:r>
          </w:p>
        </w:tc>
        <w:tc>
          <w:tcPr>
            <w:tcW w:w="744"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39909</w:t>
            </w:r>
          </w:p>
        </w:tc>
        <w:tc>
          <w:tcPr>
            <w:tcW w:w="1891"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经常性赠与</w:t>
            </w:r>
          </w:p>
        </w:tc>
        <w:tc>
          <w:tcPr>
            <w:tcW w:w="7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p>
        </w:tc>
      </w:tr>
      <w:tr>
        <w:tblPrEx>
          <w:tblCellMar>
            <w:top w:w="0" w:type="dxa"/>
            <w:left w:w="0" w:type="dxa"/>
            <w:bottom w:w="0" w:type="dxa"/>
            <w:right w:w="0" w:type="dxa"/>
          </w:tblCellMar>
        </w:tblPrEx>
        <w:trPr>
          <w:trHeight w:val="378" w:hRule="atLeast"/>
          <w:jc w:val="center"/>
        </w:trPr>
        <w:tc>
          <w:tcPr>
            <w:tcW w:w="896" w:type="dxa"/>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30310</w:t>
            </w:r>
          </w:p>
        </w:tc>
        <w:tc>
          <w:tcPr>
            <w:tcW w:w="19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 xml:space="preserve">  个人农业生产补贴</w:t>
            </w:r>
          </w:p>
        </w:tc>
        <w:tc>
          <w:tcPr>
            <w:tcW w:w="783"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p>
        </w:tc>
        <w:tc>
          <w:tcPr>
            <w:tcW w:w="655"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30231</w:t>
            </w:r>
          </w:p>
        </w:tc>
        <w:tc>
          <w:tcPr>
            <w:tcW w:w="1599"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公务用车运行维护费</w:t>
            </w:r>
          </w:p>
        </w:tc>
        <w:tc>
          <w:tcPr>
            <w:tcW w:w="768"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8.09</w:t>
            </w:r>
          </w:p>
        </w:tc>
        <w:tc>
          <w:tcPr>
            <w:tcW w:w="744"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39910</w:t>
            </w:r>
          </w:p>
        </w:tc>
        <w:tc>
          <w:tcPr>
            <w:tcW w:w="1891"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资本性赠与</w:t>
            </w:r>
          </w:p>
        </w:tc>
        <w:tc>
          <w:tcPr>
            <w:tcW w:w="7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p>
        </w:tc>
      </w:tr>
      <w:tr>
        <w:tblPrEx>
          <w:tblCellMar>
            <w:top w:w="0" w:type="dxa"/>
            <w:left w:w="0" w:type="dxa"/>
            <w:bottom w:w="0" w:type="dxa"/>
            <w:right w:w="0" w:type="dxa"/>
          </w:tblCellMar>
        </w:tblPrEx>
        <w:trPr>
          <w:trHeight w:val="456" w:hRule="atLeast"/>
          <w:jc w:val="center"/>
        </w:trPr>
        <w:tc>
          <w:tcPr>
            <w:tcW w:w="896" w:type="dxa"/>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30311</w:t>
            </w:r>
          </w:p>
        </w:tc>
        <w:tc>
          <w:tcPr>
            <w:tcW w:w="19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 xml:space="preserve">  代缴社会保险费</w:t>
            </w:r>
          </w:p>
        </w:tc>
        <w:tc>
          <w:tcPr>
            <w:tcW w:w="783"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p>
        </w:tc>
        <w:tc>
          <w:tcPr>
            <w:tcW w:w="655"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30239</w:t>
            </w:r>
          </w:p>
        </w:tc>
        <w:tc>
          <w:tcPr>
            <w:tcW w:w="1599"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其他交通费用</w:t>
            </w:r>
          </w:p>
        </w:tc>
        <w:tc>
          <w:tcPr>
            <w:tcW w:w="768"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12.12</w:t>
            </w:r>
          </w:p>
        </w:tc>
        <w:tc>
          <w:tcPr>
            <w:tcW w:w="744"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39999</w:t>
            </w:r>
          </w:p>
        </w:tc>
        <w:tc>
          <w:tcPr>
            <w:tcW w:w="1891"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其他支出</w:t>
            </w:r>
          </w:p>
        </w:tc>
        <w:tc>
          <w:tcPr>
            <w:tcW w:w="7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p>
        </w:tc>
      </w:tr>
      <w:tr>
        <w:tblPrEx>
          <w:tblCellMar>
            <w:top w:w="0" w:type="dxa"/>
            <w:left w:w="0" w:type="dxa"/>
            <w:bottom w:w="0" w:type="dxa"/>
            <w:right w:w="0" w:type="dxa"/>
          </w:tblCellMar>
        </w:tblPrEx>
        <w:trPr>
          <w:trHeight w:val="377" w:hRule="atLeast"/>
          <w:jc w:val="center"/>
        </w:trPr>
        <w:tc>
          <w:tcPr>
            <w:tcW w:w="896" w:type="dxa"/>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30399</w:t>
            </w:r>
          </w:p>
        </w:tc>
        <w:tc>
          <w:tcPr>
            <w:tcW w:w="19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 xml:space="preserve">  其他对个人和家庭的补助</w:t>
            </w:r>
          </w:p>
        </w:tc>
        <w:tc>
          <w:tcPr>
            <w:tcW w:w="783"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p>
        </w:tc>
        <w:tc>
          <w:tcPr>
            <w:tcW w:w="655"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30240</w:t>
            </w:r>
          </w:p>
        </w:tc>
        <w:tc>
          <w:tcPr>
            <w:tcW w:w="1599"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税金及附加费用</w:t>
            </w:r>
          </w:p>
        </w:tc>
        <w:tc>
          <w:tcPr>
            <w:tcW w:w="768"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p>
        </w:tc>
        <w:tc>
          <w:tcPr>
            <w:tcW w:w="744"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left"/>
              <w:rPr>
                <w:rFonts w:ascii="宋体" w:cs="Times New Roman"/>
                <w:color w:val="000000"/>
                <w:sz w:val="20"/>
                <w:szCs w:val="20"/>
              </w:rPr>
            </w:pPr>
          </w:p>
        </w:tc>
        <w:tc>
          <w:tcPr>
            <w:tcW w:w="1891"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left"/>
              <w:rPr>
                <w:rFonts w:ascii="宋体" w:cs="Times New Roman"/>
                <w:color w:val="000000"/>
                <w:sz w:val="20"/>
                <w:szCs w:val="20"/>
              </w:rPr>
            </w:pPr>
          </w:p>
        </w:tc>
        <w:tc>
          <w:tcPr>
            <w:tcW w:w="7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right"/>
              <w:rPr>
                <w:rFonts w:ascii="宋体" w:cs="Times New Roman"/>
                <w:color w:val="000000"/>
                <w:sz w:val="20"/>
                <w:szCs w:val="20"/>
              </w:rPr>
            </w:pPr>
          </w:p>
        </w:tc>
      </w:tr>
      <w:tr>
        <w:tblPrEx>
          <w:tblCellMar>
            <w:top w:w="0" w:type="dxa"/>
            <w:left w:w="0" w:type="dxa"/>
            <w:bottom w:w="0" w:type="dxa"/>
            <w:right w:w="0" w:type="dxa"/>
          </w:tblCellMar>
        </w:tblPrEx>
        <w:trPr>
          <w:trHeight w:val="313" w:hRule="atLeast"/>
          <w:jc w:val="center"/>
        </w:trPr>
        <w:tc>
          <w:tcPr>
            <w:tcW w:w="896" w:type="dxa"/>
            <w:tcBorders>
              <w:top w:val="nil"/>
              <w:left w:val="single" w:color="000000" w:sz="4" w:space="0"/>
              <w:bottom w:val="single" w:color="auto" w:sz="4" w:space="0"/>
              <w:right w:val="single" w:color="000000" w:sz="4" w:space="0"/>
            </w:tcBorders>
            <w:shd w:val="clear" w:color="auto" w:fill="FFFFFF" w:themeFill="background1"/>
            <w:tcMar>
              <w:top w:w="15" w:type="dxa"/>
              <w:left w:w="15" w:type="dxa"/>
              <w:right w:w="15" w:type="dxa"/>
            </w:tcMar>
            <w:vAlign w:val="center"/>
          </w:tcPr>
          <w:p>
            <w:pPr>
              <w:jc w:val="left"/>
              <w:rPr>
                <w:rFonts w:ascii="宋体" w:cs="Times New Roman"/>
                <w:color w:val="000000"/>
                <w:sz w:val="20"/>
                <w:szCs w:val="20"/>
              </w:rPr>
            </w:pPr>
          </w:p>
        </w:tc>
        <w:tc>
          <w:tcPr>
            <w:tcW w:w="1932" w:type="dxa"/>
            <w:tcBorders>
              <w:top w:val="nil"/>
              <w:left w:val="nil"/>
              <w:bottom w:val="single" w:color="auto" w:sz="4" w:space="0"/>
              <w:right w:val="single" w:color="000000" w:sz="4" w:space="0"/>
            </w:tcBorders>
            <w:shd w:val="clear" w:color="auto" w:fill="FFFFFF" w:themeFill="background1"/>
            <w:tcMar>
              <w:top w:w="15" w:type="dxa"/>
              <w:left w:w="15" w:type="dxa"/>
              <w:right w:w="15" w:type="dxa"/>
            </w:tcMar>
            <w:vAlign w:val="center"/>
          </w:tcPr>
          <w:p>
            <w:pPr>
              <w:jc w:val="left"/>
              <w:rPr>
                <w:rFonts w:ascii="宋体" w:cs="Times New Roman"/>
                <w:color w:val="000000"/>
                <w:sz w:val="20"/>
                <w:szCs w:val="20"/>
              </w:rPr>
            </w:pPr>
          </w:p>
        </w:tc>
        <w:tc>
          <w:tcPr>
            <w:tcW w:w="783" w:type="dxa"/>
            <w:tcBorders>
              <w:top w:val="nil"/>
              <w:left w:val="nil"/>
              <w:bottom w:val="single" w:color="auto" w:sz="4" w:space="0"/>
              <w:right w:val="single" w:color="000000" w:sz="4" w:space="0"/>
            </w:tcBorders>
            <w:shd w:val="clear" w:color="auto" w:fill="FFFFFF" w:themeFill="background1"/>
            <w:tcMar>
              <w:top w:w="15" w:type="dxa"/>
              <w:left w:w="15" w:type="dxa"/>
              <w:right w:w="15" w:type="dxa"/>
            </w:tcMar>
            <w:vAlign w:val="center"/>
          </w:tcPr>
          <w:p>
            <w:pPr>
              <w:jc w:val="right"/>
              <w:rPr>
                <w:rFonts w:ascii="宋体" w:cs="Times New Roman"/>
                <w:color w:val="000000"/>
                <w:sz w:val="20"/>
                <w:szCs w:val="20"/>
              </w:rPr>
            </w:pPr>
          </w:p>
        </w:tc>
        <w:tc>
          <w:tcPr>
            <w:tcW w:w="655" w:type="dxa"/>
            <w:tcBorders>
              <w:top w:val="nil"/>
              <w:left w:val="nil"/>
              <w:bottom w:val="single" w:color="auto"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30299</w:t>
            </w:r>
          </w:p>
        </w:tc>
        <w:tc>
          <w:tcPr>
            <w:tcW w:w="1599" w:type="dxa"/>
            <w:tcBorders>
              <w:top w:val="nil"/>
              <w:left w:val="nil"/>
              <w:bottom w:val="single" w:color="auto"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其他商品和服务支出</w:t>
            </w:r>
          </w:p>
        </w:tc>
        <w:tc>
          <w:tcPr>
            <w:tcW w:w="768" w:type="dxa"/>
            <w:tcBorders>
              <w:top w:val="nil"/>
              <w:left w:val="nil"/>
              <w:bottom w:val="single" w:color="auto"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0.05</w:t>
            </w:r>
          </w:p>
        </w:tc>
        <w:tc>
          <w:tcPr>
            <w:tcW w:w="744" w:type="dxa"/>
            <w:tcBorders>
              <w:top w:val="nil"/>
              <w:left w:val="nil"/>
              <w:bottom w:val="single" w:color="auto" w:sz="4" w:space="0"/>
              <w:right w:val="single" w:color="000000" w:sz="4" w:space="0"/>
            </w:tcBorders>
            <w:shd w:val="clear" w:color="auto" w:fill="FFFFFF" w:themeFill="background1"/>
            <w:tcMar>
              <w:top w:w="15" w:type="dxa"/>
              <w:left w:w="15" w:type="dxa"/>
              <w:right w:w="15" w:type="dxa"/>
            </w:tcMar>
            <w:vAlign w:val="center"/>
          </w:tcPr>
          <w:p>
            <w:pPr>
              <w:jc w:val="left"/>
              <w:rPr>
                <w:rFonts w:ascii="宋体" w:cs="Times New Roman"/>
                <w:color w:val="000000"/>
                <w:sz w:val="20"/>
                <w:szCs w:val="20"/>
              </w:rPr>
            </w:pPr>
          </w:p>
        </w:tc>
        <w:tc>
          <w:tcPr>
            <w:tcW w:w="1891" w:type="dxa"/>
            <w:tcBorders>
              <w:top w:val="nil"/>
              <w:left w:val="nil"/>
              <w:bottom w:val="single" w:color="auto" w:sz="4" w:space="0"/>
              <w:right w:val="single" w:color="000000" w:sz="4" w:space="0"/>
            </w:tcBorders>
            <w:shd w:val="clear" w:color="auto" w:fill="FFFFFF" w:themeFill="background1"/>
            <w:tcMar>
              <w:top w:w="15" w:type="dxa"/>
              <w:left w:w="15" w:type="dxa"/>
              <w:right w:w="15" w:type="dxa"/>
            </w:tcMar>
            <w:vAlign w:val="center"/>
          </w:tcPr>
          <w:p>
            <w:pPr>
              <w:jc w:val="left"/>
              <w:rPr>
                <w:rFonts w:ascii="宋体" w:cs="Times New Roman"/>
                <w:color w:val="000000"/>
                <w:sz w:val="20"/>
                <w:szCs w:val="20"/>
              </w:rPr>
            </w:pPr>
          </w:p>
        </w:tc>
        <w:tc>
          <w:tcPr>
            <w:tcW w:w="732" w:type="dxa"/>
            <w:tcBorders>
              <w:top w:val="nil"/>
              <w:left w:val="nil"/>
              <w:bottom w:val="single" w:color="auto" w:sz="4" w:space="0"/>
              <w:right w:val="single" w:color="000000" w:sz="4" w:space="0"/>
            </w:tcBorders>
            <w:shd w:val="clear" w:color="auto" w:fill="FFFFFF" w:themeFill="background1"/>
            <w:tcMar>
              <w:top w:w="15" w:type="dxa"/>
              <w:left w:w="15" w:type="dxa"/>
              <w:right w:w="15" w:type="dxa"/>
            </w:tcMar>
            <w:vAlign w:val="center"/>
          </w:tcPr>
          <w:p>
            <w:pPr>
              <w:jc w:val="right"/>
              <w:rPr>
                <w:rFonts w:ascii="宋体" w:cs="Times New Roman"/>
                <w:color w:val="000000"/>
                <w:sz w:val="20"/>
                <w:szCs w:val="20"/>
              </w:rPr>
            </w:pPr>
          </w:p>
        </w:tc>
      </w:tr>
      <w:tr>
        <w:tblPrEx>
          <w:tblCellMar>
            <w:top w:w="0" w:type="dxa"/>
            <w:left w:w="0" w:type="dxa"/>
            <w:bottom w:w="0" w:type="dxa"/>
            <w:right w:w="0" w:type="dxa"/>
          </w:tblCellMar>
        </w:tblPrEx>
        <w:trPr>
          <w:trHeight w:val="446" w:hRule="atLeast"/>
          <w:jc w:val="center"/>
        </w:trPr>
        <w:tc>
          <w:tcPr>
            <w:tcW w:w="2828" w:type="dxa"/>
            <w:gridSpan w:val="2"/>
            <w:tcBorders>
              <w:top w:val="single" w:color="auto" w:sz="4" w:space="0"/>
              <w:left w:val="single" w:color="auto" w:sz="4" w:space="0"/>
              <w:bottom w:val="single" w:color="auto" w:sz="4" w:space="0"/>
              <w:right w:val="single" w:color="auto" w:sz="4" w:space="0"/>
            </w:tcBorders>
            <w:shd w:val="clear" w:color="auto" w:fill="FFFFFF" w:themeFill="background1"/>
            <w:tcMar>
              <w:top w:w="15" w:type="dxa"/>
              <w:left w:w="15" w:type="dxa"/>
              <w:right w:w="15" w:type="dxa"/>
            </w:tcMar>
            <w:vAlign w:val="center"/>
          </w:tcPr>
          <w:p>
            <w:pPr>
              <w:keepNext w:val="0"/>
              <w:keepLines w:val="0"/>
              <w:widowControl/>
              <w:suppressLineNumbers w:val="0"/>
              <w:jc w:val="center"/>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人员经费合计</w:t>
            </w:r>
          </w:p>
        </w:tc>
        <w:tc>
          <w:tcPr>
            <w:tcW w:w="783" w:type="dxa"/>
            <w:tcBorders>
              <w:top w:val="single" w:color="auto" w:sz="4" w:space="0"/>
              <w:left w:val="single" w:color="auto" w:sz="4" w:space="0"/>
              <w:bottom w:val="single" w:color="auto" w:sz="4" w:space="0"/>
              <w:right w:val="single" w:color="auto"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1,442.97</w:t>
            </w:r>
          </w:p>
        </w:tc>
        <w:tc>
          <w:tcPr>
            <w:tcW w:w="5657" w:type="dxa"/>
            <w:gridSpan w:val="5"/>
            <w:tcBorders>
              <w:top w:val="single" w:color="auto" w:sz="4" w:space="0"/>
              <w:left w:val="single" w:color="auto" w:sz="4" w:space="0"/>
              <w:bottom w:val="single" w:color="auto" w:sz="4" w:space="0"/>
              <w:right w:val="single" w:color="auto" w:sz="4" w:space="0"/>
            </w:tcBorders>
            <w:shd w:val="clear" w:color="auto" w:fill="FFFFFF" w:themeFill="background1"/>
            <w:tcMar>
              <w:top w:w="15" w:type="dxa"/>
              <w:left w:w="15" w:type="dxa"/>
              <w:right w:w="15" w:type="dxa"/>
            </w:tcMar>
            <w:vAlign w:val="center"/>
          </w:tcPr>
          <w:p>
            <w:pPr>
              <w:keepNext w:val="0"/>
              <w:keepLines w:val="0"/>
              <w:widowControl/>
              <w:suppressLineNumbers w:val="0"/>
              <w:jc w:val="center"/>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公用经费合计</w:t>
            </w:r>
          </w:p>
        </w:tc>
        <w:tc>
          <w:tcPr>
            <w:tcW w:w="732" w:type="dxa"/>
            <w:tcBorders>
              <w:top w:val="single" w:color="auto" w:sz="4" w:space="0"/>
              <w:left w:val="single" w:color="auto" w:sz="4" w:space="0"/>
              <w:bottom w:val="single" w:color="auto" w:sz="4" w:space="0"/>
              <w:right w:val="single" w:color="auto"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206.45</w:t>
            </w:r>
          </w:p>
        </w:tc>
      </w:tr>
      <w:tr>
        <w:tblPrEx>
          <w:tblCellMar>
            <w:top w:w="0" w:type="dxa"/>
            <w:left w:w="0" w:type="dxa"/>
            <w:bottom w:w="0" w:type="dxa"/>
            <w:right w:w="0" w:type="dxa"/>
          </w:tblCellMar>
        </w:tblPrEx>
        <w:trPr>
          <w:trHeight w:val="332" w:hRule="atLeast"/>
          <w:jc w:val="center"/>
        </w:trPr>
        <w:tc>
          <w:tcPr>
            <w:tcW w:w="10000" w:type="dxa"/>
            <w:gridSpan w:val="9"/>
            <w:tcBorders>
              <w:top w:val="single" w:color="auto" w:sz="4" w:space="0"/>
              <w:left w:val="nil"/>
              <w:bottom w:val="nil"/>
              <w:right w:val="nil"/>
            </w:tcBorders>
            <w:shd w:val="clear" w:color="auto" w:fill="FFFFFF" w:themeFill="background1"/>
            <w:tcMar>
              <w:top w:w="15" w:type="dxa"/>
              <w:left w:w="15" w:type="dxa"/>
              <w:right w:w="15" w:type="dxa"/>
            </w:tcMar>
            <w:vAlign w:val="center"/>
          </w:tcPr>
          <w:p>
            <w:pPr>
              <w:widowControl/>
              <w:jc w:val="left"/>
              <w:textAlignment w:val="center"/>
              <w:rPr>
                <w:rFonts w:ascii="宋体" w:cs="Times New Roman"/>
                <w:color w:val="000000"/>
                <w:sz w:val="20"/>
                <w:szCs w:val="20"/>
              </w:rPr>
            </w:pPr>
            <w:r>
              <w:rPr>
                <w:rFonts w:hint="eastAsia" w:ascii="宋体" w:hAnsi="宋体" w:cs="宋体"/>
                <w:color w:val="000000"/>
                <w:sz w:val="20"/>
                <w:szCs w:val="20"/>
              </w:rPr>
              <w:t>注：本表反映</w:t>
            </w:r>
            <w:r>
              <w:rPr>
                <w:rFonts w:hint="eastAsia" w:ascii="宋体" w:hAnsi="宋体" w:cs="宋体"/>
                <w:color w:val="000000"/>
                <w:sz w:val="20"/>
                <w:szCs w:val="20"/>
                <w:lang w:eastAsia="zh-CN"/>
              </w:rPr>
              <w:t>部门</w:t>
            </w:r>
            <w:r>
              <w:rPr>
                <w:rFonts w:hint="eastAsia" w:ascii="宋体" w:hAnsi="宋体" w:cs="宋体"/>
                <w:color w:val="000000"/>
                <w:sz w:val="20"/>
                <w:szCs w:val="20"/>
              </w:rPr>
              <w:t>本</w:t>
            </w:r>
            <w:r>
              <w:rPr>
                <w:rFonts w:hint="eastAsia" w:ascii="宋体" w:hAnsi="宋体" w:cs="宋体"/>
                <w:color w:val="000000"/>
                <w:kern w:val="0"/>
                <w:sz w:val="20"/>
                <w:szCs w:val="20"/>
              </w:rPr>
              <w:t>年度</w:t>
            </w:r>
            <w:r>
              <w:rPr>
                <w:rFonts w:hint="eastAsia" w:ascii="宋体" w:hAnsi="宋体" w:cs="宋体"/>
                <w:color w:val="000000"/>
                <w:sz w:val="20"/>
                <w:szCs w:val="20"/>
              </w:rPr>
              <w:t>一般公共预算财政拨款基本支出明细情况。</w:t>
            </w:r>
          </w:p>
        </w:tc>
      </w:tr>
    </w:tbl>
    <w:p>
      <w:pPr>
        <w:rPr>
          <w:rFonts w:cs="Times New Roman"/>
        </w:rPr>
      </w:pPr>
    </w:p>
    <w:p>
      <w:pPr>
        <w:rPr>
          <w:rFonts w:cs="Times New Roman"/>
        </w:rPr>
      </w:pPr>
    </w:p>
    <w:p>
      <w:pPr>
        <w:rPr>
          <w:rFonts w:cs="Times New Roman"/>
        </w:rPr>
      </w:pPr>
    </w:p>
    <w:p>
      <w:pPr>
        <w:rPr>
          <w:rFonts w:cs="Times New Roman"/>
        </w:rPr>
      </w:pPr>
    </w:p>
    <w:p>
      <w:pPr>
        <w:rPr>
          <w:rFonts w:cs="Times New Roman"/>
        </w:rPr>
      </w:pPr>
    </w:p>
    <w:p>
      <w:pPr>
        <w:rPr>
          <w:rFonts w:cs="Times New Roman"/>
        </w:rPr>
      </w:pPr>
    </w:p>
    <w:p>
      <w:pPr>
        <w:rPr>
          <w:rFonts w:cs="Times New Roman"/>
        </w:rPr>
      </w:pPr>
    </w:p>
    <w:p>
      <w:pPr>
        <w:rPr>
          <w:rFonts w:cs="Times New Roman"/>
        </w:rPr>
      </w:pPr>
    </w:p>
    <w:p>
      <w:pPr>
        <w:rPr>
          <w:rFonts w:cs="Times New Roman"/>
        </w:rPr>
      </w:pPr>
    </w:p>
    <w:p>
      <w:pPr>
        <w:rPr>
          <w:rFonts w:cs="Times New Roman"/>
        </w:rPr>
      </w:pPr>
    </w:p>
    <w:p>
      <w:pPr>
        <w:rPr>
          <w:rFonts w:cs="Times New Roman"/>
        </w:rPr>
      </w:pPr>
    </w:p>
    <w:p>
      <w:pPr>
        <w:rPr>
          <w:rFonts w:cs="Times New Roman"/>
        </w:rPr>
      </w:pPr>
    </w:p>
    <w:p>
      <w:pPr>
        <w:rPr>
          <w:rFonts w:cs="Times New Roman"/>
        </w:rPr>
      </w:pPr>
    </w:p>
    <w:p>
      <w:pPr>
        <w:rPr>
          <w:rFonts w:cs="Times New Roman"/>
        </w:rPr>
      </w:pPr>
    </w:p>
    <w:p>
      <w:pPr>
        <w:rPr>
          <w:rFonts w:cs="Times New Roman"/>
        </w:rPr>
      </w:pPr>
    </w:p>
    <w:p>
      <w:pPr>
        <w:rPr>
          <w:rFonts w:cs="Times New Roman"/>
        </w:rPr>
      </w:pPr>
    </w:p>
    <w:p>
      <w:pPr>
        <w:rPr>
          <w:rFonts w:cs="Times New Roman"/>
        </w:rPr>
      </w:pPr>
    </w:p>
    <w:p>
      <w:pPr>
        <w:rPr>
          <w:rFonts w:cs="Times New Roman"/>
        </w:rPr>
      </w:pPr>
    </w:p>
    <w:p>
      <w:pPr>
        <w:rPr>
          <w:rFonts w:cs="Times New Roman"/>
        </w:rPr>
      </w:pPr>
    </w:p>
    <w:p>
      <w:pPr>
        <w:rPr>
          <w:rFonts w:cs="Times New Roman"/>
        </w:rPr>
      </w:pPr>
    </w:p>
    <w:p>
      <w:pPr>
        <w:rPr>
          <w:rFonts w:cs="Times New Roman"/>
        </w:rPr>
      </w:pPr>
    </w:p>
    <w:p>
      <w:pPr>
        <w:rPr>
          <w:rFonts w:cs="Times New Roman"/>
        </w:rPr>
      </w:pPr>
    </w:p>
    <w:tbl>
      <w:tblPr>
        <w:tblStyle w:val="5"/>
        <w:tblW w:w="9511" w:type="dxa"/>
        <w:jc w:val="center"/>
        <w:tblLayout w:type="fixed"/>
        <w:tblCellMar>
          <w:top w:w="0" w:type="dxa"/>
          <w:left w:w="0" w:type="dxa"/>
          <w:bottom w:w="0" w:type="dxa"/>
          <w:right w:w="0" w:type="dxa"/>
        </w:tblCellMar>
      </w:tblPr>
      <w:tblGrid>
        <w:gridCol w:w="1100"/>
        <w:gridCol w:w="87"/>
        <w:gridCol w:w="87"/>
        <w:gridCol w:w="1589"/>
        <w:gridCol w:w="1108"/>
        <w:gridCol w:w="1108"/>
        <w:gridCol w:w="1108"/>
        <w:gridCol w:w="1108"/>
        <w:gridCol w:w="1108"/>
        <w:gridCol w:w="1108"/>
      </w:tblGrid>
      <w:tr>
        <w:tblPrEx>
          <w:tblCellMar>
            <w:top w:w="0" w:type="dxa"/>
            <w:left w:w="0" w:type="dxa"/>
            <w:bottom w:w="0" w:type="dxa"/>
            <w:right w:w="0" w:type="dxa"/>
          </w:tblCellMar>
        </w:tblPrEx>
        <w:trPr>
          <w:trHeight w:val="780" w:hRule="atLeast"/>
          <w:jc w:val="center"/>
        </w:trPr>
        <w:tc>
          <w:tcPr>
            <w:tcW w:w="9511" w:type="dxa"/>
            <w:gridSpan w:val="10"/>
            <w:tcBorders>
              <w:top w:val="nil"/>
              <w:left w:val="nil"/>
              <w:bottom w:val="nil"/>
              <w:right w:val="nil"/>
            </w:tcBorders>
            <w:tcMar>
              <w:top w:w="15" w:type="dxa"/>
              <w:left w:w="15" w:type="dxa"/>
              <w:right w:w="15" w:type="dxa"/>
            </w:tcMar>
            <w:vAlign w:val="center"/>
          </w:tcPr>
          <w:p>
            <w:pPr>
              <w:widowControl/>
              <w:jc w:val="center"/>
              <w:textAlignment w:val="center"/>
              <w:rPr>
                <w:rFonts w:ascii="黑体" w:hAnsi="宋体" w:eastAsia="黑体" w:cs="Times New Roman"/>
                <w:color w:val="000000"/>
                <w:sz w:val="32"/>
                <w:szCs w:val="32"/>
              </w:rPr>
            </w:pPr>
            <w:r>
              <w:rPr>
                <w:rFonts w:hint="eastAsia" w:ascii="黑体" w:hAnsi="宋体" w:eastAsia="黑体" w:cs="黑体"/>
                <w:color w:val="000000"/>
                <w:kern w:val="0"/>
                <w:sz w:val="32"/>
                <w:szCs w:val="32"/>
              </w:rPr>
              <w:t>政府性基金预算财政拨款收入支出决算表</w:t>
            </w:r>
          </w:p>
        </w:tc>
      </w:tr>
      <w:tr>
        <w:tblPrEx>
          <w:tblCellMar>
            <w:top w:w="0" w:type="dxa"/>
            <w:left w:w="0" w:type="dxa"/>
            <w:bottom w:w="0" w:type="dxa"/>
            <w:right w:w="0" w:type="dxa"/>
          </w:tblCellMar>
        </w:tblPrEx>
        <w:trPr>
          <w:trHeight w:val="255" w:hRule="atLeast"/>
          <w:jc w:val="center"/>
        </w:trPr>
        <w:tc>
          <w:tcPr>
            <w:tcW w:w="1100"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87"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87"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589"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108"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108"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108"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108"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2216" w:type="dxa"/>
            <w:gridSpan w:val="2"/>
            <w:tcBorders>
              <w:top w:val="nil"/>
              <w:left w:val="nil"/>
              <w:bottom w:val="nil"/>
              <w:right w:val="nil"/>
            </w:tcBorders>
            <w:tcMar>
              <w:top w:w="15" w:type="dxa"/>
              <w:left w:w="15" w:type="dxa"/>
              <w:right w:w="15" w:type="dxa"/>
            </w:tcMar>
            <w:vAlign w:val="bottom"/>
          </w:tcPr>
          <w:p>
            <w:pPr>
              <w:widowControl/>
              <w:jc w:val="right"/>
              <w:textAlignment w:val="bottom"/>
              <w:rPr>
                <w:rFonts w:ascii="宋体" w:cs="Times New Roman"/>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w:t>
            </w:r>
            <w:r>
              <w:rPr>
                <w:rFonts w:hint="eastAsia" w:ascii="宋体" w:hAnsi="宋体" w:cs="宋体"/>
                <w:color w:val="000000"/>
                <w:kern w:val="0"/>
                <w:sz w:val="20"/>
                <w:szCs w:val="20"/>
                <w:lang w:val="en-US" w:eastAsia="zh-CN"/>
              </w:rPr>
              <w:t>7</w:t>
            </w:r>
            <w:r>
              <w:rPr>
                <w:rFonts w:hint="eastAsia" w:ascii="宋体" w:hAnsi="宋体" w:cs="宋体"/>
                <w:color w:val="000000"/>
                <w:kern w:val="0"/>
                <w:sz w:val="20"/>
                <w:szCs w:val="20"/>
              </w:rPr>
              <w:t>表</w:t>
            </w:r>
          </w:p>
        </w:tc>
      </w:tr>
      <w:tr>
        <w:tblPrEx>
          <w:tblCellMar>
            <w:top w:w="0" w:type="dxa"/>
            <w:left w:w="0" w:type="dxa"/>
            <w:bottom w:w="0" w:type="dxa"/>
            <w:right w:w="0" w:type="dxa"/>
          </w:tblCellMar>
        </w:tblPrEx>
        <w:trPr>
          <w:trHeight w:val="255" w:hRule="atLeast"/>
          <w:jc w:val="center"/>
        </w:trPr>
        <w:tc>
          <w:tcPr>
            <w:tcW w:w="3971" w:type="dxa"/>
            <w:gridSpan w:val="5"/>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r>
              <w:rPr>
                <w:rFonts w:hint="eastAsia" w:ascii="宋体" w:hAnsi="宋体" w:cs="宋体"/>
                <w:color w:val="000000"/>
                <w:kern w:val="0"/>
                <w:sz w:val="20"/>
                <w:szCs w:val="20"/>
              </w:rPr>
              <w:t>单位：石家庄市鹿泉区财政局</w:t>
            </w:r>
          </w:p>
        </w:tc>
        <w:tc>
          <w:tcPr>
            <w:tcW w:w="1108"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108"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108"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2216" w:type="dxa"/>
            <w:gridSpan w:val="2"/>
            <w:tcBorders>
              <w:top w:val="nil"/>
              <w:left w:val="nil"/>
              <w:bottom w:val="nil"/>
              <w:right w:val="nil"/>
            </w:tcBorders>
            <w:tcMar>
              <w:top w:w="15" w:type="dxa"/>
              <w:left w:w="15" w:type="dxa"/>
              <w:right w:w="15" w:type="dxa"/>
            </w:tcMar>
            <w:vAlign w:val="bottom"/>
          </w:tcPr>
          <w:p>
            <w:pPr>
              <w:widowControl/>
              <w:jc w:val="right"/>
              <w:textAlignment w:val="bottom"/>
              <w:rPr>
                <w:rFonts w:ascii="宋体" w:cs="Times New Roman"/>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2863" w:type="dxa"/>
            <w:gridSpan w:val="4"/>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项目</w:t>
            </w:r>
          </w:p>
        </w:tc>
        <w:tc>
          <w:tcPr>
            <w:tcW w:w="1108"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年初结转和结余</w:t>
            </w:r>
          </w:p>
        </w:tc>
        <w:tc>
          <w:tcPr>
            <w:tcW w:w="1108"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本年收入</w:t>
            </w:r>
          </w:p>
        </w:tc>
        <w:tc>
          <w:tcPr>
            <w:tcW w:w="3324" w:type="dxa"/>
            <w:gridSpan w:val="3"/>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本年支出</w:t>
            </w:r>
          </w:p>
        </w:tc>
        <w:tc>
          <w:tcPr>
            <w:tcW w:w="1108"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年末结转和结余</w:t>
            </w:r>
          </w:p>
        </w:tc>
      </w:tr>
      <w:tr>
        <w:tblPrEx>
          <w:tblCellMar>
            <w:top w:w="0" w:type="dxa"/>
            <w:left w:w="0" w:type="dxa"/>
            <w:bottom w:w="0" w:type="dxa"/>
            <w:right w:w="0" w:type="dxa"/>
          </w:tblCellMar>
        </w:tblPrEx>
        <w:trPr>
          <w:trHeight w:val="312" w:hRule="atLeast"/>
          <w:jc w:val="center"/>
        </w:trPr>
        <w:tc>
          <w:tcPr>
            <w:tcW w:w="1274" w:type="dxa"/>
            <w:gridSpan w:val="3"/>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功能分类科目编码</w:t>
            </w:r>
          </w:p>
        </w:tc>
        <w:tc>
          <w:tcPr>
            <w:tcW w:w="1589"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科目名称</w:t>
            </w:r>
          </w:p>
        </w:tc>
        <w:tc>
          <w:tcPr>
            <w:tcW w:w="1108"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08"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08"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小计</w:t>
            </w:r>
          </w:p>
        </w:tc>
        <w:tc>
          <w:tcPr>
            <w:tcW w:w="1108"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基本支出</w:t>
            </w:r>
          </w:p>
        </w:tc>
        <w:tc>
          <w:tcPr>
            <w:tcW w:w="1108"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项目支出</w:t>
            </w:r>
          </w:p>
        </w:tc>
        <w:tc>
          <w:tcPr>
            <w:tcW w:w="1108"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r>
      <w:tr>
        <w:tblPrEx>
          <w:tblCellMar>
            <w:top w:w="0" w:type="dxa"/>
            <w:left w:w="0" w:type="dxa"/>
            <w:bottom w:w="0" w:type="dxa"/>
            <w:right w:w="0" w:type="dxa"/>
          </w:tblCellMar>
        </w:tblPrEx>
        <w:trPr>
          <w:trHeight w:val="312" w:hRule="atLeast"/>
          <w:jc w:val="center"/>
        </w:trPr>
        <w:tc>
          <w:tcPr>
            <w:tcW w:w="1274"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589"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08"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08"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08"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08"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08"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08"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r>
      <w:tr>
        <w:tblPrEx>
          <w:tblCellMar>
            <w:top w:w="0" w:type="dxa"/>
            <w:left w:w="0" w:type="dxa"/>
            <w:bottom w:w="0" w:type="dxa"/>
            <w:right w:w="0" w:type="dxa"/>
          </w:tblCellMar>
        </w:tblPrEx>
        <w:trPr>
          <w:trHeight w:val="312" w:hRule="atLeast"/>
          <w:jc w:val="center"/>
        </w:trPr>
        <w:tc>
          <w:tcPr>
            <w:tcW w:w="1274"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589"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08"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08"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08"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08"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08"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08"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r>
      <w:tr>
        <w:tblPrEx>
          <w:tblCellMar>
            <w:top w:w="0" w:type="dxa"/>
            <w:left w:w="0" w:type="dxa"/>
            <w:bottom w:w="0" w:type="dxa"/>
            <w:right w:w="0" w:type="dxa"/>
          </w:tblCellMar>
        </w:tblPrEx>
        <w:trPr>
          <w:trHeight w:val="308" w:hRule="atLeast"/>
          <w:jc w:val="center"/>
        </w:trPr>
        <w:tc>
          <w:tcPr>
            <w:tcW w:w="2863"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栏次</w:t>
            </w:r>
          </w:p>
        </w:tc>
        <w:tc>
          <w:tcPr>
            <w:tcW w:w="1108"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1</w:t>
            </w:r>
          </w:p>
        </w:tc>
        <w:tc>
          <w:tcPr>
            <w:tcW w:w="1108"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2</w:t>
            </w:r>
          </w:p>
        </w:tc>
        <w:tc>
          <w:tcPr>
            <w:tcW w:w="1108"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3</w:t>
            </w:r>
          </w:p>
        </w:tc>
        <w:tc>
          <w:tcPr>
            <w:tcW w:w="1108"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4</w:t>
            </w:r>
          </w:p>
        </w:tc>
        <w:tc>
          <w:tcPr>
            <w:tcW w:w="1108"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5</w:t>
            </w:r>
          </w:p>
        </w:tc>
        <w:tc>
          <w:tcPr>
            <w:tcW w:w="1108"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6</w:t>
            </w:r>
          </w:p>
        </w:tc>
      </w:tr>
      <w:tr>
        <w:tblPrEx>
          <w:tblCellMar>
            <w:top w:w="0" w:type="dxa"/>
            <w:left w:w="0" w:type="dxa"/>
            <w:bottom w:w="0" w:type="dxa"/>
            <w:right w:w="0" w:type="dxa"/>
          </w:tblCellMar>
        </w:tblPrEx>
        <w:trPr>
          <w:trHeight w:val="308" w:hRule="atLeast"/>
          <w:jc w:val="center"/>
        </w:trPr>
        <w:tc>
          <w:tcPr>
            <w:tcW w:w="2863"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合计</w:t>
            </w:r>
          </w:p>
        </w:tc>
        <w:tc>
          <w:tcPr>
            <w:tcW w:w="110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b/>
                <w:bCs/>
                <w:color w:val="000000"/>
                <w:sz w:val="22"/>
                <w:szCs w:val="22"/>
              </w:rPr>
            </w:pPr>
          </w:p>
        </w:tc>
        <w:tc>
          <w:tcPr>
            <w:tcW w:w="110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b/>
                <w:bCs/>
                <w:color w:val="000000"/>
                <w:sz w:val="22"/>
                <w:szCs w:val="22"/>
              </w:rPr>
            </w:pPr>
          </w:p>
        </w:tc>
        <w:tc>
          <w:tcPr>
            <w:tcW w:w="110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b/>
                <w:bCs/>
                <w:color w:val="000000"/>
                <w:sz w:val="22"/>
                <w:szCs w:val="22"/>
              </w:rPr>
            </w:pPr>
          </w:p>
        </w:tc>
        <w:tc>
          <w:tcPr>
            <w:tcW w:w="110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b/>
                <w:bCs/>
                <w:color w:val="000000"/>
                <w:sz w:val="22"/>
                <w:szCs w:val="22"/>
              </w:rPr>
            </w:pPr>
          </w:p>
        </w:tc>
        <w:tc>
          <w:tcPr>
            <w:tcW w:w="110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b/>
                <w:bCs/>
                <w:color w:val="000000"/>
                <w:sz w:val="22"/>
                <w:szCs w:val="22"/>
              </w:rPr>
            </w:pPr>
          </w:p>
        </w:tc>
        <w:tc>
          <w:tcPr>
            <w:tcW w:w="110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b/>
                <w:bCs/>
                <w:color w:val="000000"/>
                <w:sz w:val="22"/>
                <w:szCs w:val="22"/>
              </w:rPr>
            </w:pPr>
          </w:p>
        </w:tc>
      </w:tr>
      <w:tr>
        <w:tblPrEx>
          <w:tblCellMar>
            <w:top w:w="0" w:type="dxa"/>
            <w:left w:w="0" w:type="dxa"/>
            <w:bottom w:w="0" w:type="dxa"/>
            <w:right w:w="0" w:type="dxa"/>
          </w:tblCellMar>
        </w:tblPrEx>
        <w:trPr>
          <w:trHeight w:val="308" w:hRule="atLeast"/>
          <w:jc w:val="center"/>
        </w:trPr>
        <w:tc>
          <w:tcPr>
            <w:tcW w:w="127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1589"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110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0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0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0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0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0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08" w:hRule="atLeast"/>
          <w:jc w:val="center"/>
        </w:trPr>
        <w:tc>
          <w:tcPr>
            <w:tcW w:w="127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1589"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110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0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0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0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0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0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08" w:hRule="atLeast"/>
          <w:jc w:val="center"/>
        </w:trPr>
        <w:tc>
          <w:tcPr>
            <w:tcW w:w="127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1589"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110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0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0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0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0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0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08" w:hRule="atLeast"/>
          <w:jc w:val="center"/>
        </w:trPr>
        <w:tc>
          <w:tcPr>
            <w:tcW w:w="127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1589"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110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0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0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0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0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0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08" w:hRule="atLeast"/>
          <w:jc w:val="center"/>
        </w:trPr>
        <w:tc>
          <w:tcPr>
            <w:tcW w:w="127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1589"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110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0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0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0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0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0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bl>
    <w:p>
      <w:pPr>
        <w:rPr>
          <w:rFonts w:cs="Times New Roman"/>
        </w:rPr>
      </w:pPr>
      <w:r>
        <w:rPr>
          <w:rFonts w:hint="eastAsia"/>
          <w:sz w:val="24"/>
          <w:szCs w:val="24"/>
        </w:rPr>
        <w:t>注：本</w:t>
      </w:r>
      <w:r>
        <w:rPr>
          <w:rFonts w:hint="eastAsia"/>
          <w:sz w:val="24"/>
          <w:szCs w:val="24"/>
          <w:lang w:eastAsia="zh-CN"/>
        </w:rPr>
        <w:t>部门</w:t>
      </w:r>
      <w:r>
        <w:rPr>
          <w:rFonts w:hint="eastAsia"/>
          <w:sz w:val="24"/>
          <w:szCs w:val="24"/>
        </w:rPr>
        <w:t>本年度无相关收入（或支出、收支及结转结余等）情况，按要求空表列示。</w:t>
      </w:r>
    </w:p>
    <w:p>
      <w:pPr>
        <w:rPr>
          <w:rFonts w:cs="Times New Roman"/>
        </w:rPr>
      </w:pPr>
    </w:p>
    <w:p>
      <w:pPr>
        <w:rPr>
          <w:rFonts w:cs="Times New Roman"/>
        </w:rPr>
      </w:pPr>
    </w:p>
    <w:p>
      <w:pPr>
        <w:rPr>
          <w:rFonts w:cs="Times New Roman"/>
        </w:rPr>
      </w:pPr>
    </w:p>
    <w:p>
      <w:pPr>
        <w:rPr>
          <w:rFonts w:cs="Times New Roman"/>
        </w:rPr>
      </w:pPr>
    </w:p>
    <w:tbl>
      <w:tblPr>
        <w:tblStyle w:val="5"/>
        <w:tblW w:w="9590" w:type="dxa"/>
        <w:jc w:val="center"/>
        <w:tblLayout w:type="fixed"/>
        <w:tblCellMar>
          <w:top w:w="0" w:type="dxa"/>
          <w:left w:w="0" w:type="dxa"/>
          <w:bottom w:w="0" w:type="dxa"/>
          <w:right w:w="0" w:type="dxa"/>
        </w:tblCellMar>
      </w:tblPr>
      <w:tblGrid>
        <w:gridCol w:w="921"/>
        <w:gridCol w:w="91"/>
        <w:gridCol w:w="91"/>
        <w:gridCol w:w="4450"/>
        <w:gridCol w:w="851"/>
        <w:gridCol w:w="1648"/>
        <w:gridCol w:w="1538"/>
      </w:tblGrid>
      <w:tr>
        <w:tblPrEx>
          <w:tblCellMar>
            <w:top w:w="0" w:type="dxa"/>
            <w:left w:w="0" w:type="dxa"/>
            <w:bottom w:w="0" w:type="dxa"/>
            <w:right w:w="0" w:type="dxa"/>
          </w:tblCellMar>
        </w:tblPrEx>
        <w:trPr>
          <w:trHeight w:val="840" w:hRule="atLeast"/>
          <w:jc w:val="center"/>
        </w:trPr>
        <w:tc>
          <w:tcPr>
            <w:tcW w:w="9590" w:type="dxa"/>
            <w:gridSpan w:val="7"/>
            <w:tcBorders>
              <w:top w:val="nil"/>
              <w:left w:val="nil"/>
              <w:bottom w:val="nil"/>
              <w:right w:val="nil"/>
            </w:tcBorders>
            <w:tcMar>
              <w:top w:w="15" w:type="dxa"/>
              <w:left w:w="15" w:type="dxa"/>
              <w:right w:w="15" w:type="dxa"/>
            </w:tcMar>
            <w:vAlign w:val="center"/>
          </w:tcPr>
          <w:p>
            <w:pPr>
              <w:widowControl/>
              <w:jc w:val="center"/>
              <w:textAlignment w:val="center"/>
              <w:rPr>
                <w:rFonts w:ascii="黑体" w:hAnsi="宋体" w:eastAsia="黑体" w:cs="Times New Roman"/>
                <w:color w:val="000000"/>
                <w:sz w:val="32"/>
                <w:szCs w:val="32"/>
              </w:rPr>
            </w:pPr>
            <w:r>
              <w:rPr>
                <w:rFonts w:hint="eastAsia" w:ascii="黑体" w:hAnsi="宋体" w:eastAsia="黑体" w:cs="黑体"/>
                <w:color w:val="000000"/>
                <w:kern w:val="0"/>
                <w:sz w:val="32"/>
                <w:szCs w:val="32"/>
              </w:rPr>
              <w:t>国有资本经营预算财政拨款支出决算表</w:t>
            </w:r>
          </w:p>
        </w:tc>
      </w:tr>
      <w:tr>
        <w:tblPrEx>
          <w:tblCellMar>
            <w:top w:w="0" w:type="dxa"/>
            <w:left w:w="0" w:type="dxa"/>
            <w:bottom w:w="0" w:type="dxa"/>
            <w:right w:w="0" w:type="dxa"/>
          </w:tblCellMar>
        </w:tblPrEx>
        <w:trPr>
          <w:trHeight w:val="255" w:hRule="atLeast"/>
          <w:jc w:val="center"/>
        </w:trPr>
        <w:tc>
          <w:tcPr>
            <w:tcW w:w="92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9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9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4450"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85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3186" w:type="dxa"/>
            <w:gridSpan w:val="2"/>
            <w:tcBorders>
              <w:top w:val="nil"/>
              <w:left w:val="nil"/>
              <w:bottom w:val="nil"/>
              <w:right w:val="nil"/>
            </w:tcBorders>
            <w:tcMar>
              <w:top w:w="15" w:type="dxa"/>
              <w:left w:w="15" w:type="dxa"/>
              <w:right w:w="15" w:type="dxa"/>
            </w:tcMar>
            <w:vAlign w:val="bottom"/>
          </w:tcPr>
          <w:p>
            <w:pPr>
              <w:widowControl/>
              <w:jc w:val="right"/>
              <w:textAlignment w:val="bottom"/>
              <w:rPr>
                <w:rFonts w:ascii="宋体" w:cs="Times New Roman"/>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w:t>
            </w:r>
            <w:r>
              <w:rPr>
                <w:rFonts w:hint="eastAsia" w:ascii="宋体" w:hAnsi="宋体" w:cs="宋体"/>
                <w:color w:val="000000"/>
                <w:kern w:val="0"/>
                <w:sz w:val="20"/>
                <w:szCs w:val="20"/>
                <w:lang w:val="en-US" w:eastAsia="zh-CN"/>
              </w:rPr>
              <w:t>8</w:t>
            </w:r>
            <w:r>
              <w:rPr>
                <w:rFonts w:hint="eastAsia" w:ascii="宋体" w:hAnsi="宋体" w:cs="宋体"/>
                <w:color w:val="000000"/>
                <w:kern w:val="0"/>
                <w:sz w:val="20"/>
                <w:szCs w:val="20"/>
              </w:rPr>
              <w:t>表</w:t>
            </w:r>
          </w:p>
        </w:tc>
      </w:tr>
      <w:tr>
        <w:tblPrEx>
          <w:tblCellMar>
            <w:top w:w="0" w:type="dxa"/>
            <w:left w:w="0" w:type="dxa"/>
            <w:bottom w:w="0" w:type="dxa"/>
            <w:right w:w="0" w:type="dxa"/>
          </w:tblCellMar>
        </w:tblPrEx>
        <w:trPr>
          <w:trHeight w:val="255" w:hRule="atLeast"/>
          <w:jc w:val="center"/>
        </w:trPr>
        <w:tc>
          <w:tcPr>
            <w:tcW w:w="5553" w:type="dxa"/>
            <w:gridSpan w:val="4"/>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r>
              <w:rPr>
                <w:rFonts w:hint="eastAsia" w:ascii="宋体" w:hAnsi="宋体" w:cs="宋体"/>
                <w:color w:val="000000"/>
                <w:kern w:val="0"/>
                <w:sz w:val="20"/>
                <w:szCs w:val="20"/>
              </w:rPr>
              <w:t>单位：石家庄市鹿泉区财政局</w:t>
            </w:r>
          </w:p>
        </w:tc>
        <w:tc>
          <w:tcPr>
            <w:tcW w:w="85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3186" w:type="dxa"/>
            <w:gridSpan w:val="2"/>
            <w:tcBorders>
              <w:top w:val="nil"/>
              <w:left w:val="nil"/>
              <w:bottom w:val="nil"/>
              <w:right w:val="nil"/>
            </w:tcBorders>
            <w:tcMar>
              <w:top w:w="15" w:type="dxa"/>
              <w:left w:w="15" w:type="dxa"/>
              <w:right w:w="15" w:type="dxa"/>
            </w:tcMar>
            <w:vAlign w:val="bottom"/>
          </w:tcPr>
          <w:p>
            <w:pPr>
              <w:widowControl/>
              <w:jc w:val="right"/>
              <w:textAlignment w:val="bottom"/>
              <w:rPr>
                <w:rFonts w:ascii="宋体" w:cs="Times New Roman"/>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5553" w:type="dxa"/>
            <w:gridSpan w:val="4"/>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科目</w:t>
            </w:r>
          </w:p>
        </w:tc>
        <w:tc>
          <w:tcPr>
            <w:tcW w:w="4037" w:type="dxa"/>
            <w:gridSpan w:val="3"/>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本年支出</w:t>
            </w:r>
          </w:p>
        </w:tc>
      </w:tr>
      <w:tr>
        <w:tblPrEx>
          <w:tblCellMar>
            <w:top w:w="0" w:type="dxa"/>
            <w:left w:w="0" w:type="dxa"/>
            <w:bottom w:w="0" w:type="dxa"/>
            <w:right w:w="0" w:type="dxa"/>
          </w:tblCellMar>
        </w:tblPrEx>
        <w:trPr>
          <w:trHeight w:val="615" w:hRule="atLeast"/>
          <w:jc w:val="center"/>
        </w:trPr>
        <w:tc>
          <w:tcPr>
            <w:tcW w:w="110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功能分类科目编码</w:t>
            </w:r>
          </w:p>
        </w:tc>
        <w:tc>
          <w:tcPr>
            <w:tcW w:w="4450"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科目名称</w:t>
            </w:r>
          </w:p>
        </w:tc>
        <w:tc>
          <w:tcPr>
            <w:tcW w:w="85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小计</w:t>
            </w:r>
          </w:p>
        </w:tc>
        <w:tc>
          <w:tcPr>
            <w:tcW w:w="1648"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基本支出</w:t>
            </w:r>
          </w:p>
        </w:tc>
        <w:tc>
          <w:tcPr>
            <w:tcW w:w="1538"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项目支出</w:t>
            </w:r>
          </w:p>
        </w:tc>
      </w:tr>
      <w:tr>
        <w:tblPrEx>
          <w:tblCellMar>
            <w:top w:w="0" w:type="dxa"/>
            <w:left w:w="0" w:type="dxa"/>
            <w:bottom w:w="0" w:type="dxa"/>
            <w:right w:w="0" w:type="dxa"/>
          </w:tblCellMar>
        </w:tblPrEx>
        <w:trPr>
          <w:trHeight w:val="308" w:hRule="atLeast"/>
          <w:jc w:val="center"/>
        </w:trPr>
        <w:tc>
          <w:tcPr>
            <w:tcW w:w="5553"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栏次</w:t>
            </w:r>
          </w:p>
        </w:tc>
        <w:tc>
          <w:tcPr>
            <w:tcW w:w="85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1</w:t>
            </w:r>
          </w:p>
        </w:tc>
        <w:tc>
          <w:tcPr>
            <w:tcW w:w="1648"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2</w:t>
            </w:r>
          </w:p>
        </w:tc>
        <w:tc>
          <w:tcPr>
            <w:tcW w:w="1538"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3</w:t>
            </w:r>
          </w:p>
        </w:tc>
      </w:tr>
      <w:tr>
        <w:tblPrEx>
          <w:tblCellMar>
            <w:top w:w="0" w:type="dxa"/>
            <w:left w:w="0" w:type="dxa"/>
            <w:bottom w:w="0" w:type="dxa"/>
            <w:right w:w="0" w:type="dxa"/>
          </w:tblCellMar>
        </w:tblPrEx>
        <w:trPr>
          <w:trHeight w:val="308" w:hRule="atLeast"/>
          <w:jc w:val="center"/>
        </w:trPr>
        <w:tc>
          <w:tcPr>
            <w:tcW w:w="5553"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合计</w:t>
            </w:r>
          </w:p>
        </w:tc>
        <w:tc>
          <w:tcPr>
            <w:tcW w:w="85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b/>
                <w:bCs/>
                <w:color w:val="000000"/>
                <w:sz w:val="22"/>
                <w:szCs w:val="22"/>
              </w:rPr>
            </w:pPr>
          </w:p>
        </w:tc>
        <w:tc>
          <w:tcPr>
            <w:tcW w:w="164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b/>
                <w:bCs/>
                <w:color w:val="000000"/>
                <w:sz w:val="22"/>
                <w:szCs w:val="22"/>
              </w:rPr>
            </w:pPr>
          </w:p>
        </w:tc>
        <w:tc>
          <w:tcPr>
            <w:tcW w:w="153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b/>
                <w:bCs/>
                <w:color w:val="000000"/>
                <w:sz w:val="22"/>
                <w:szCs w:val="22"/>
              </w:rPr>
            </w:pPr>
          </w:p>
        </w:tc>
      </w:tr>
      <w:tr>
        <w:tblPrEx>
          <w:tblCellMar>
            <w:top w:w="0" w:type="dxa"/>
            <w:left w:w="0" w:type="dxa"/>
            <w:bottom w:w="0" w:type="dxa"/>
            <w:right w:w="0" w:type="dxa"/>
          </w:tblCellMar>
        </w:tblPrEx>
        <w:trPr>
          <w:trHeight w:val="308" w:hRule="atLeast"/>
          <w:jc w:val="center"/>
        </w:trPr>
        <w:tc>
          <w:tcPr>
            <w:tcW w:w="110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4450"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85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64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53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08" w:hRule="atLeast"/>
          <w:jc w:val="center"/>
        </w:trPr>
        <w:tc>
          <w:tcPr>
            <w:tcW w:w="110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4450"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85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64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53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04" w:hRule="atLeast"/>
          <w:jc w:val="center"/>
        </w:trPr>
        <w:tc>
          <w:tcPr>
            <w:tcW w:w="110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4450"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85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64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53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08" w:hRule="atLeast"/>
          <w:jc w:val="center"/>
        </w:trPr>
        <w:tc>
          <w:tcPr>
            <w:tcW w:w="110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4450"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85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64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53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08" w:hRule="atLeast"/>
          <w:jc w:val="center"/>
        </w:trPr>
        <w:tc>
          <w:tcPr>
            <w:tcW w:w="110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4450"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85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64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53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bl>
    <w:p>
      <w:pPr>
        <w:rPr>
          <w:rFonts w:cs="Times New Roman"/>
        </w:rPr>
      </w:pPr>
      <w:r>
        <w:rPr>
          <w:rFonts w:hint="eastAsia"/>
          <w:sz w:val="24"/>
          <w:szCs w:val="24"/>
        </w:rPr>
        <w:t>注：本</w:t>
      </w:r>
      <w:r>
        <w:rPr>
          <w:rFonts w:hint="eastAsia"/>
          <w:sz w:val="24"/>
          <w:szCs w:val="24"/>
          <w:lang w:eastAsia="zh-CN"/>
        </w:rPr>
        <w:t>部门</w:t>
      </w:r>
      <w:r>
        <w:rPr>
          <w:rFonts w:hint="eastAsia"/>
          <w:sz w:val="24"/>
          <w:szCs w:val="24"/>
        </w:rPr>
        <w:t>本年度无相关支出情况，按要求空表列示。</w:t>
      </w:r>
    </w:p>
    <w:p>
      <w:pPr>
        <w:rPr>
          <w:rFonts w:cs="Times New Roman"/>
        </w:rPr>
      </w:pPr>
    </w:p>
    <w:tbl>
      <w:tblPr>
        <w:tblStyle w:val="5"/>
        <w:tblW w:w="9455" w:type="dxa"/>
        <w:jc w:val="center"/>
        <w:tblLayout w:type="fixed"/>
        <w:tblCellMar>
          <w:top w:w="0" w:type="dxa"/>
          <w:left w:w="0" w:type="dxa"/>
          <w:bottom w:w="0" w:type="dxa"/>
          <w:right w:w="0" w:type="dxa"/>
        </w:tblCellMar>
      </w:tblPr>
      <w:tblGrid>
        <w:gridCol w:w="1267"/>
        <w:gridCol w:w="1686"/>
        <w:gridCol w:w="1565"/>
        <w:gridCol w:w="1565"/>
        <w:gridCol w:w="1565"/>
        <w:gridCol w:w="185"/>
        <w:gridCol w:w="1622"/>
      </w:tblGrid>
      <w:tr>
        <w:tblPrEx>
          <w:tblCellMar>
            <w:top w:w="0" w:type="dxa"/>
            <w:left w:w="0" w:type="dxa"/>
            <w:bottom w:w="0" w:type="dxa"/>
            <w:right w:w="0" w:type="dxa"/>
          </w:tblCellMar>
        </w:tblPrEx>
        <w:trPr>
          <w:trHeight w:val="638" w:hRule="atLeast"/>
          <w:jc w:val="center"/>
        </w:trPr>
        <w:tc>
          <w:tcPr>
            <w:tcW w:w="9455" w:type="dxa"/>
            <w:gridSpan w:val="7"/>
            <w:tcBorders>
              <w:top w:val="nil"/>
              <w:left w:val="nil"/>
              <w:bottom w:val="nil"/>
              <w:right w:val="nil"/>
            </w:tcBorders>
            <w:tcMar>
              <w:top w:w="15" w:type="dxa"/>
              <w:left w:w="15" w:type="dxa"/>
              <w:right w:w="15" w:type="dxa"/>
            </w:tcMar>
            <w:vAlign w:val="center"/>
          </w:tcPr>
          <w:p>
            <w:pPr>
              <w:widowControl/>
              <w:jc w:val="center"/>
              <w:textAlignment w:val="center"/>
              <w:rPr>
                <w:rFonts w:cs="Times New Roman"/>
              </w:rPr>
            </w:pPr>
            <w:r>
              <w:rPr>
                <w:rFonts w:hint="eastAsia" w:ascii="黑体" w:hAnsi="宋体" w:eastAsia="黑体" w:cs="黑体"/>
                <w:color w:val="000000"/>
                <w:kern w:val="0"/>
                <w:sz w:val="32"/>
                <w:szCs w:val="32"/>
              </w:rPr>
              <w:t>政拨款“三公”经费支出决算表</w:t>
            </w:r>
          </w:p>
        </w:tc>
      </w:tr>
      <w:tr>
        <w:tblPrEx>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686"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750" w:type="dxa"/>
            <w:gridSpan w:val="2"/>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622" w:type="dxa"/>
            <w:tcBorders>
              <w:top w:val="nil"/>
              <w:left w:val="nil"/>
              <w:bottom w:val="nil"/>
              <w:right w:val="nil"/>
            </w:tcBorders>
            <w:tcMar>
              <w:top w:w="15" w:type="dxa"/>
              <w:left w:w="15" w:type="dxa"/>
              <w:right w:w="15" w:type="dxa"/>
            </w:tcMar>
            <w:vAlign w:val="bottom"/>
          </w:tcPr>
          <w:p>
            <w:pPr>
              <w:widowControl/>
              <w:jc w:val="right"/>
              <w:textAlignment w:val="bottom"/>
              <w:rPr>
                <w:rFonts w:ascii="宋体" w:cs="Times New Roman"/>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w:t>
            </w:r>
            <w:r>
              <w:rPr>
                <w:rFonts w:hint="eastAsia" w:ascii="宋体" w:hAnsi="宋体" w:cs="宋体"/>
                <w:color w:val="000000"/>
                <w:kern w:val="0"/>
                <w:sz w:val="20"/>
                <w:szCs w:val="20"/>
                <w:lang w:val="en-US" w:eastAsia="zh-CN"/>
              </w:rPr>
              <w:t>9</w:t>
            </w:r>
            <w:r>
              <w:rPr>
                <w:rFonts w:hint="eastAsia" w:ascii="宋体" w:hAnsi="宋体" w:cs="宋体"/>
                <w:color w:val="000000"/>
                <w:kern w:val="0"/>
                <w:sz w:val="20"/>
                <w:szCs w:val="20"/>
              </w:rPr>
              <w:t>表</w:t>
            </w:r>
          </w:p>
        </w:tc>
      </w:tr>
      <w:tr>
        <w:tblPrEx>
          <w:tblCellMar>
            <w:top w:w="0" w:type="dxa"/>
            <w:left w:w="0" w:type="dxa"/>
            <w:bottom w:w="0" w:type="dxa"/>
            <w:right w:w="0" w:type="dxa"/>
          </w:tblCellMar>
        </w:tblPrEx>
        <w:trPr>
          <w:trHeight w:val="360" w:hRule="atLeast"/>
          <w:jc w:val="center"/>
        </w:trPr>
        <w:tc>
          <w:tcPr>
            <w:tcW w:w="4518" w:type="dxa"/>
            <w:gridSpan w:val="3"/>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r>
              <w:rPr>
                <w:rFonts w:hint="eastAsia" w:ascii="宋体" w:hAnsi="宋体" w:cs="宋体"/>
                <w:color w:val="000000"/>
                <w:kern w:val="0"/>
                <w:sz w:val="20"/>
                <w:szCs w:val="20"/>
              </w:rPr>
              <w:t>单位：石家庄市鹿泉区财政局</w:t>
            </w:r>
          </w:p>
        </w:tc>
        <w:tc>
          <w:tcPr>
            <w:tcW w:w="1565"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750" w:type="dxa"/>
            <w:gridSpan w:val="2"/>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622" w:type="dxa"/>
            <w:tcBorders>
              <w:top w:val="nil"/>
              <w:left w:val="nil"/>
              <w:bottom w:val="nil"/>
              <w:right w:val="nil"/>
            </w:tcBorders>
            <w:tcMar>
              <w:top w:w="15" w:type="dxa"/>
              <w:left w:w="15" w:type="dxa"/>
              <w:right w:w="15" w:type="dxa"/>
            </w:tcMar>
            <w:vAlign w:val="bottom"/>
          </w:tcPr>
          <w:p>
            <w:pPr>
              <w:widowControl/>
              <w:jc w:val="right"/>
              <w:textAlignment w:val="bottom"/>
              <w:rPr>
                <w:rFonts w:ascii="宋体" w:cs="Times New Roman"/>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417" w:hRule="atLeast"/>
          <w:jc w:val="center"/>
        </w:trPr>
        <w:tc>
          <w:tcPr>
            <w:tcW w:w="9455" w:type="dxa"/>
            <w:gridSpan w:val="7"/>
            <w:tcBorders>
              <w:top w:val="single" w:color="000000" w:sz="4" w:space="0"/>
              <w:left w:val="single" w:color="000000" w:sz="4" w:space="0"/>
              <w:bottom w:val="single" w:color="auto"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预算数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合计</w:t>
            </w:r>
          </w:p>
        </w:tc>
        <w:tc>
          <w:tcPr>
            <w:tcW w:w="1686" w:type="dxa"/>
            <w:vMerge w:val="restart"/>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因公出国（境）费</w:t>
            </w:r>
          </w:p>
        </w:tc>
        <w:tc>
          <w:tcPr>
            <w:tcW w:w="4695" w:type="dxa"/>
            <w:gridSpan w:val="3"/>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公务用车购置及运行费</w:t>
            </w:r>
          </w:p>
        </w:tc>
        <w:tc>
          <w:tcPr>
            <w:tcW w:w="1807" w:type="dxa"/>
            <w:gridSpan w:val="2"/>
            <w:vMerge w:val="restart"/>
            <w:tcBorders>
              <w:top w:val="single" w:color="auto" w:sz="4" w:space="0"/>
              <w:left w:val="nil"/>
              <w:bottom w:val="single" w:color="000000" w:sz="4" w:space="0"/>
              <w:right w:val="single" w:color="auto"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686"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小计</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公务用车购置费</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公务用车运行费</w:t>
            </w:r>
          </w:p>
        </w:tc>
        <w:tc>
          <w:tcPr>
            <w:tcW w:w="1807" w:type="dxa"/>
            <w:gridSpan w:val="2"/>
            <w:vMerge w:val="continue"/>
            <w:tcBorders>
              <w:top w:val="nil"/>
              <w:left w:val="nil"/>
              <w:bottom w:val="single" w:color="000000" w:sz="4" w:space="0"/>
              <w:right w:val="single" w:color="auto" w:sz="4" w:space="0"/>
            </w:tcBorders>
            <w:tcMar>
              <w:top w:w="15" w:type="dxa"/>
              <w:left w:w="15" w:type="dxa"/>
              <w:right w:w="15" w:type="dxa"/>
            </w:tcMar>
            <w:vAlign w:val="center"/>
          </w:tcPr>
          <w:p>
            <w:pPr>
              <w:jc w:val="center"/>
              <w:rPr>
                <w:rFonts w:ascii="宋体" w:cs="Times New Roman"/>
                <w:color w:val="000000"/>
                <w:sz w:val="22"/>
                <w:szCs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1</w:t>
            </w:r>
          </w:p>
        </w:tc>
        <w:tc>
          <w:tcPr>
            <w:tcW w:w="1686"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2</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3</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4</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5</w:t>
            </w:r>
          </w:p>
        </w:tc>
        <w:tc>
          <w:tcPr>
            <w:tcW w:w="1807" w:type="dxa"/>
            <w:gridSpan w:val="2"/>
            <w:tcBorders>
              <w:top w:val="nil"/>
              <w:left w:val="nil"/>
              <w:bottom w:val="single" w:color="000000" w:sz="4" w:space="0"/>
              <w:right w:val="single" w:color="auto"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6</w:t>
            </w: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10.10</w:t>
            </w:r>
          </w:p>
        </w:tc>
        <w:tc>
          <w:tcPr>
            <w:tcW w:w="168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8.10</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8.10</w:t>
            </w:r>
          </w:p>
        </w:tc>
        <w:tc>
          <w:tcPr>
            <w:tcW w:w="1807" w:type="dxa"/>
            <w:gridSpan w:val="2"/>
            <w:tcBorders>
              <w:top w:val="nil"/>
              <w:left w:val="nil"/>
              <w:bottom w:val="single" w:color="000000" w:sz="4" w:space="0"/>
              <w:right w:val="single" w:color="auto"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2.00</w:t>
            </w:r>
          </w:p>
        </w:tc>
      </w:tr>
      <w:tr>
        <w:tblPrEx>
          <w:tblCellMar>
            <w:top w:w="0" w:type="dxa"/>
            <w:left w:w="0" w:type="dxa"/>
            <w:bottom w:w="0" w:type="dxa"/>
            <w:right w:w="0" w:type="dxa"/>
          </w:tblCellMar>
        </w:tblPrEx>
        <w:trPr>
          <w:trHeight w:val="417" w:hRule="atLeast"/>
          <w:jc w:val="center"/>
        </w:trPr>
        <w:tc>
          <w:tcPr>
            <w:tcW w:w="9455" w:type="dxa"/>
            <w:gridSpan w:val="7"/>
            <w:tcBorders>
              <w:top w:val="single" w:color="000000"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决算数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合计</w:t>
            </w:r>
          </w:p>
        </w:tc>
        <w:tc>
          <w:tcPr>
            <w:tcW w:w="1686" w:type="dxa"/>
            <w:vMerge w:val="restart"/>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因公出国（境）费</w:t>
            </w:r>
          </w:p>
        </w:tc>
        <w:tc>
          <w:tcPr>
            <w:tcW w:w="4695" w:type="dxa"/>
            <w:gridSpan w:val="3"/>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公务用车购置及运行费</w:t>
            </w:r>
          </w:p>
        </w:tc>
        <w:tc>
          <w:tcPr>
            <w:tcW w:w="1807" w:type="dxa"/>
            <w:gridSpan w:val="2"/>
            <w:vMerge w:val="restart"/>
            <w:tcBorders>
              <w:top w:val="single" w:color="auto" w:sz="4" w:space="0"/>
              <w:left w:val="nil"/>
              <w:bottom w:val="single" w:color="000000" w:sz="4" w:space="0"/>
              <w:right w:val="single" w:color="auto"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686"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小计</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公务用车购置费</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公务用车运行费</w:t>
            </w:r>
          </w:p>
        </w:tc>
        <w:tc>
          <w:tcPr>
            <w:tcW w:w="1807" w:type="dxa"/>
            <w:gridSpan w:val="2"/>
            <w:vMerge w:val="continue"/>
            <w:tcBorders>
              <w:top w:val="nil"/>
              <w:left w:val="nil"/>
              <w:bottom w:val="single" w:color="000000" w:sz="4" w:space="0"/>
              <w:right w:val="single" w:color="auto" w:sz="4" w:space="0"/>
            </w:tcBorders>
            <w:tcMar>
              <w:top w:w="15" w:type="dxa"/>
              <w:left w:w="15" w:type="dxa"/>
              <w:right w:w="15" w:type="dxa"/>
            </w:tcMar>
            <w:vAlign w:val="center"/>
          </w:tcPr>
          <w:p>
            <w:pPr>
              <w:jc w:val="center"/>
              <w:rPr>
                <w:rFonts w:ascii="宋体" w:cs="Times New Roman"/>
                <w:color w:val="000000"/>
                <w:sz w:val="22"/>
                <w:szCs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7</w:t>
            </w:r>
          </w:p>
        </w:tc>
        <w:tc>
          <w:tcPr>
            <w:tcW w:w="1686"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8</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9</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10</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11</w:t>
            </w:r>
          </w:p>
        </w:tc>
        <w:tc>
          <w:tcPr>
            <w:tcW w:w="1807" w:type="dxa"/>
            <w:gridSpan w:val="2"/>
            <w:tcBorders>
              <w:top w:val="nil"/>
              <w:left w:val="nil"/>
              <w:bottom w:val="single" w:color="000000" w:sz="4" w:space="0"/>
              <w:right w:val="single" w:color="auto"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12</w:t>
            </w:r>
          </w:p>
        </w:tc>
      </w:tr>
      <w:tr>
        <w:tblPrEx>
          <w:tblCellMar>
            <w:top w:w="0" w:type="dxa"/>
            <w:left w:w="0" w:type="dxa"/>
            <w:bottom w:w="0" w:type="dxa"/>
            <w:right w:w="0" w:type="dxa"/>
          </w:tblCellMar>
        </w:tblPrEx>
        <w:trPr>
          <w:trHeight w:val="447" w:hRule="atLeast"/>
          <w:jc w:val="center"/>
        </w:trPr>
        <w:tc>
          <w:tcPr>
            <w:tcW w:w="1267" w:type="dxa"/>
            <w:tcBorders>
              <w:top w:val="nil"/>
              <w:left w:val="single" w:color="auto" w:sz="4" w:space="0"/>
              <w:bottom w:val="single" w:color="auto"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8.09</w:t>
            </w:r>
          </w:p>
        </w:tc>
        <w:tc>
          <w:tcPr>
            <w:tcW w:w="1686" w:type="dxa"/>
            <w:tcBorders>
              <w:top w:val="nil"/>
              <w:left w:val="nil"/>
              <w:bottom w:val="single" w:color="auto"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1565" w:type="dxa"/>
            <w:tcBorders>
              <w:top w:val="nil"/>
              <w:left w:val="nil"/>
              <w:bottom w:val="single" w:color="auto"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8.09</w:t>
            </w:r>
          </w:p>
        </w:tc>
        <w:tc>
          <w:tcPr>
            <w:tcW w:w="1565" w:type="dxa"/>
            <w:tcBorders>
              <w:top w:val="nil"/>
              <w:left w:val="nil"/>
              <w:bottom w:val="single" w:color="auto"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c>
          <w:tcPr>
            <w:tcW w:w="1565" w:type="dxa"/>
            <w:tcBorders>
              <w:top w:val="nil"/>
              <w:left w:val="nil"/>
              <w:bottom w:val="single" w:color="auto"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8.09</w:t>
            </w:r>
          </w:p>
        </w:tc>
        <w:tc>
          <w:tcPr>
            <w:tcW w:w="1807" w:type="dxa"/>
            <w:gridSpan w:val="2"/>
            <w:tcBorders>
              <w:top w:val="nil"/>
              <w:left w:val="nil"/>
              <w:bottom w:val="single" w:color="auto" w:sz="4" w:space="0"/>
              <w:right w:val="single" w:color="auto"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p>
        </w:tc>
      </w:tr>
    </w:tbl>
    <w:p>
      <w:pPr>
        <w:rPr>
          <w:rFonts w:cs="Times New Roman"/>
        </w:rPr>
      </w:pPr>
      <w:r>
        <w:rPr>
          <w:rFonts w:hint="eastAsia" w:ascii="宋体" w:hAnsi="宋体" w:cs="宋体"/>
        </w:rPr>
        <w:t>注：本表反映</w:t>
      </w:r>
      <w:r>
        <w:rPr>
          <w:rFonts w:hint="eastAsia" w:ascii="宋体" w:hAnsi="宋体" w:cs="宋体"/>
          <w:lang w:eastAsia="zh-CN"/>
        </w:rPr>
        <w:t>部门</w:t>
      </w:r>
      <w:r>
        <w:rPr>
          <w:rFonts w:hint="eastAsia" w:ascii="宋体" w:hAnsi="宋体" w:cs="宋体"/>
        </w:rPr>
        <w:t>本年度“三公”经费支出预决算情况。</w:t>
      </w:r>
    </w:p>
    <w:p>
      <w:pPr>
        <w:rPr>
          <w:rFonts w:cs="Times New Roman"/>
          <w:b/>
          <w:bCs/>
        </w:rPr>
      </w:pPr>
      <w:r>
        <w:rPr>
          <w:rFonts w:cs="Times New Roman"/>
          <w:b/>
          <w:bCs/>
        </w:rPr>
        <w:br w:type="page"/>
      </w:r>
    </w:p>
    <w:p>
      <w:pPr>
        <w:widowControl/>
        <w:spacing w:after="160" w:line="580" w:lineRule="exact"/>
        <w:ind w:firstLine="663" w:firstLineChars="316"/>
      </w:pPr>
    </w:p>
    <w:p>
      <w:pPr>
        <w:widowControl/>
        <w:spacing w:after="160" w:line="580" w:lineRule="exact"/>
        <w:ind w:firstLine="663" w:firstLineChars="316"/>
      </w:pPr>
    </w:p>
    <w:p>
      <w:pPr>
        <w:widowControl/>
        <w:spacing w:after="160" w:line="580" w:lineRule="exact"/>
        <w:ind w:firstLine="663" w:firstLineChars="316"/>
      </w:pPr>
    </w:p>
    <w:p>
      <w:pPr>
        <w:widowControl/>
        <w:spacing w:after="160" w:line="580" w:lineRule="exact"/>
        <w:ind w:firstLine="663" w:firstLineChars="316"/>
      </w:pPr>
    </w:p>
    <w:p>
      <w:pPr>
        <w:widowControl/>
        <w:spacing w:after="160" w:line="580" w:lineRule="exact"/>
        <w:ind w:firstLine="663" w:firstLineChars="316"/>
      </w:pPr>
    </w:p>
    <w:p>
      <w:pPr>
        <w:widowControl/>
        <w:spacing w:after="160" w:line="580" w:lineRule="exact"/>
        <w:ind w:firstLine="663" w:firstLineChars="316"/>
      </w:pPr>
    </w:p>
    <w:p>
      <w:pPr>
        <w:widowControl/>
        <w:spacing w:after="160" w:line="580" w:lineRule="exact"/>
        <w:ind w:firstLine="663" w:firstLineChars="316"/>
      </w:pPr>
      <w:r>
        <w:pict>
          <v:shape id="图片 74" o:spid="_x0000_s1042" o:spt="75" alt="32303036343138343b32303038313639313bcafdbeddb7d6cef6" type="#_x0000_t75" style="position:absolute;left:0pt;margin-left:4.85pt;margin-top:263.1pt;height:52pt;width:52pt;mso-position-vertical-relative:margin;z-index:251659264;mso-width-relative:page;mso-height-relative:page;" filled="f" o:preferrelative="t" stroked="f" coordsize="21600,21600">
            <v:path/>
            <v:fill on="f" focussize="0,0"/>
            <v:stroke on="f" joinstyle="miter"/>
            <v:imagedata r:id="rId13" o:title=""/>
            <o:lock v:ext="edit" aspectratio="t"/>
          </v:shape>
        </w:pict>
      </w:r>
    </w:p>
    <w:p>
      <w:pPr>
        <w:widowControl/>
        <w:spacing w:after="160" w:line="580" w:lineRule="exact"/>
        <w:ind w:firstLine="1390" w:firstLineChars="316"/>
        <w:rPr>
          <w:rFonts w:ascii="黑体" w:hAnsi="黑体" w:eastAsia="黑体" w:cs="Times New Roman"/>
          <w:color w:val="000000"/>
          <w:sz w:val="44"/>
          <w:szCs w:val="44"/>
        </w:rPr>
      </w:pPr>
      <w:r>
        <w:rPr>
          <w:rFonts w:hint="eastAsia" w:ascii="黑体" w:hAnsi="黑体" w:eastAsia="黑体" w:cs="黑体"/>
          <w:color w:val="000000"/>
          <w:sz w:val="44"/>
          <w:szCs w:val="44"/>
        </w:rPr>
        <w:t>第三部分</w:t>
      </w:r>
      <w:r>
        <w:rPr>
          <w:rFonts w:ascii="黑体" w:hAnsi="黑体" w:eastAsia="黑体" w:cs="黑体"/>
          <w:color w:val="000000"/>
          <w:sz w:val="44"/>
          <w:szCs w:val="44"/>
        </w:rPr>
        <w:t xml:space="preserve"> 202</w:t>
      </w:r>
      <w:r>
        <w:rPr>
          <w:rFonts w:hint="eastAsia" w:ascii="黑体" w:hAnsi="黑体" w:eastAsia="黑体" w:cs="黑体"/>
          <w:color w:val="000000"/>
          <w:sz w:val="44"/>
          <w:szCs w:val="44"/>
          <w:lang w:val="en-US" w:eastAsia="zh-CN"/>
        </w:rPr>
        <w:t>2</w:t>
      </w:r>
      <w:r>
        <w:rPr>
          <w:rFonts w:hint="eastAsia" w:ascii="黑体" w:hAnsi="黑体" w:eastAsia="黑体" w:cs="黑体"/>
          <w:color w:val="000000"/>
          <w:sz w:val="44"/>
          <w:szCs w:val="44"/>
        </w:rPr>
        <w:t>年度</w:t>
      </w:r>
      <w:r>
        <w:rPr>
          <w:rFonts w:hint="eastAsia" w:ascii="黑体" w:hAnsi="黑体" w:eastAsia="黑体" w:cs="黑体"/>
          <w:color w:val="000000"/>
          <w:sz w:val="44"/>
          <w:szCs w:val="44"/>
          <w:lang w:eastAsia="zh-CN"/>
        </w:rPr>
        <w:t>部门</w:t>
      </w:r>
      <w:r>
        <w:rPr>
          <w:rFonts w:hint="eastAsia" w:ascii="黑体" w:hAnsi="黑体" w:eastAsia="黑体" w:cs="黑体"/>
          <w:color w:val="000000"/>
          <w:sz w:val="44"/>
          <w:szCs w:val="44"/>
        </w:rPr>
        <w:t>决算情况说明</w:t>
      </w:r>
    </w:p>
    <w:p>
      <w:pPr>
        <w:rPr>
          <w:rFonts w:ascii="黑体" w:eastAsia="黑体" w:cs="Times New Roman"/>
          <w:sz w:val="32"/>
          <w:szCs w:val="32"/>
        </w:rPr>
      </w:pPr>
      <w:r>
        <w:rPr>
          <w:rFonts w:ascii="黑体" w:hAnsi="黑体" w:eastAsia="黑体" w:cs="Times New Roman"/>
          <w:color w:val="000000"/>
          <w:sz w:val="44"/>
          <w:szCs w:val="44"/>
        </w:rPr>
        <w:br w:type="page"/>
      </w:r>
    </w:p>
    <w:p>
      <w:pPr>
        <w:keepNext/>
        <w:keepLines/>
        <w:pageBreakBefore w:val="0"/>
        <w:widowControl w:val="0"/>
        <w:kinsoku/>
        <w:wordWrap/>
        <w:overflowPunct/>
        <w:topLinePunct w:val="0"/>
        <w:autoSpaceDE/>
        <w:autoSpaceDN/>
        <w:bidi w:val="0"/>
        <w:adjustRightInd/>
        <w:snapToGrid w:val="0"/>
        <w:spacing w:line="578" w:lineRule="exact"/>
        <w:ind w:left="0" w:leftChars="0" w:right="0" w:rightChars="0" w:firstLine="640" w:firstLineChars="200"/>
        <w:textAlignment w:val="auto"/>
        <w:outlineLvl w:val="1"/>
        <w:rPr>
          <w:rFonts w:ascii="黑体" w:eastAsia="黑体" w:cs="Times New Roman"/>
          <w:sz w:val="32"/>
          <w:szCs w:val="32"/>
        </w:rPr>
      </w:pPr>
      <w:r>
        <w:rPr>
          <w:rFonts w:hint="eastAsia" w:ascii="黑体" w:eastAsia="黑体" w:cs="黑体"/>
          <w:sz w:val="32"/>
          <w:szCs w:val="32"/>
        </w:rPr>
        <w:t>一、收入</w:t>
      </w:r>
      <w:r>
        <w:rPr>
          <w:rFonts w:hint="eastAsia" w:ascii="黑体" w:hAnsi="Cambria" w:eastAsia="黑体" w:cs="黑体"/>
          <w:kern w:val="0"/>
          <w:sz w:val="32"/>
          <w:szCs w:val="32"/>
        </w:rPr>
        <w:t>支出</w:t>
      </w:r>
      <w:r>
        <w:rPr>
          <w:rFonts w:hint="eastAsia" w:ascii="黑体" w:eastAsia="黑体" w:cs="黑体"/>
          <w:sz w:val="32"/>
          <w:szCs w:val="32"/>
        </w:rPr>
        <w:t>决算总体情况说明</w:t>
      </w:r>
    </w:p>
    <w:p>
      <w:pPr>
        <w:keepNext w:val="0"/>
        <w:keepLines w:val="0"/>
        <w:pageBreakBefore w:val="0"/>
        <w:widowControl w:val="0"/>
        <w:kinsoku/>
        <w:wordWrap/>
        <w:overflowPunct/>
        <w:topLinePunct w:val="0"/>
        <w:autoSpaceDE/>
        <w:autoSpaceDN/>
        <w:bidi w:val="0"/>
        <w:adjustRightInd/>
        <w:snapToGrid/>
        <w:spacing w:line="578" w:lineRule="exact"/>
        <w:ind w:left="0" w:leftChars="0" w:right="0" w:rightChars="0" w:firstLine="640" w:firstLineChars="200"/>
        <w:jc w:val="left"/>
        <w:textAlignment w:val="auto"/>
        <w:outlineLvl w:val="9"/>
        <w:rPr>
          <w:rFonts w:hint="eastAsia" w:ascii="仿宋_GB2312" w:eastAsia="仿宋_GB2312" w:cs="仿宋_GB2312"/>
          <w:kern w:val="0"/>
          <w:sz w:val="32"/>
          <w:szCs w:val="32"/>
        </w:rPr>
      </w:pPr>
      <w:r>
        <w:rPr>
          <w:rFonts w:hint="eastAsia" w:ascii="仿宋_GB2312" w:eastAsia="仿宋_GB2312" w:cs="仿宋_GB2312"/>
          <w:kern w:val="0"/>
          <w:sz w:val="32"/>
          <w:szCs w:val="32"/>
        </w:rPr>
        <w:t>本</w:t>
      </w:r>
      <w:r>
        <w:rPr>
          <w:rFonts w:hint="eastAsia" w:ascii="仿宋_GB2312" w:eastAsia="仿宋_GB2312" w:cs="仿宋_GB2312"/>
          <w:kern w:val="0"/>
          <w:sz w:val="32"/>
          <w:szCs w:val="32"/>
          <w:lang w:eastAsia="zh-CN"/>
        </w:rPr>
        <w:t>部门</w:t>
      </w:r>
      <w:r>
        <w:rPr>
          <w:rFonts w:hint="eastAsia" w:ascii="仿宋_GB2312" w:eastAsia="仿宋_GB2312" w:cs="仿宋_GB2312"/>
          <w:kern w:val="0"/>
          <w:sz w:val="32"/>
          <w:szCs w:val="32"/>
        </w:rPr>
        <w:t>202</w:t>
      </w:r>
      <w:r>
        <w:rPr>
          <w:rFonts w:hint="eastAsia" w:ascii="仿宋_GB2312" w:eastAsia="仿宋_GB2312" w:cs="仿宋_GB2312"/>
          <w:kern w:val="0"/>
          <w:sz w:val="32"/>
          <w:szCs w:val="32"/>
          <w:lang w:val="en-US" w:eastAsia="zh-CN"/>
        </w:rPr>
        <w:t>2</w:t>
      </w:r>
      <w:r>
        <w:rPr>
          <w:rFonts w:hint="eastAsia" w:ascii="仿宋_GB2312" w:eastAsia="仿宋_GB2312" w:cs="仿宋_GB2312"/>
          <w:kern w:val="0"/>
          <w:sz w:val="32"/>
          <w:szCs w:val="32"/>
        </w:rPr>
        <w:t>年度收、支总计（含结转和结余）</w:t>
      </w:r>
      <w:bookmarkStart w:id="0" w:name="OLE_LINK1"/>
      <w:r>
        <w:rPr>
          <w:rFonts w:hint="eastAsia" w:ascii="仿宋_GB2312" w:eastAsia="仿宋_GB2312" w:cs="仿宋_GB2312"/>
          <w:kern w:val="0"/>
          <w:sz w:val="32"/>
          <w:szCs w:val="32"/>
          <w:lang w:val="en-US" w:eastAsia="zh-CN"/>
        </w:rPr>
        <w:t>13549.16</w:t>
      </w:r>
      <w:bookmarkEnd w:id="0"/>
      <w:r>
        <w:rPr>
          <w:rFonts w:hint="eastAsia" w:ascii="仿宋_GB2312" w:eastAsia="仿宋_GB2312" w:cs="仿宋_GB2312"/>
          <w:kern w:val="0"/>
          <w:sz w:val="32"/>
          <w:szCs w:val="32"/>
        </w:rPr>
        <w:t>万元。与202</w:t>
      </w:r>
      <w:r>
        <w:rPr>
          <w:rFonts w:hint="eastAsia" w:ascii="仿宋_GB2312" w:eastAsia="仿宋_GB2312" w:cs="仿宋_GB2312"/>
          <w:kern w:val="0"/>
          <w:sz w:val="32"/>
          <w:szCs w:val="32"/>
          <w:lang w:val="en-US" w:eastAsia="zh-CN"/>
        </w:rPr>
        <w:t>1</w:t>
      </w:r>
      <w:r>
        <w:rPr>
          <w:rFonts w:hint="eastAsia" w:ascii="仿宋_GB2312" w:eastAsia="仿宋_GB2312" w:cs="仿宋_GB2312"/>
          <w:kern w:val="0"/>
          <w:sz w:val="32"/>
          <w:szCs w:val="32"/>
        </w:rPr>
        <w:t>年度决算相比，收支各</w:t>
      </w:r>
      <w:r>
        <w:rPr>
          <w:rFonts w:hint="eastAsia" w:ascii="仿宋_GB2312" w:eastAsia="仿宋_GB2312" w:cs="仿宋_GB2312"/>
          <w:kern w:val="0"/>
          <w:sz w:val="32"/>
          <w:szCs w:val="32"/>
          <w:lang w:eastAsia="zh-CN"/>
        </w:rPr>
        <w:t>增加</w:t>
      </w:r>
      <w:r>
        <w:rPr>
          <w:rFonts w:hint="eastAsia" w:ascii="仿宋_GB2312" w:eastAsia="仿宋_GB2312" w:cs="仿宋_GB2312"/>
          <w:kern w:val="0"/>
          <w:sz w:val="32"/>
          <w:szCs w:val="32"/>
          <w:lang w:val="en-US" w:eastAsia="zh-CN"/>
        </w:rPr>
        <w:t>11866.9</w:t>
      </w:r>
      <w:r>
        <w:rPr>
          <w:rFonts w:hint="eastAsia" w:ascii="仿宋_GB2312" w:eastAsia="仿宋_GB2312" w:cs="仿宋_GB2312"/>
          <w:kern w:val="0"/>
          <w:sz w:val="32"/>
          <w:szCs w:val="32"/>
        </w:rPr>
        <w:t>万元，</w:t>
      </w:r>
      <w:r>
        <w:rPr>
          <w:rFonts w:hint="eastAsia" w:ascii="仿宋_GB2312" w:eastAsia="仿宋_GB2312" w:cs="仿宋_GB2312"/>
          <w:kern w:val="0"/>
          <w:sz w:val="32"/>
          <w:szCs w:val="32"/>
          <w:lang w:eastAsia="zh-CN"/>
        </w:rPr>
        <w:t>增长</w:t>
      </w:r>
      <w:r>
        <w:rPr>
          <w:rFonts w:hint="eastAsia" w:ascii="仿宋_GB2312" w:eastAsia="仿宋_GB2312" w:cs="仿宋_GB2312"/>
          <w:kern w:val="0"/>
          <w:sz w:val="32"/>
          <w:szCs w:val="32"/>
          <w:lang w:val="en-US" w:eastAsia="zh-CN"/>
        </w:rPr>
        <w:t>705.4</w:t>
      </w:r>
      <w:r>
        <w:rPr>
          <w:rFonts w:hint="eastAsia" w:ascii="仿宋_GB2312" w:eastAsia="仿宋_GB2312" w:cs="仿宋_GB2312"/>
          <w:kern w:val="0"/>
          <w:sz w:val="32"/>
          <w:szCs w:val="32"/>
        </w:rPr>
        <w:t>%（如图1），主要原因是</w:t>
      </w:r>
      <w:r>
        <w:rPr>
          <w:rFonts w:hint="eastAsia" w:ascii="仿宋_GB2312" w:eastAsia="仿宋_GB2312" w:cs="仿宋_GB2312"/>
          <w:kern w:val="0"/>
          <w:sz w:val="32"/>
          <w:szCs w:val="32"/>
          <w:lang w:eastAsia="zh-CN"/>
        </w:rPr>
        <w:t>人员工资调整标准，交通补贴、通讯补贴、取暖补贴、物业补贴等纳入住房公积金缴费基数，基本支出增加</w:t>
      </w:r>
      <w:r>
        <w:rPr>
          <w:rFonts w:hint="eastAsia" w:ascii="仿宋_GB2312" w:eastAsia="仿宋_GB2312" w:cs="仿宋_GB2312"/>
          <w:kern w:val="0"/>
          <w:sz w:val="32"/>
          <w:szCs w:val="32"/>
          <w:lang w:val="en-US" w:eastAsia="zh-CN"/>
        </w:rPr>
        <w:t>；</w:t>
      </w:r>
      <w:r>
        <w:rPr>
          <w:rFonts w:hint="eastAsia" w:ascii="仿宋_GB2312" w:eastAsia="仿宋_GB2312" w:cs="仿宋_GB2312"/>
          <w:kern w:val="0"/>
          <w:sz w:val="32"/>
          <w:szCs w:val="32"/>
          <w:lang w:eastAsia="zh-CN"/>
        </w:rPr>
        <w:t>另外根据区委区政府安排，今年我局新增了缴纳土增税及资产处置应缴税费等大额资金项目</w:t>
      </w:r>
      <w:r>
        <w:rPr>
          <w:rFonts w:hint="eastAsia" w:ascii="仿宋_GB2312" w:eastAsia="仿宋_GB2312" w:cs="仿宋_GB2312"/>
          <w:kern w:val="0"/>
          <w:sz w:val="32"/>
          <w:szCs w:val="32"/>
          <w:lang w:val="en-US" w:eastAsia="zh-CN"/>
        </w:rPr>
        <w:t>。</w:t>
      </w:r>
    </w:p>
    <w:p>
      <w:pPr>
        <w:adjustRightInd w:val="0"/>
        <w:snapToGrid w:val="0"/>
        <w:spacing w:line="600" w:lineRule="exact"/>
        <w:ind w:firstLine="420" w:firstLineChars="200"/>
        <w:rPr>
          <w:rFonts w:ascii="仿宋" w:hAnsi="仿宋" w:eastAsia="仿宋" w:cs="仿宋"/>
          <w:sz w:val="32"/>
          <w:szCs w:val="32"/>
        </w:rPr>
      </w:pPr>
      <w:r>
        <w:pict>
          <v:shape id="_x0000_s1079" o:spid="_x0000_s1079" o:spt="75" type="#_x0000_t75" style="position:absolute;left:0pt;margin-left:29.2pt;margin-top:16.7pt;height:213.75pt;width:371.3pt;z-index:-251656192;mso-width-relative:page;mso-height-relative:page;" filled="f" o:preferrelative="t" stroked="f" coordsize="21600,21600" o:gfxdata="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">
            <v:path/>
            <v:fill on="f" focussize="0,0"/>
            <v:stroke on="f"/>
            <v:imagedata r:id="rId14" o:title=""/>
            <o:lock v:ext="edit" aspectratio="t"/>
          </v:shape>
        </w:pict>
      </w:r>
    </w:p>
    <w:p>
      <w:pPr>
        <w:adjustRightInd w:val="0"/>
        <w:snapToGrid w:val="0"/>
        <w:spacing w:line="600" w:lineRule="exact"/>
        <w:ind w:firstLine="640" w:firstLineChars="200"/>
        <w:rPr>
          <w:rFonts w:ascii="仿宋" w:hAnsi="仿宋" w:eastAsia="仿宋" w:cs="仿宋"/>
          <w:sz w:val="32"/>
          <w:szCs w:val="32"/>
        </w:rPr>
      </w:pPr>
    </w:p>
    <w:p>
      <w:pPr>
        <w:adjustRightInd w:val="0"/>
        <w:snapToGrid w:val="0"/>
        <w:spacing w:line="600" w:lineRule="exact"/>
        <w:ind w:firstLine="640" w:firstLineChars="200"/>
        <w:rPr>
          <w:rFonts w:ascii="仿宋" w:hAnsi="仿宋" w:eastAsia="仿宋" w:cs="仿宋"/>
          <w:sz w:val="32"/>
          <w:szCs w:val="32"/>
        </w:rPr>
      </w:pPr>
    </w:p>
    <w:p>
      <w:pPr>
        <w:adjustRightInd w:val="0"/>
        <w:snapToGrid w:val="0"/>
        <w:spacing w:line="600" w:lineRule="exact"/>
        <w:rPr>
          <w:rFonts w:ascii="仿宋" w:hAnsi="仿宋" w:eastAsia="仿宋" w:cs="仿宋"/>
          <w:sz w:val="32"/>
          <w:szCs w:val="32"/>
        </w:rPr>
      </w:pPr>
    </w:p>
    <w:p>
      <w:pPr>
        <w:adjustRightInd w:val="0"/>
        <w:snapToGrid w:val="0"/>
        <w:spacing w:line="600" w:lineRule="exact"/>
        <w:ind w:firstLine="640" w:firstLineChars="200"/>
        <w:rPr>
          <w:rFonts w:ascii="仿宋" w:hAnsi="仿宋" w:eastAsia="仿宋" w:cs="仿宋"/>
          <w:sz w:val="32"/>
          <w:szCs w:val="32"/>
        </w:rPr>
      </w:pPr>
    </w:p>
    <w:p>
      <w:pPr>
        <w:keepNext/>
        <w:keepLines/>
        <w:snapToGrid w:val="0"/>
        <w:spacing w:line="580" w:lineRule="exact"/>
        <w:outlineLvl w:val="1"/>
        <w:rPr>
          <w:rFonts w:ascii="黑体" w:eastAsia="黑体" w:cs="黑体"/>
          <w:sz w:val="32"/>
          <w:szCs w:val="32"/>
        </w:rPr>
      </w:pPr>
    </w:p>
    <w:p>
      <w:pPr>
        <w:keepNext/>
        <w:keepLines/>
        <w:snapToGrid w:val="0"/>
        <w:spacing w:line="580" w:lineRule="exact"/>
        <w:outlineLvl w:val="1"/>
        <w:rPr>
          <w:rFonts w:ascii="黑体" w:eastAsia="黑体" w:cs="黑体"/>
          <w:sz w:val="32"/>
          <w:szCs w:val="32"/>
        </w:rPr>
      </w:pPr>
    </w:p>
    <w:p>
      <w:pPr>
        <w:keepNext/>
        <w:keepLines/>
        <w:snapToGrid w:val="0"/>
        <w:spacing w:line="580" w:lineRule="exact"/>
        <w:outlineLvl w:val="1"/>
        <w:rPr>
          <w:rFonts w:ascii="黑体" w:eastAsia="黑体" w:cs="黑体"/>
          <w:sz w:val="32"/>
          <w:szCs w:val="32"/>
        </w:rPr>
      </w:pPr>
    </w:p>
    <w:p>
      <w:pPr>
        <w:adjustRightInd w:val="0"/>
        <w:snapToGrid w:val="0"/>
        <w:spacing w:after="160" w:line="400" w:lineRule="exact"/>
        <w:jc w:val="center"/>
        <w:rPr>
          <w:rFonts w:ascii="黑体" w:eastAsia="黑体" w:cs="黑体"/>
          <w:sz w:val="32"/>
          <w:szCs w:val="32"/>
        </w:rPr>
      </w:pPr>
      <w:r>
        <w:rPr>
          <w:rFonts w:hint="eastAsia" w:ascii="仿宋" w:hAnsi="仿宋" w:eastAsia="仿宋" w:cs="仿宋"/>
          <w:sz w:val="28"/>
          <w:szCs w:val="28"/>
        </w:rPr>
        <w:t>图1：202</w:t>
      </w:r>
      <w:r>
        <w:rPr>
          <w:rFonts w:hint="eastAsia" w:ascii="仿宋" w:hAnsi="仿宋" w:eastAsia="仿宋" w:cs="仿宋"/>
          <w:sz w:val="28"/>
          <w:szCs w:val="28"/>
          <w:lang w:val="en-US" w:eastAsia="zh-CN"/>
        </w:rPr>
        <w:t>1</w:t>
      </w:r>
      <w:r>
        <w:rPr>
          <w:rFonts w:hint="eastAsia" w:ascii="仿宋" w:hAnsi="仿宋" w:eastAsia="仿宋" w:cs="仿宋"/>
          <w:sz w:val="28"/>
          <w:szCs w:val="28"/>
        </w:rPr>
        <w:t>-202</w:t>
      </w:r>
      <w:r>
        <w:rPr>
          <w:rFonts w:hint="eastAsia" w:ascii="仿宋" w:hAnsi="仿宋" w:eastAsia="仿宋" w:cs="仿宋"/>
          <w:sz w:val="28"/>
          <w:szCs w:val="28"/>
          <w:lang w:val="en-US" w:eastAsia="zh-CN"/>
        </w:rPr>
        <w:t>2</w:t>
      </w:r>
      <w:r>
        <w:rPr>
          <w:rFonts w:hint="eastAsia" w:ascii="仿宋" w:hAnsi="仿宋" w:eastAsia="仿宋" w:cs="仿宋"/>
          <w:sz w:val="28"/>
          <w:szCs w:val="28"/>
        </w:rPr>
        <w:t>年收支总计对比情况</w:t>
      </w:r>
    </w:p>
    <w:p>
      <w:pPr>
        <w:keepNext/>
        <w:keepLines/>
        <w:pageBreakBefore w:val="0"/>
        <w:widowControl w:val="0"/>
        <w:kinsoku/>
        <w:wordWrap/>
        <w:overflowPunct/>
        <w:topLinePunct w:val="0"/>
        <w:autoSpaceDE/>
        <w:autoSpaceDN/>
        <w:bidi w:val="0"/>
        <w:adjustRightInd/>
        <w:snapToGrid w:val="0"/>
        <w:spacing w:line="578" w:lineRule="exact"/>
        <w:ind w:left="0" w:leftChars="0" w:right="0" w:rightChars="0" w:firstLine="640" w:firstLineChars="200"/>
        <w:textAlignment w:val="auto"/>
        <w:outlineLvl w:val="1"/>
        <w:rPr>
          <w:rFonts w:ascii="黑体" w:eastAsia="黑体" w:cs="Times New Roman"/>
          <w:sz w:val="32"/>
          <w:szCs w:val="32"/>
        </w:rPr>
      </w:pPr>
      <w:r>
        <w:rPr>
          <w:rFonts w:hint="eastAsia" w:ascii="黑体" w:eastAsia="黑体" w:cs="黑体"/>
          <w:sz w:val="32"/>
          <w:szCs w:val="32"/>
        </w:rPr>
        <w:t>二、收入决算情况说明</w:t>
      </w:r>
    </w:p>
    <w:p>
      <w:pPr>
        <w:keepNext w:val="0"/>
        <w:keepLines w:val="0"/>
        <w:pageBreakBefore w:val="0"/>
        <w:widowControl w:val="0"/>
        <w:kinsoku/>
        <w:wordWrap/>
        <w:overflowPunct/>
        <w:topLinePunct w:val="0"/>
        <w:autoSpaceDE/>
        <w:autoSpaceDN/>
        <w:bidi w:val="0"/>
        <w:adjustRightInd/>
        <w:snapToGrid/>
        <w:spacing w:line="578" w:lineRule="exact"/>
        <w:ind w:left="0" w:leftChars="0" w:right="0" w:rightChars="0" w:firstLine="640" w:firstLineChars="200"/>
        <w:jc w:val="left"/>
        <w:textAlignment w:val="auto"/>
        <w:outlineLvl w:val="9"/>
        <w:rPr>
          <w:rFonts w:hint="eastAsia" w:ascii="仿宋_GB2312" w:eastAsia="仿宋_GB2312" w:cs="仿宋_GB2312"/>
          <w:kern w:val="0"/>
          <w:sz w:val="32"/>
          <w:szCs w:val="32"/>
        </w:rPr>
      </w:pPr>
      <w:r>
        <w:rPr>
          <w:rFonts w:hint="eastAsia" w:ascii="仿宋_GB2312" w:eastAsia="仿宋_GB2312" w:cs="仿宋_GB2312"/>
          <w:kern w:val="0"/>
          <w:sz w:val="32"/>
          <w:szCs w:val="32"/>
        </w:rPr>
        <w:t>本</w:t>
      </w:r>
      <w:r>
        <w:rPr>
          <w:rFonts w:hint="eastAsia" w:ascii="仿宋_GB2312" w:eastAsia="仿宋_GB2312" w:cs="仿宋_GB2312"/>
          <w:kern w:val="0"/>
          <w:sz w:val="32"/>
          <w:szCs w:val="32"/>
          <w:lang w:eastAsia="zh-CN"/>
        </w:rPr>
        <w:t>部门</w:t>
      </w:r>
      <w:r>
        <w:rPr>
          <w:rFonts w:hint="eastAsia" w:ascii="仿宋_GB2312" w:eastAsia="仿宋_GB2312" w:cs="仿宋_GB2312"/>
          <w:kern w:val="0"/>
          <w:sz w:val="32"/>
          <w:szCs w:val="32"/>
        </w:rPr>
        <w:t>202</w:t>
      </w:r>
      <w:r>
        <w:rPr>
          <w:rFonts w:hint="eastAsia" w:ascii="仿宋_GB2312" w:eastAsia="仿宋_GB2312" w:cs="仿宋_GB2312"/>
          <w:kern w:val="0"/>
          <w:sz w:val="32"/>
          <w:szCs w:val="32"/>
          <w:lang w:val="en-US" w:eastAsia="zh-CN"/>
        </w:rPr>
        <w:t>2</w:t>
      </w:r>
      <w:r>
        <w:rPr>
          <w:rFonts w:hint="eastAsia" w:ascii="仿宋_GB2312" w:eastAsia="仿宋_GB2312" w:cs="仿宋_GB2312"/>
          <w:kern w:val="0"/>
          <w:sz w:val="32"/>
          <w:szCs w:val="32"/>
        </w:rPr>
        <w:t>年度收入合计</w:t>
      </w:r>
      <w:r>
        <w:rPr>
          <w:rFonts w:hint="eastAsia" w:ascii="仿宋_GB2312" w:eastAsia="仿宋_GB2312" w:cs="仿宋_GB2312"/>
          <w:kern w:val="0"/>
          <w:sz w:val="32"/>
          <w:szCs w:val="32"/>
          <w:lang w:val="en-US" w:eastAsia="zh-CN"/>
        </w:rPr>
        <w:t>13547.43</w:t>
      </w:r>
      <w:r>
        <w:rPr>
          <w:rFonts w:hint="eastAsia" w:ascii="仿宋_GB2312" w:eastAsia="仿宋_GB2312" w:cs="仿宋_GB2312"/>
          <w:kern w:val="0"/>
          <w:sz w:val="32"/>
          <w:szCs w:val="32"/>
        </w:rPr>
        <w:t>万元，其中：财政拨款收入</w:t>
      </w:r>
      <w:r>
        <w:rPr>
          <w:rFonts w:hint="eastAsia" w:ascii="仿宋_GB2312" w:eastAsia="仿宋_GB2312" w:cs="仿宋_GB2312"/>
          <w:kern w:val="0"/>
          <w:sz w:val="32"/>
          <w:szCs w:val="32"/>
          <w:lang w:val="en-US" w:eastAsia="zh-CN"/>
        </w:rPr>
        <w:t>13539.43</w:t>
      </w:r>
      <w:r>
        <w:rPr>
          <w:rFonts w:hint="eastAsia" w:ascii="仿宋_GB2312" w:eastAsia="仿宋_GB2312" w:cs="仿宋_GB2312"/>
          <w:kern w:val="0"/>
          <w:sz w:val="32"/>
          <w:szCs w:val="32"/>
        </w:rPr>
        <w:t>万元，占99.</w:t>
      </w:r>
      <w:r>
        <w:rPr>
          <w:rFonts w:hint="eastAsia" w:ascii="仿宋_GB2312" w:eastAsia="仿宋_GB2312" w:cs="仿宋_GB2312"/>
          <w:kern w:val="0"/>
          <w:sz w:val="32"/>
          <w:szCs w:val="32"/>
          <w:lang w:val="en-US" w:eastAsia="zh-CN"/>
        </w:rPr>
        <w:t>9</w:t>
      </w:r>
      <w:r>
        <w:rPr>
          <w:rFonts w:hint="eastAsia" w:ascii="仿宋_GB2312" w:eastAsia="仿宋_GB2312" w:cs="仿宋_GB2312"/>
          <w:kern w:val="0"/>
          <w:sz w:val="32"/>
          <w:szCs w:val="32"/>
        </w:rPr>
        <w:t>%；</w:t>
      </w:r>
      <w:r>
        <w:rPr>
          <w:rFonts w:hint="eastAsia" w:ascii="仿宋_GB2312" w:eastAsia="仿宋_GB2312" w:cs="仿宋_GB2312"/>
          <w:kern w:val="0"/>
          <w:sz w:val="32"/>
          <w:szCs w:val="32"/>
          <w:lang w:eastAsia="zh-CN"/>
        </w:rPr>
        <w:t>上级补助收入</w:t>
      </w:r>
      <w:r>
        <w:rPr>
          <w:rFonts w:hint="eastAsia" w:ascii="仿宋_GB2312" w:eastAsia="仿宋_GB2312" w:cs="仿宋_GB2312"/>
          <w:kern w:val="0"/>
          <w:sz w:val="32"/>
          <w:szCs w:val="32"/>
          <w:lang w:val="en-US" w:eastAsia="zh-CN"/>
        </w:rPr>
        <w:t>0万元，占0%；</w:t>
      </w:r>
      <w:r>
        <w:rPr>
          <w:rFonts w:hint="eastAsia" w:ascii="仿宋_GB2312" w:eastAsia="仿宋_GB2312" w:cs="仿宋_GB2312"/>
          <w:kern w:val="0"/>
          <w:sz w:val="32"/>
          <w:szCs w:val="32"/>
          <w:lang w:eastAsia="zh-CN"/>
        </w:rPr>
        <w:t>事业收入</w:t>
      </w:r>
      <w:r>
        <w:rPr>
          <w:rFonts w:hint="eastAsia" w:ascii="仿宋_GB2312" w:eastAsia="仿宋_GB2312" w:cs="仿宋_GB2312"/>
          <w:kern w:val="0"/>
          <w:sz w:val="32"/>
          <w:szCs w:val="32"/>
          <w:lang w:val="en-US" w:eastAsia="zh-CN"/>
        </w:rPr>
        <w:t>0万元，占0%；经营收入0万元，占0%；附属单位上缴收入0万元，占0%；</w:t>
      </w:r>
      <w:r>
        <w:rPr>
          <w:rFonts w:hint="eastAsia" w:ascii="仿宋_GB2312" w:eastAsia="仿宋_GB2312" w:cs="仿宋_GB2312"/>
          <w:kern w:val="0"/>
          <w:sz w:val="32"/>
          <w:szCs w:val="32"/>
        </w:rPr>
        <w:t>其他收入</w:t>
      </w:r>
      <w:r>
        <w:rPr>
          <w:rFonts w:hint="eastAsia" w:ascii="仿宋_GB2312" w:eastAsia="仿宋_GB2312" w:cs="仿宋_GB2312"/>
          <w:kern w:val="0"/>
          <w:sz w:val="32"/>
          <w:szCs w:val="32"/>
          <w:lang w:val="en-US" w:eastAsia="zh-CN"/>
        </w:rPr>
        <w:t>8</w:t>
      </w:r>
      <w:r>
        <w:rPr>
          <w:rFonts w:hint="eastAsia" w:ascii="仿宋_GB2312" w:eastAsia="仿宋_GB2312" w:cs="仿宋_GB2312"/>
          <w:kern w:val="0"/>
          <w:sz w:val="32"/>
          <w:szCs w:val="32"/>
        </w:rPr>
        <w:t>万元，占</w:t>
      </w:r>
      <w:r>
        <w:rPr>
          <w:rFonts w:hint="eastAsia" w:ascii="仿宋_GB2312" w:eastAsia="仿宋_GB2312" w:cs="仿宋_GB2312"/>
          <w:kern w:val="0"/>
          <w:sz w:val="32"/>
          <w:szCs w:val="32"/>
          <w:lang w:val="en-US" w:eastAsia="zh-CN"/>
        </w:rPr>
        <w:t>0.1</w:t>
      </w:r>
      <w:r>
        <w:rPr>
          <w:rFonts w:hint="eastAsia" w:ascii="仿宋_GB2312" w:eastAsia="仿宋_GB2312" w:cs="仿宋_GB2312"/>
          <w:kern w:val="0"/>
          <w:sz w:val="32"/>
          <w:szCs w:val="32"/>
        </w:rPr>
        <w:t>%。</w:t>
      </w:r>
    </w:p>
    <w:p>
      <w:pPr>
        <w:keepNext w:val="0"/>
        <w:keepLines w:val="0"/>
        <w:pageBreakBefore w:val="0"/>
        <w:widowControl w:val="0"/>
        <w:kinsoku/>
        <w:wordWrap/>
        <w:overflowPunct/>
        <w:topLinePunct w:val="0"/>
        <w:autoSpaceDE/>
        <w:autoSpaceDN/>
        <w:bidi w:val="0"/>
        <w:adjustRightInd/>
        <w:snapToGrid/>
        <w:spacing w:line="578" w:lineRule="exact"/>
        <w:ind w:left="0" w:leftChars="0" w:right="0" w:rightChars="0" w:firstLine="640" w:firstLineChars="200"/>
        <w:jc w:val="left"/>
        <w:textAlignment w:val="auto"/>
        <w:outlineLvl w:val="9"/>
        <w:rPr>
          <w:rFonts w:ascii="仿宋" w:hAnsi="仿宋" w:eastAsia="仿宋" w:cs="仿宋"/>
          <w:sz w:val="32"/>
          <w:szCs w:val="32"/>
        </w:rPr>
      </w:pPr>
      <w:r>
        <w:rPr>
          <w:rFonts w:hint="eastAsia" w:ascii="仿宋_GB2312" w:eastAsia="仿宋_GB2312" w:cs="仿宋_GB2312"/>
          <w:kern w:val="0"/>
          <w:sz w:val="32"/>
          <w:szCs w:val="32"/>
        </w:rPr>
        <w:t>按功能分类看：行政运行</w:t>
      </w:r>
      <w:bookmarkStart w:id="1" w:name="OLE_LINK2"/>
      <w:r>
        <w:rPr>
          <w:rFonts w:hint="eastAsia" w:ascii="仿宋_GB2312" w:eastAsia="仿宋_GB2312" w:cs="仿宋_GB2312"/>
          <w:kern w:val="0"/>
          <w:sz w:val="32"/>
          <w:szCs w:val="32"/>
          <w:lang w:val="en-US" w:eastAsia="zh-CN"/>
        </w:rPr>
        <w:t>1308.08</w:t>
      </w:r>
      <w:bookmarkEnd w:id="1"/>
      <w:r>
        <w:rPr>
          <w:rFonts w:hint="eastAsia" w:ascii="仿宋_GB2312" w:eastAsia="仿宋_GB2312" w:cs="仿宋_GB2312"/>
          <w:kern w:val="0"/>
          <w:sz w:val="32"/>
          <w:szCs w:val="32"/>
        </w:rPr>
        <w:t>万元，占</w:t>
      </w:r>
      <w:r>
        <w:rPr>
          <w:rFonts w:hint="eastAsia" w:ascii="仿宋_GB2312" w:eastAsia="仿宋_GB2312" w:cs="仿宋_GB2312"/>
          <w:kern w:val="0"/>
          <w:sz w:val="32"/>
          <w:szCs w:val="32"/>
          <w:lang w:val="en-US" w:eastAsia="zh-CN"/>
        </w:rPr>
        <w:t>9.7</w:t>
      </w:r>
      <w:r>
        <w:rPr>
          <w:rFonts w:hint="eastAsia" w:ascii="仿宋_GB2312" w:eastAsia="仿宋_GB2312" w:cs="仿宋_GB2312"/>
          <w:kern w:val="0"/>
          <w:sz w:val="32"/>
          <w:szCs w:val="32"/>
        </w:rPr>
        <w:t>%；一般行政管理事务</w:t>
      </w:r>
      <w:bookmarkStart w:id="2" w:name="OLE_LINK3"/>
      <w:r>
        <w:rPr>
          <w:rFonts w:hint="eastAsia" w:ascii="仿宋_GB2312" w:eastAsia="仿宋_GB2312" w:cs="仿宋_GB2312"/>
          <w:kern w:val="0"/>
          <w:sz w:val="32"/>
          <w:szCs w:val="32"/>
          <w:lang w:val="en-US" w:eastAsia="zh-CN"/>
        </w:rPr>
        <w:t>9.59</w:t>
      </w:r>
      <w:bookmarkEnd w:id="2"/>
      <w:r>
        <w:rPr>
          <w:rFonts w:hint="eastAsia" w:ascii="仿宋_GB2312" w:eastAsia="仿宋_GB2312" w:cs="仿宋_GB2312"/>
          <w:kern w:val="0"/>
          <w:sz w:val="32"/>
          <w:szCs w:val="32"/>
        </w:rPr>
        <w:t>万元，占</w:t>
      </w:r>
      <w:r>
        <w:rPr>
          <w:rFonts w:hint="eastAsia" w:ascii="仿宋_GB2312" w:eastAsia="仿宋_GB2312" w:cs="仿宋_GB2312"/>
          <w:kern w:val="0"/>
          <w:sz w:val="32"/>
          <w:szCs w:val="32"/>
          <w:lang w:val="en-US" w:eastAsia="zh-CN"/>
        </w:rPr>
        <w:t>0.1</w:t>
      </w:r>
      <w:r>
        <w:rPr>
          <w:rFonts w:hint="eastAsia" w:ascii="仿宋_GB2312" w:eastAsia="仿宋_GB2312" w:cs="仿宋_GB2312"/>
          <w:kern w:val="0"/>
          <w:sz w:val="32"/>
          <w:szCs w:val="32"/>
        </w:rPr>
        <w:t>%；其他财政专项业务费支出</w:t>
      </w:r>
      <w:bookmarkStart w:id="3" w:name="OLE_LINK4"/>
      <w:r>
        <w:rPr>
          <w:rFonts w:hint="eastAsia" w:ascii="仿宋_GB2312" w:eastAsia="仿宋_GB2312" w:cs="仿宋_GB2312"/>
          <w:kern w:val="0"/>
          <w:sz w:val="32"/>
          <w:szCs w:val="32"/>
          <w:lang w:val="en-US" w:eastAsia="zh-CN"/>
        </w:rPr>
        <w:t>11888.41</w:t>
      </w:r>
      <w:bookmarkEnd w:id="3"/>
      <w:r>
        <w:rPr>
          <w:rFonts w:hint="eastAsia" w:ascii="仿宋_GB2312" w:eastAsia="仿宋_GB2312" w:cs="仿宋_GB2312"/>
          <w:kern w:val="0"/>
          <w:sz w:val="32"/>
          <w:szCs w:val="32"/>
        </w:rPr>
        <w:t>万元，占</w:t>
      </w:r>
      <w:r>
        <w:rPr>
          <w:rFonts w:hint="eastAsia" w:ascii="仿宋_GB2312" w:eastAsia="仿宋_GB2312" w:cs="仿宋_GB2312"/>
          <w:kern w:val="0"/>
          <w:sz w:val="32"/>
          <w:szCs w:val="32"/>
          <w:lang w:val="en-US" w:eastAsia="zh-CN"/>
        </w:rPr>
        <w:t>87.7</w:t>
      </w:r>
      <w:r>
        <w:rPr>
          <w:rFonts w:hint="eastAsia" w:ascii="仿宋_GB2312" w:eastAsia="仿宋_GB2312" w:cs="仿宋_GB2312"/>
          <w:kern w:val="0"/>
          <w:sz w:val="32"/>
          <w:szCs w:val="32"/>
        </w:rPr>
        <w:t>% ；社会保障、医疗、住房公积金等支出</w:t>
      </w:r>
      <w:bookmarkStart w:id="4" w:name="OLE_LINK5"/>
      <w:r>
        <w:rPr>
          <w:rFonts w:hint="eastAsia" w:ascii="仿宋_GB2312" w:eastAsia="仿宋_GB2312" w:cs="仿宋_GB2312"/>
          <w:kern w:val="0"/>
          <w:sz w:val="32"/>
          <w:szCs w:val="32"/>
          <w:lang w:val="en-US" w:eastAsia="zh-CN"/>
        </w:rPr>
        <w:t>341.35</w:t>
      </w:r>
      <w:bookmarkEnd w:id="4"/>
      <w:r>
        <w:rPr>
          <w:rFonts w:hint="eastAsia" w:ascii="仿宋_GB2312" w:eastAsia="仿宋_GB2312" w:cs="仿宋_GB2312"/>
          <w:kern w:val="0"/>
          <w:sz w:val="32"/>
          <w:szCs w:val="32"/>
        </w:rPr>
        <w:t>万元，占</w:t>
      </w:r>
      <w:r>
        <w:rPr>
          <w:rFonts w:hint="eastAsia" w:ascii="仿宋_GB2312" w:eastAsia="仿宋_GB2312" w:cs="仿宋_GB2312"/>
          <w:kern w:val="0"/>
          <w:sz w:val="32"/>
          <w:szCs w:val="32"/>
          <w:lang w:val="en-US" w:eastAsia="zh-CN"/>
        </w:rPr>
        <w:t>2.5</w:t>
      </w:r>
      <w:r>
        <w:rPr>
          <w:rFonts w:hint="eastAsia" w:ascii="仿宋_GB2312" w:eastAsia="仿宋_GB2312" w:cs="仿宋_GB2312"/>
          <w:kern w:val="0"/>
          <w:sz w:val="32"/>
          <w:szCs w:val="32"/>
        </w:rPr>
        <w:t>%（见图2）。</w:t>
      </w:r>
    </w:p>
    <w:p>
      <w:pPr>
        <w:adjustRightInd w:val="0"/>
        <w:snapToGrid w:val="0"/>
        <w:spacing w:line="600" w:lineRule="exact"/>
      </w:pPr>
      <w:r>
        <w:pict>
          <v:shape id="图表 2" o:spid="_x0000_s1080" o:spt="75" type="#_x0000_t75" style="position:absolute;left:0pt;margin-left:44.25pt;margin-top:2.95pt;height:177.85pt;width:339pt;z-index:-251655168;mso-width-relative:page;mso-height-relative:page;" filled="f" o:preferrelative="t" stroked="f" coordsize="21600,21600" o:gfxdata="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">
            <v:path/>
            <v:fill on="f" focussize="0,0"/>
            <v:stroke on="f"/>
            <v:imagedata r:id="rId15" o:title=""/>
            <o:lock v:ext="edit" aspectratio="f"/>
          </v:shape>
        </w:pict>
      </w:r>
    </w:p>
    <w:p>
      <w:pPr>
        <w:adjustRightInd w:val="0"/>
        <w:snapToGrid w:val="0"/>
        <w:spacing w:line="600" w:lineRule="exact"/>
      </w:pPr>
    </w:p>
    <w:p>
      <w:pPr>
        <w:adjustRightInd w:val="0"/>
        <w:snapToGrid w:val="0"/>
        <w:spacing w:line="600" w:lineRule="exact"/>
      </w:pPr>
    </w:p>
    <w:p>
      <w:pPr>
        <w:adjustRightInd w:val="0"/>
        <w:snapToGrid w:val="0"/>
        <w:spacing w:line="600" w:lineRule="exact"/>
      </w:pPr>
    </w:p>
    <w:p>
      <w:pPr>
        <w:adjustRightInd w:val="0"/>
        <w:snapToGrid w:val="0"/>
        <w:spacing w:line="600" w:lineRule="exact"/>
      </w:pPr>
    </w:p>
    <w:p>
      <w:pPr>
        <w:keepNext/>
        <w:keepLines/>
        <w:snapToGrid w:val="0"/>
        <w:spacing w:line="580" w:lineRule="exact"/>
        <w:outlineLvl w:val="1"/>
        <w:rPr>
          <w:rFonts w:ascii="黑体" w:eastAsia="黑体" w:cs="黑体"/>
          <w:sz w:val="32"/>
          <w:szCs w:val="32"/>
        </w:rPr>
      </w:pPr>
    </w:p>
    <w:p>
      <w:pPr>
        <w:keepNext/>
        <w:keepLines/>
        <w:snapToGrid w:val="0"/>
        <w:spacing w:line="580" w:lineRule="exact"/>
        <w:ind w:firstLine="1400" w:firstLineChars="500"/>
        <w:outlineLvl w:val="1"/>
        <w:rPr>
          <w:rFonts w:ascii="黑体" w:eastAsia="黑体" w:cs="黑体"/>
          <w:sz w:val="32"/>
          <w:szCs w:val="32"/>
        </w:rPr>
      </w:pPr>
      <w:r>
        <w:rPr>
          <w:rFonts w:hint="eastAsia" w:ascii="仿宋" w:hAnsi="仿宋" w:eastAsia="仿宋" w:cs="仿宋"/>
          <w:sz w:val="28"/>
          <w:szCs w:val="28"/>
        </w:rPr>
        <w:t>图2：收入决算构成情况（按支出功能分类）</w:t>
      </w:r>
    </w:p>
    <w:p>
      <w:pPr>
        <w:keepNext/>
        <w:keepLines/>
        <w:pageBreakBefore w:val="0"/>
        <w:widowControl w:val="0"/>
        <w:kinsoku/>
        <w:wordWrap/>
        <w:overflowPunct/>
        <w:topLinePunct w:val="0"/>
        <w:autoSpaceDE/>
        <w:autoSpaceDN/>
        <w:bidi w:val="0"/>
        <w:adjustRightInd/>
        <w:snapToGrid w:val="0"/>
        <w:spacing w:line="578" w:lineRule="exact"/>
        <w:ind w:left="0" w:leftChars="0" w:right="0" w:rightChars="0" w:firstLine="640" w:firstLineChars="200"/>
        <w:textAlignment w:val="auto"/>
        <w:outlineLvl w:val="1"/>
        <w:rPr>
          <w:rFonts w:ascii="黑体" w:eastAsia="黑体" w:cs="Times New Roman"/>
          <w:sz w:val="32"/>
          <w:szCs w:val="32"/>
        </w:rPr>
      </w:pPr>
      <w:r>
        <w:rPr>
          <w:rFonts w:hint="eastAsia" w:ascii="黑体" w:eastAsia="黑体" w:cs="黑体"/>
          <w:sz w:val="32"/>
          <w:szCs w:val="32"/>
        </w:rPr>
        <w:t>三、支出决算情况说明</w:t>
      </w:r>
    </w:p>
    <w:p>
      <w:pPr>
        <w:keepNext w:val="0"/>
        <w:keepLines w:val="0"/>
        <w:pageBreakBefore w:val="0"/>
        <w:widowControl w:val="0"/>
        <w:kinsoku/>
        <w:wordWrap/>
        <w:overflowPunct/>
        <w:topLinePunct w:val="0"/>
        <w:autoSpaceDE/>
        <w:autoSpaceDN/>
        <w:bidi w:val="0"/>
        <w:adjustRightInd/>
        <w:snapToGrid/>
        <w:spacing w:line="578" w:lineRule="exact"/>
        <w:ind w:left="0" w:leftChars="0" w:right="0" w:rightChars="0" w:firstLine="640" w:firstLineChars="200"/>
        <w:jc w:val="left"/>
        <w:textAlignment w:val="auto"/>
        <w:outlineLvl w:val="9"/>
        <w:rPr>
          <w:rFonts w:hint="eastAsia" w:ascii="仿宋_GB2312" w:eastAsia="仿宋_GB2312" w:cs="仿宋_GB2312"/>
          <w:kern w:val="0"/>
          <w:sz w:val="32"/>
          <w:szCs w:val="32"/>
        </w:rPr>
      </w:pPr>
      <w:r>
        <w:rPr>
          <w:rFonts w:hint="eastAsia" w:ascii="仿宋_GB2312" w:eastAsia="仿宋_GB2312" w:cs="仿宋_GB2312"/>
          <w:kern w:val="0"/>
          <w:sz w:val="32"/>
          <w:szCs w:val="32"/>
        </w:rPr>
        <w:t>本</w:t>
      </w:r>
      <w:r>
        <w:rPr>
          <w:rFonts w:hint="eastAsia" w:ascii="仿宋_GB2312" w:eastAsia="仿宋_GB2312" w:cs="仿宋_GB2312"/>
          <w:kern w:val="0"/>
          <w:sz w:val="32"/>
          <w:szCs w:val="32"/>
          <w:lang w:eastAsia="zh-CN"/>
        </w:rPr>
        <w:t>部门</w:t>
      </w:r>
      <w:r>
        <w:rPr>
          <w:rFonts w:hint="eastAsia" w:ascii="仿宋_GB2312" w:eastAsia="仿宋_GB2312" w:cs="仿宋_GB2312"/>
          <w:kern w:val="0"/>
          <w:sz w:val="32"/>
          <w:szCs w:val="32"/>
        </w:rPr>
        <w:t>202</w:t>
      </w:r>
      <w:r>
        <w:rPr>
          <w:rFonts w:hint="eastAsia" w:ascii="仿宋_GB2312" w:eastAsia="仿宋_GB2312" w:cs="仿宋_GB2312"/>
          <w:kern w:val="0"/>
          <w:sz w:val="32"/>
          <w:szCs w:val="32"/>
          <w:lang w:val="en-US" w:eastAsia="zh-CN"/>
        </w:rPr>
        <w:t>2</w:t>
      </w:r>
      <w:r>
        <w:rPr>
          <w:rFonts w:hint="eastAsia" w:ascii="仿宋_GB2312" w:eastAsia="仿宋_GB2312" w:cs="仿宋_GB2312"/>
          <w:kern w:val="0"/>
          <w:sz w:val="32"/>
          <w:szCs w:val="32"/>
        </w:rPr>
        <w:t>年度本年支出合计</w:t>
      </w:r>
      <w:r>
        <w:rPr>
          <w:rFonts w:hint="eastAsia" w:ascii="仿宋_GB2312" w:eastAsia="仿宋_GB2312" w:cs="仿宋_GB2312"/>
          <w:kern w:val="0"/>
          <w:sz w:val="32"/>
          <w:szCs w:val="32"/>
          <w:lang w:val="en-US" w:eastAsia="zh-CN"/>
        </w:rPr>
        <w:t>13546.55</w:t>
      </w:r>
      <w:r>
        <w:rPr>
          <w:rFonts w:hint="eastAsia" w:ascii="仿宋_GB2312" w:eastAsia="仿宋_GB2312" w:cs="仿宋_GB2312"/>
          <w:kern w:val="0"/>
          <w:sz w:val="32"/>
          <w:szCs w:val="32"/>
        </w:rPr>
        <w:t>万元，按支出性质看，基本支出</w:t>
      </w:r>
      <w:bookmarkStart w:id="5" w:name="OLE_LINK6"/>
      <w:r>
        <w:rPr>
          <w:rFonts w:hint="eastAsia" w:ascii="仿宋_GB2312" w:eastAsia="仿宋_GB2312" w:cs="仿宋_GB2312"/>
          <w:kern w:val="0"/>
          <w:sz w:val="32"/>
          <w:szCs w:val="32"/>
          <w:lang w:val="en-US" w:eastAsia="zh-CN"/>
        </w:rPr>
        <w:t>1649.43</w:t>
      </w:r>
      <w:bookmarkEnd w:id="5"/>
      <w:r>
        <w:rPr>
          <w:rFonts w:hint="eastAsia" w:ascii="仿宋_GB2312" w:eastAsia="仿宋_GB2312" w:cs="仿宋_GB2312"/>
          <w:kern w:val="0"/>
          <w:sz w:val="32"/>
          <w:szCs w:val="32"/>
        </w:rPr>
        <w:t>万元，占全部支出的</w:t>
      </w:r>
      <w:r>
        <w:rPr>
          <w:rFonts w:hint="eastAsia" w:ascii="仿宋_GB2312" w:eastAsia="仿宋_GB2312" w:cs="仿宋_GB2312"/>
          <w:kern w:val="0"/>
          <w:sz w:val="32"/>
          <w:szCs w:val="32"/>
          <w:lang w:val="en-US" w:eastAsia="zh-CN"/>
        </w:rPr>
        <w:t>12.2</w:t>
      </w:r>
      <w:r>
        <w:rPr>
          <w:rFonts w:hint="eastAsia" w:ascii="仿宋_GB2312" w:eastAsia="仿宋_GB2312" w:cs="仿宋_GB2312"/>
          <w:kern w:val="0"/>
          <w:sz w:val="32"/>
          <w:szCs w:val="32"/>
        </w:rPr>
        <w:t>%，项目支出</w:t>
      </w:r>
      <w:bookmarkStart w:id="6" w:name="OLE_LINK7"/>
      <w:r>
        <w:rPr>
          <w:rFonts w:hint="eastAsia" w:ascii="仿宋_GB2312" w:eastAsia="仿宋_GB2312" w:cs="仿宋_GB2312"/>
          <w:kern w:val="0"/>
          <w:sz w:val="32"/>
          <w:szCs w:val="32"/>
          <w:lang w:val="en-US" w:eastAsia="zh-CN"/>
        </w:rPr>
        <w:t>11897.12</w:t>
      </w:r>
      <w:bookmarkEnd w:id="6"/>
      <w:r>
        <w:rPr>
          <w:rFonts w:hint="eastAsia" w:ascii="仿宋_GB2312" w:eastAsia="仿宋_GB2312" w:cs="仿宋_GB2312"/>
          <w:kern w:val="0"/>
          <w:sz w:val="32"/>
          <w:szCs w:val="32"/>
        </w:rPr>
        <w:t>万元，占全部支出的</w:t>
      </w:r>
      <w:r>
        <w:rPr>
          <w:rFonts w:hint="eastAsia" w:ascii="仿宋_GB2312" w:eastAsia="仿宋_GB2312" w:cs="仿宋_GB2312"/>
          <w:kern w:val="0"/>
          <w:sz w:val="32"/>
          <w:szCs w:val="32"/>
          <w:lang w:val="en-US" w:eastAsia="zh-CN"/>
        </w:rPr>
        <w:t>87.8</w:t>
      </w:r>
      <w:r>
        <w:rPr>
          <w:rFonts w:hint="eastAsia" w:ascii="仿宋_GB2312" w:eastAsia="仿宋_GB2312" w:cs="仿宋_GB2312"/>
          <w:kern w:val="0"/>
          <w:sz w:val="32"/>
          <w:szCs w:val="32"/>
        </w:rPr>
        <w:t>%。（见图3）。</w:t>
      </w:r>
    </w:p>
    <w:p>
      <w:pPr>
        <w:adjustRightInd w:val="0"/>
        <w:snapToGrid w:val="0"/>
        <w:spacing w:line="580" w:lineRule="exact"/>
        <w:ind w:firstLine="420" w:firstLineChars="200"/>
        <w:rPr>
          <w:rFonts w:ascii="仿宋" w:hAnsi="仿宋" w:eastAsia="仿宋" w:cs="仿宋"/>
          <w:sz w:val="28"/>
          <w:szCs w:val="28"/>
        </w:rPr>
      </w:pPr>
      <w:r>
        <w:pict>
          <v:shape id="图表 1" o:spid="_x0000_s1081" o:spt="75" type="#_x0000_t75" style="position:absolute;left:0pt;margin-left:24pt;margin-top:2.95pt;height:219.05pt;width:361.5pt;z-index:-251654144;mso-width-relative:page;mso-height-relative:page;" filled="f" o:preferrelative="t" stroked="f" coordsize="21600,21600" o:gfxdata="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">
            <v:path/>
            <v:fill on="f" focussize="0,0"/>
            <v:stroke on="f"/>
            <v:imagedata r:id="rId16" o:title=""/>
            <o:lock v:ext="edit" aspectratio="f"/>
          </v:shape>
        </w:pict>
      </w:r>
    </w:p>
    <w:p>
      <w:pPr>
        <w:keepNext/>
        <w:keepLines/>
        <w:snapToGrid w:val="0"/>
        <w:spacing w:line="580" w:lineRule="exact"/>
        <w:ind w:firstLine="1400" w:firstLineChars="500"/>
        <w:outlineLvl w:val="1"/>
        <w:rPr>
          <w:rFonts w:ascii="仿宋" w:hAnsi="仿宋" w:eastAsia="仿宋" w:cs="仿宋"/>
          <w:sz w:val="28"/>
          <w:szCs w:val="28"/>
        </w:rPr>
      </w:pPr>
    </w:p>
    <w:p>
      <w:pPr>
        <w:keepNext/>
        <w:keepLines/>
        <w:snapToGrid w:val="0"/>
        <w:spacing w:line="580" w:lineRule="exact"/>
        <w:outlineLvl w:val="1"/>
        <w:rPr>
          <w:rFonts w:ascii="仿宋" w:hAnsi="仿宋" w:eastAsia="仿宋" w:cs="仿宋"/>
          <w:sz w:val="28"/>
          <w:szCs w:val="28"/>
        </w:rPr>
      </w:pPr>
    </w:p>
    <w:p>
      <w:pPr>
        <w:keepNext/>
        <w:keepLines/>
        <w:snapToGrid w:val="0"/>
        <w:spacing w:line="580" w:lineRule="exact"/>
        <w:outlineLvl w:val="1"/>
        <w:rPr>
          <w:rFonts w:ascii="仿宋" w:hAnsi="仿宋" w:eastAsia="仿宋" w:cs="仿宋"/>
          <w:sz w:val="28"/>
          <w:szCs w:val="28"/>
        </w:rPr>
      </w:pPr>
    </w:p>
    <w:p>
      <w:pPr>
        <w:spacing w:line="580" w:lineRule="exact"/>
        <w:ind w:firstLine="640" w:firstLineChars="200"/>
        <w:outlineLvl w:val="1"/>
        <w:rPr>
          <w:rFonts w:ascii="黑体" w:eastAsia="黑体" w:cs="黑体"/>
          <w:sz w:val="32"/>
          <w:szCs w:val="32"/>
        </w:rPr>
      </w:pPr>
    </w:p>
    <w:p>
      <w:pPr>
        <w:keepNext/>
        <w:keepLines/>
        <w:snapToGrid w:val="0"/>
        <w:spacing w:line="580" w:lineRule="exact"/>
        <w:outlineLvl w:val="1"/>
        <w:rPr>
          <w:rFonts w:hint="eastAsia" w:ascii="仿宋" w:hAnsi="仿宋" w:eastAsia="仿宋" w:cs="仿宋"/>
          <w:sz w:val="28"/>
          <w:szCs w:val="28"/>
        </w:rPr>
      </w:pPr>
    </w:p>
    <w:p>
      <w:pPr>
        <w:keepNext/>
        <w:keepLines/>
        <w:snapToGrid w:val="0"/>
        <w:spacing w:line="580" w:lineRule="exact"/>
        <w:ind w:firstLine="1400" w:firstLineChars="500"/>
        <w:outlineLvl w:val="1"/>
        <w:rPr>
          <w:rFonts w:ascii="仿宋_GB2312" w:hAnsi="Times New Roman" w:eastAsia="仿宋_GB2312" w:cs="仿宋_GB2312"/>
          <w:sz w:val="32"/>
          <w:szCs w:val="32"/>
        </w:rPr>
      </w:pPr>
      <w:r>
        <w:rPr>
          <w:rFonts w:hint="eastAsia" w:ascii="仿宋" w:hAnsi="仿宋" w:eastAsia="仿宋" w:cs="仿宋"/>
          <w:sz w:val="28"/>
          <w:szCs w:val="28"/>
        </w:rPr>
        <w:t>图3:支出决算构成情况（按支出性质分类）</w:t>
      </w:r>
    </w:p>
    <w:p>
      <w:pPr>
        <w:keepNext w:val="0"/>
        <w:keepLines w:val="0"/>
        <w:pageBreakBefore w:val="0"/>
        <w:widowControl w:val="0"/>
        <w:kinsoku/>
        <w:wordWrap/>
        <w:overflowPunct/>
        <w:topLinePunct w:val="0"/>
        <w:autoSpaceDE/>
        <w:autoSpaceDN/>
        <w:bidi w:val="0"/>
        <w:adjustRightInd/>
        <w:spacing w:line="578" w:lineRule="exact"/>
        <w:ind w:left="0" w:leftChars="0" w:right="0" w:rightChars="0" w:firstLine="640" w:firstLineChars="200"/>
        <w:textAlignment w:val="auto"/>
        <w:outlineLvl w:val="1"/>
        <w:rPr>
          <w:rFonts w:ascii="黑体" w:eastAsia="黑体" w:cs="Times New Roman"/>
          <w:sz w:val="32"/>
          <w:szCs w:val="32"/>
        </w:rPr>
      </w:pPr>
      <w:r>
        <w:rPr>
          <w:rFonts w:hint="eastAsia" w:ascii="黑体" w:eastAsia="黑体" w:cs="黑体"/>
          <w:sz w:val="32"/>
          <w:szCs w:val="32"/>
        </w:rPr>
        <w:t>四、</w:t>
      </w:r>
      <w:r>
        <w:rPr>
          <w:rFonts w:hint="eastAsia" w:ascii="黑体" w:hAnsi="Cambria" w:eastAsia="黑体" w:cs="黑体"/>
          <w:kern w:val="0"/>
          <w:sz w:val="32"/>
          <w:szCs w:val="32"/>
        </w:rPr>
        <w:t>财政</w:t>
      </w:r>
      <w:r>
        <w:rPr>
          <w:rFonts w:hint="eastAsia" w:ascii="黑体" w:eastAsia="黑体" w:cs="黑体"/>
          <w:sz w:val="32"/>
          <w:szCs w:val="32"/>
        </w:rPr>
        <w:t>拨款收入支出决算总体情况说明</w:t>
      </w:r>
    </w:p>
    <w:p>
      <w:pPr>
        <w:keepNext w:val="0"/>
        <w:keepLines w:val="0"/>
        <w:pageBreakBefore w:val="0"/>
        <w:widowControl w:val="0"/>
        <w:kinsoku/>
        <w:wordWrap/>
        <w:overflowPunct/>
        <w:topLinePunct w:val="0"/>
        <w:autoSpaceDE/>
        <w:autoSpaceDN/>
        <w:bidi w:val="0"/>
        <w:adjustRightInd/>
        <w:snapToGrid w:val="0"/>
        <w:spacing w:line="578" w:lineRule="exact"/>
        <w:ind w:left="0" w:leftChars="0" w:right="0" w:rightChars="0" w:firstLine="643" w:firstLineChars="200"/>
        <w:textAlignment w:val="auto"/>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（一）财政拨款收支与</w:t>
      </w:r>
      <w:r>
        <w:rPr>
          <w:rFonts w:ascii="楷体_GB2312" w:hAnsi="Times New Roman" w:eastAsia="楷体_GB2312" w:cs="楷体_GB2312"/>
          <w:b/>
          <w:bCs/>
          <w:sz w:val="32"/>
          <w:szCs w:val="32"/>
        </w:rPr>
        <w:t>202</w:t>
      </w:r>
      <w:r>
        <w:rPr>
          <w:rFonts w:hint="eastAsia" w:ascii="楷体_GB2312" w:hAnsi="Times New Roman" w:eastAsia="楷体_GB2312" w:cs="楷体_GB2312"/>
          <w:b/>
          <w:bCs/>
          <w:sz w:val="32"/>
          <w:szCs w:val="32"/>
          <w:lang w:val="en-US" w:eastAsia="zh-CN"/>
        </w:rPr>
        <w:t>1</w:t>
      </w:r>
      <w:r>
        <w:rPr>
          <w:rFonts w:hint="eastAsia" w:ascii="楷体_GB2312" w:hAnsi="Times New Roman" w:eastAsia="楷体_GB2312" w:cs="楷体_GB2312"/>
          <w:b/>
          <w:bCs/>
          <w:sz w:val="32"/>
          <w:szCs w:val="32"/>
        </w:rPr>
        <w:t>年度决算对比情况</w:t>
      </w:r>
    </w:p>
    <w:p>
      <w:pPr>
        <w:keepNext w:val="0"/>
        <w:keepLines w:val="0"/>
        <w:pageBreakBefore w:val="0"/>
        <w:widowControl w:val="0"/>
        <w:kinsoku/>
        <w:wordWrap/>
        <w:overflowPunct/>
        <w:topLinePunct w:val="0"/>
        <w:autoSpaceDE/>
        <w:autoSpaceDN/>
        <w:bidi w:val="0"/>
        <w:adjustRightInd/>
        <w:snapToGrid/>
        <w:spacing w:line="578" w:lineRule="exact"/>
        <w:ind w:left="0" w:leftChars="0" w:right="0" w:rightChars="0" w:firstLine="420" w:firstLineChars="200"/>
        <w:jc w:val="left"/>
        <w:textAlignment w:val="auto"/>
        <w:outlineLvl w:val="9"/>
        <w:rPr>
          <w:rFonts w:hint="eastAsia" w:ascii="仿宋_GB2312" w:eastAsia="仿宋_GB2312" w:cs="仿宋_GB2312"/>
          <w:kern w:val="0"/>
          <w:sz w:val="32"/>
          <w:szCs w:val="32"/>
          <w:lang w:val="en-US" w:eastAsia="zh-CN"/>
        </w:rPr>
      </w:pPr>
      <w:r>
        <w:pict>
          <v:shape id="_x0000_s1082" o:spid="_x0000_s1082" o:spt="75" type="#_x0000_t75" style="position:absolute;left:0pt;margin-left:45.75pt;margin-top:229.55pt;height:210.05pt;width:361.5pt;z-index:-251653120;mso-width-relative:page;mso-height-relative:page;" filled="f" o:preferrelative="t" stroked="f" coordsize="21600,21600" o:gfxdata="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">
            <v:path/>
            <v:fill on="f" focussize="0,0"/>
            <v:stroke on="f"/>
            <v:imagedata r:id="rId17" o:title=""/>
            <o:lock v:ext="edit" aspectratio="f"/>
          </v:shape>
        </w:pict>
      </w:r>
      <w:r>
        <w:rPr>
          <w:rFonts w:hint="eastAsia" w:ascii="仿宋_GB2312" w:eastAsia="仿宋_GB2312" w:cs="仿宋_GB2312"/>
          <w:kern w:val="0"/>
          <w:sz w:val="32"/>
          <w:szCs w:val="32"/>
        </w:rPr>
        <w:t>本</w:t>
      </w:r>
      <w:r>
        <w:rPr>
          <w:rFonts w:hint="eastAsia" w:ascii="仿宋_GB2312" w:eastAsia="仿宋_GB2312" w:cs="仿宋_GB2312"/>
          <w:kern w:val="0"/>
          <w:sz w:val="32"/>
          <w:szCs w:val="32"/>
          <w:lang w:eastAsia="zh-CN"/>
        </w:rPr>
        <w:t>部门</w:t>
      </w:r>
      <w:r>
        <w:rPr>
          <w:rFonts w:hint="eastAsia" w:ascii="仿宋_GB2312" w:eastAsia="仿宋_GB2312" w:cs="仿宋_GB2312"/>
          <w:kern w:val="0"/>
          <w:sz w:val="32"/>
          <w:szCs w:val="32"/>
        </w:rPr>
        <w:t>202</w:t>
      </w:r>
      <w:r>
        <w:rPr>
          <w:rFonts w:hint="eastAsia" w:ascii="仿宋_GB2312" w:eastAsia="仿宋_GB2312" w:cs="仿宋_GB2312"/>
          <w:kern w:val="0"/>
          <w:sz w:val="32"/>
          <w:szCs w:val="32"/>
          <w:lang w:val="en-US" w:eastAsia="zh-CN"/>
        </w:rPr>
        <w:t>2</w:t>
      </w:r>
      <w:r>
        <w:rPr>
          <w:rFonts w:hint="eastAsia" w:ascii="仿宋_GB2312" w:eastAsia="仿宋_GB2312" w:cs="仿宋_GB2312"/>
          <w:kern w:val="0"/>
          <w:sz w:val="32"/>
          <w:szCs w:val="32"/>
        </w:rPr>
        <w:t>年度形成的财政拨款收支均为一般公共预算财政拨款，其中本年收入</w:t>
      </w:r>
      <w:bookmarkStart w:id="7" w:name="OLE_LINK8"/>
      <w:r>
        <w:rPr>
          <w:rFonts w:hint="eastAsia" w:ascii="仿宋_GB2312" w:eastAsia="仿宋_GB2312" w:cs="仿宋_GB2312"/>
          <w:kern w:val="0"/>
          <w:sz w:val="32"/>
          <w:szCs w:val="32"/>
          <w:lang w:val="en-US" w:eastAsia="zh-CN"/>
        </w:rPr>
        <w:t>13539.43</w:t>
      </w:r>
      <w:bookmarkEnd w:id="7"/>
      <w:r>
        <w:rPr>
          <w:rFonts w:hint="eastAsia" w:ascii="仿宋_GB2312" w:eastAsia="仿宋_GB2312" w:cs="仿宋_GB2312"/>
          <w:kern w:val="0"/>
          <w:sz w:val="32"/>
          <w:szCs w:val="32"/>
        </w:rPr>
        <w:t>万元,比202</w:t>
      </w:r>
      <w:r>
        <w:rPr>
          <w:rFonts w:hint="eastAsia" w:ascii="仿宋_GB2312" w:eastAsia="仿宋_GB2312" w:cs="仿宋_GB2312"/>
          <w:kern w:val="0"/>
          <w:sz w:val="32"/>
          <w:szCs w:val="32"/>
          <w:lang w:val="en-US" w:eastAsia="zh-CN"/>
        </w:rPr>
        <w:t>1</w:t>
      </w:r>
      <w:r>
        <w:rPr>
          <w:rFonts w:hint="eastAsia" w:ascii="仿宋_GB2312" w:eastAsia="仿宋_GB2312" w:cs="仿宋_GB2312"/>
          <w:kern w:val="0"/>
          <w:sz w:val="32"/>
          <w:szCs w:val="32"/>
        </w:rPr>
        <w:t>年度</w:t>
      </w:r>
      <w:r>
        <w:rPr>
          <w:rFonts w:hint="eastAsia" w:ascii="仿宋_GB2312" w:eastAsia="仿宋_GB2312" w:cs="仿宋_GB2312"/>
          <w:kern w:val="0"/>
          <w:sz w:val="32"/>
          <w:szCs w:val="32"/>
          <w:lang w:eastAsia="zh-CN"/>
        </w:rPr>
        <w:t>增加</w:t>
      </w:r>
      <w:r>
        <w:rPr>
          <w:rFonts w:hint="eastAsia" w:ascii="仿宋_GB2312" w:eastAsia="仿宋_GB2312" w:cs="仿宋_GB2312"/>
          <w:kern w:val="0"/>
          <w:sz w:val="32"/>
          <w:szCs w:val="32"/>
          <w:lang w:val="en-US" w:eastAsia="zh-CN"/>
        </w:rPr>
        <w:t>11890.61</w:t>
      </w:r>
      <w:r>
        <w:rPr>
          <w:rFonts w:hint="eastAsia" w:ascii="仿宋_GB2312" w:eastAsia="仿宋_GB2312" w:cs="仿宋_GB2312"/>
          <w:kern w:val="0"/>
          <w:sz w:val="32"/>
          <w:szCs w:val="32"/>
        </w:rPr>
        <w:t>万元，</w:t>
      </w:r>
      <w:r>
        <w:rPr>
          <w:rFonts w:hint="eastAsia" w:ascii="仿宋_GB2312" w:eastAsia="仿宋_GB2312" w:cs="仿宋_GB2312"/>
          <w:kern w:val="0"/>
          <w:sz w:val="32"/>
          <w:szCs w:val="32"/>
          <w:lang w:eastAsia="zh-CN"/>
        </w:rPr>
        <w:t>增长</w:t>
      </w:r>
      <w:r>
        <w:rPr>
          <w:rFonts w:hint="eastAsia" w:ascii="仿宋_GB2312" w:eastAsia="仿宋_GB2312" w:cs="仿宋_GB2312"/>
          <w:kern w:val="0"/>
          <w:sz w:val="32"/>
          <w:szCs w:val="32"/>
          <w:lang w:val="en-US" w:eastAsia="zh-CN"/>
        </w:rPr>
        <w:t>721.2</w:t>
      </w:r>
      <w:r>
        <w:rPr>
          <w:rFonts w:hint="eastAsia" w:ascii="仿宋_GB2312" w:eastAsia="仿宋_GB2312" w:cs="仿宋_GB2312"/>
          <w:kern w:val="0"/>
          <w:sz w:val="32"/>
          <w:szCs w:val="32"/>
        </w:rPr>
        <w:t>%；本年支出</w:t>
      </w:r>
      <w:bookmarkStart w:id="8" w:name="OLE_LINK9"/>
      <w:r>
        <w:rPr>
          <w:rFonts w:hint="eastAsia" w:ascii="仿宋_GB2312" w:eastAsia="仿宋_GB2312" w:cs="仿宋_GB2312"/>
          <w:kern w:val="0"/>
          <w:sz w:val="32"/>
          <w:szCs w:val="32"/>
          <w:lang w:val="en-US" w:eastAsia="zh-CN"/>
        </w:rPr>
        <w:t>13538.55</w:t>
      </w:r>
      <w:bookmarkEnd w:id="8"/>
      <w:r>
        <w:rPr>
          <w:rFonts w:hint="eastAsia" w:ascii="仿宋_GB2312" w:eastAsia="仿宋_GB2312" w:cs="仿宋_GB2312"/>
          <w:kern w:val="0"/>
          <w:sz w:val="32"/>
          <w:szCs w:val="32"/>
        </w:rPr>
        <w:t>万元，比202</w:t>
      </w:r>
      <w:r>
        <w:rPr>
          <w:rFonts w:hint="eastAsia" w:ascii="仿宋_GB2312" w:eastAsia="仿宋_GB2312" w:cs="仿宋_GB2312"/>
          <w:kern w:val="0"/>
          <w:sz w:val="32"/>
          <w:szCs w:val="32"/>
          <w:lang w:val="en-US" w:eastAsia="zh-CN"/>
        </w:rPr>
        <w:t>1</w:t>
      </w:r>
      <w:r>
        <w:rPr>
          <w:rFonts w:hint="eastAsia" w:ascii="仿宋_GB2312" w:eastAsia="仿宋_GB2312" w:cs="仿宋_GB2312"/>
          <w:kern w:val="0"/>
          <w:sz w:val="32"/>
          <w:szCs w:val="32"/>
        </w:rPr>
        <w:t>年度</w:t>
      </w:r>
      <w:r>
        <w:rPr>
          <w:rFonts w:hint="eastAsia" w:ascii="仿宋_GB2312" w:eastAsia="仿宋_GB2312" w:cs="仿宋_GB2312"/>
          <w:kern w:val="0"/>
          <w:sz w:val="32"/>
          <w:szCs w:val="32"/>
          <w:lang w:eastAsia="zh-CN"/>
        </w:rPr>
        <w:t>增加</w:t>
      </w:r>
      <w:r>
        <w:rPr>
          <w:rFonts w:hint="eastAsia" w:ascii="仿宋_GB2312" w:eastAsia="仿宋_GB2312" w:cs="仿宋_GB2312"/>
          <w:kern w:val="0"/>
          <w:sz w:val="32"/>
          <w:szCs w:val="32"/>
          <w:lang w:val="en-US" w:eastAsia="zh-CN"/>
        </w:rPr>
        <w:t>11873.63</w:t>
      </w:r>
      <w:r>
        <w:rPr>
          <w:rFonts w:hint="eastAsia" w:ascii="仿宋_GB2312" w:eastAsia="仿宋_GB2312" w:cs="仿宋_GB2312"/>
          <w:kern w:val="0"/>
          <w:sz w:val="32"/>
          <w:szCs w:val="32"/>
        </w:rPr>
        <w:t>万元，</w:t>
      </w:r>
      <w:r>
        <w:rPr>
          <w:rFonts w:hint="eastAsia" w:ascii="仿宋_GB2312" w:eastAsia="仿宋_GB2312" w:cs="仿宋_GB2312"/>
          <w:kern w:val="0"/>
          <w:sz w:val="32"/>
          <w:szCs w:val="32"/>
          <w:lang w:eastAsia="zh-CN"/>
        </w:rPr>
        <w:t>增长</w:t>
      </w:r>
      <w:r>
        <w:rPr>
          <w:rFonts w:hint="eastAsia" w:ascii="仿宋_GB2312" w:eastAsia="仿宋_GB2312" w:cs="仿宋_GB2312"/>
          <w:kern w:val="0"/>
          <w:sz w:val="32"/>
          <w:szCs w:val="32"/>
          <w:lang w:val="en-US" w:eastAsia="zh-CN"/>
        </w:rPr>
        <w:t>713.2</w:t>
      </w:r>
      <w:r>
        <w:rPr>
          <w:rFonts w:hint="eastAsia" w:ascii="仿宋_GB2312" w:eastAsia="仿宋_GB2312" w:cs="仿宋_GB2312"/>
          <w:kern w:val="0"/>
          <w:sz w:val="32"/>
          <w:szCs w:val="32"/>
        </w:rPr>
        <w:t>%（见图4），收支</w:t>
      </w:r>
      <w:r>
        <w:rPr>
          <w:rFonts w:hint="eastAsia" w:ascii="仿宋_GB2312" w:eastAsia="仿宋_GB2312" w:cs="仿宋_GB2312"/>
          <w:kern w:val="0"/>
          <w:sz w:val="32"/>
          <w:szCs w:val="32"/>
          <w:lang w:eastAsia="zh-CN"/>
        </w:rPr>
        <w:t>增加</w:t>
      </w:r>
      <w:r>
        <w:rPr>
          <w:rFonts w:hint="eastAsia" w:ascii="仿宋_GB2312" w:eastAsia="仿宋_GB2312" w:cs="仿宋_GB2312"/>
          <w:kern w:val="0"/>
          <w:sz w:val="32"/>
          <w:szCs w:val="32"/>
        </w:rPr>
        <w:t>主要是</w:t>
      </w:r>
      <w:r>
        <w:rPr>
          <w:rFonts w:hint="eastAsia" w:ascii="仿宋_GB2312" w:eastAsia="仿宋_GB2312" w:cs="仿宋_GB2312"/>
          <w:kern w:val="0"/>
          <w:sz w:val="32"/>
          <w:szCs w:val="32"/>
          <w:lang w:eastAsia="zh-CN"/>
        </w:rPr>
        <w:t>人员工资调整标准，交通补贴、通讯补贴、取暖补贴、物业补贴等纳入住房公积金缴费基数，基本支出增加</w:t>
      </w:r>
      <w:r>
        <w:rPr>
          <w:rFonts w:hint="eastAsia" w:ascii="仿宋_GB2312" w:eastAsia="仿宋_GB2312" w:cs="仿宋_GB2312"/>
          <w:kern w:val="0"/>
          <w:sz w:val="32"/>
          <w:szCs w:val="32"/>
          <w:lang w:val="en-US" w:eastAsia="zh-CN"/>
        </w:rPr>
        <w:t>；</w:t>
      </w:r>
      <w:r>
        <w:rPr>
          <w:rFonts w:hint="eastAsia" w:ascii="仿宋_GB2312" w:eastAsia="仿宋_GB2312" w:cs="仿宋_GB2312"/>
          <w:kern w:val="0"/>
          <w:sz w:val="32"/>
          <w:szCs w:val="32"/>
          <w:lang w:eastAsia="zh-CN"/>
        </w:rPr>
        <w:t>另外根据区委区政府安排，今年我局新增了缴纳土增税及资产处置应缴税费等大额资金项目</w:t>
      </w:r>
      <w:r>
        <w:rPr>
          <w:rFonts w:hint="eastAsia" w:ascii="仿宋_GB2312" w:eastAsia="仿宋_GB2312" w:cs="仿宋_GB2312"/>
          <w:kern w:val="0"/>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578" w:lineRule="exact"/>
        <w:ind w:left="0" w:leftChars="0" w:right="0" w:rightChars="0" w:firstLine="640" w:firstLineChars="200"/>
        <w:jc w:val="left"/>
        <w:textAlignment w:val="auto"/>
        <w:outlineLvl w:val="9"/>
        <w:rPr>
          <w:rFonts w:hint="eastAsia" w:ascii="仿宋_GB2312" w:eastAsia="仿宋_GB2312" w:cs="仿宋_GB2312"/>
          <w:kern w:val="0"/>
          <w:sz w:val="32"/>
          <w:szCs w:val="32"/>
          <w:lang w:val="en-US" w:eastAsia="zh-CN"/>
        </w:rPr>
      </w:pPr>
    </w:p>
    <w:p>
      <w:pPr>
        <w:adjustRightInd w:val="0"/>
        <w:snapToGrid w:val="0"/>
        <w:spacing w:line="600" w:lineRule="exact"/>
        <w:rPr>
          <w:rFonts w:ascii="仿宋" w:hAnsi="仿宋" w:eastAsia="仿宋" w:cs="仿宋"/>
          <w:sz w:val="32"/>
          <w:szCs w:val="32"/>
        </w:rPr>
      </w:pPr>
    </w:p>
    <w:p>
      <w:pPr>
        <w:adjustRightInd w:val="0"/>
        <w:snapToGrid w:val="0"/>
        <w:spacing w:line="580" w:lineRule="exact"/>
        <w:ind w:firstLine="640" w:firstLineChars="200"/>
        <w:rPr>
          <w:rFonts w:ascii="仿宋_GB2312" w:hAnsi="Times New Roman" w:eastAsia="仿宋_GB2312" w:cs="仿宋_GB2312"/>
          <w:sz w:val="32"/>
          <w:szCs w:val="32"/>
        </w:rPr>
      </w:pPr>
    </w:p>
    <w:p>
      <w:pPr>
        <w:adjustRightInd w:val="0"/>
        <w:snapToGrid w:val="0"/>
        <w:spacing w:line="580" w:lineRule="exact"/>
        <w:ind w:firstLine="640" w:firstLineChars="200"/>
        <w:rPr>
          <w:rFonts w:ascii="仿宋_GB2312" w:hAnsi="Times New Roman" w:eastAsia="仿宋_GB2312" w:cs="仿宋_GB2312"/>
          <w:sz w:val="32"/>
          <w:szCs w:val="32"/>
        </w:rPr>
      </w:pPr>
    </w:p>
    <w:p>
      <w:pPr>
        <w:adjustRightInd w:val="0"/>
        <w:snapToGrid w:val="0"/>
        <w:spacing w:line="580" w:lineRule="exact"/>
        <w:ind w:firstLine="640" w:firstLineChars="200"/>
        <w:rPr>
          <w:rFonts w:ascii="仿宋_GB2312" w:hAnsi="Times New Roman" w:eastAsia="仿宋_GB2312" w:cs="仿宋_GB2312"/>
          <w:sz w:val="32"/>
          <w:szCs w:val="32"/>
        </w:rPr>
      </w:pPr>
    </w:p>
    <w:p>
      <w:pPr>
        <w:adjustRightInd w:val="0"/>
        <w:snapToGrid w:val="0"/>
        <w:spacing w:line="580" w:lineRule="exact"/>
        <w:ind w:firstLine="640" w:firstLineChars="200"/>
        <w:rPr>
          <w:rFonts w:ascii="仿宋_GB2312" w:hAnsi="Times New Roman" w:eastAsia="仿宋_GB2312" w:cs="仿宋_GB2312"/>
          <w:sz w:val="32"/>
          <w:szCs w:val="32"/>
        </w:rPr>
      </w:pPr>
    </w:p>
    <w:p>
      <w:pPr>
        <w:adjustRightInd w:val="0"/>
        <w:snapToGrid w:val="0"/>
        <w:spacing w:line="580" w:lineRule="exact"/>
        <w:ind w:firstLine="640" w:firstLineChars="200"/>
        <w:rPr>
          <w:rFonts w:ascii="仿宋_GB2312" w:hAnsi="Times New Roman" w:eastAsia="仿宋_GB2312" w:cs="仿宋_GB2312"/>
          <w:sz w:val="32"/>
          <w:szCs w:val="32"/>
        </w:rPr>
      </w:pPr>
    </w:p>
    <w:p>
      <w:pPr>
        <w:snapToGrid w:val="0"/>
        <w:spacing w:line="600" w:lineRule="exact"/>
        <w:ind w:firstLine="1960" w:firstLineChars="700"/>
        <w:rPr>
          <w:rFonts w:ascii="仿宋_GB2312" w:hAnsi="Times New Roman" w:eastAsia="仿宋_GB2312" w:cs="仿宋_GB2312"/>
          <w:sz w:val="32"/>
          <w:szCs w:val="32"/>
        </w:rPr>
      </w:pPr>
      <w:r>
        <w:rPr>
          <w:rFonts w:hint="eastAsia" w:ascii="仿宋" w:hAnsi="仿宋" w:eastAsia="仿宋" w:cs="仿宋"/>
          <w:sz w:val="28"/>
          <w:szCs w:val="28"/>
        </w:rPr>
        <w:t>图4:202</w:t>
      </w:r>
      <w:r>
        <w:rPr>
          <w:rFonts w:hint="eastAsia" w:ascii="仿宋" w:hAnsi="仿宋" w:eastAsia="仿宋" w:cs="仿宋"/>
          <w:sz w:val="28"/>
          <w:szCs w:val="28"/>
          <w:lang w:val="en-US" w:eastAsia="zh-CN"/>
        </w:rPr>
        <w:t>1</w:t>
      </w:r>
      <w:r>
        <w:rPr>
          <w:rFonts w:hint="eastAsia" w:ascii="仿宋" w:hAnsi="仿宋" w:eastAsia="仿宋" w:cs="仿宋"/>
          <w:sz w:val="28"/>
          <w:szCs w:val="28"/>
        </w:rPr>
        <w:t>-202</w:t>
      </w:r>
      <w:r>
        <w:rPr>
          <w:rFonts w:hint="eastAsia" w:ascii="仿宋" w:hAnsi="仿宋" w:eastAsia="仿宋" w:cs="仿宋"/>
          <w:sz w:val="28"/>
          <w:szCs w:val="28"/>
          <w:lang w:val="en-US" w:eastAsia="zh-CN"/>
        </w:rPr>
        <w:t>2</w:t>
      </w:r>
      <w:r>
        <w:rPr>
          <w:rFonts w:hint="eastAsia" w:ascii="仿宋" w:hAnsi="仿宋" w:eastAsia="仿宋" w:cs="仿宋"/>
          <w:sz w:val="28"/>
          <w:szCs w:val="28"/>
        </w:rPr>
        <w:t>年财政拨款收支情况</w:t>
      </w:r>
    </w:p>
    <w:p>
      <w:pPr>
        <w:keepNext w:val="0"/>
        <w:keepLines w:val="0"/>
        <w:pageBreakBefore w:val="0"/>
        <w:widowControl w:val="0"/>
        <w:kinsoku/>
        <w:wordWrap/>
        <w:overflowPunct/>
        <w:topLinePunct w:val="0"/>
        <w:autoSpaceDE/>
        <w:autoSpaceDN/>
        <w:bidi w:val="0"/>
        <w:snapToGrid w:val="0"/>
        <w:spacing w:line="578" w:lineRule="exact"/>
        <w:ind w:left="0" w:leftChars="0" w:right="0" w:rightChars="0" w:firstLine="643" w:firstLineChars="200"/>
        <w:jc w:val="both"/>
        <w:textAlignment w:val="auto"/>
        <w:outlineLvl w:val="9"/>
        <w:rPr>
          <w:rFonts w:ascii="仿宋_GB2312" w:hAnsi="Times New Roman" w:eastAsia="仿宋_GB2312" w:cs="Times New Roman"/>
          <w:b/>
          <w:bCs/>
          <w:sz w:val="32"/>
          <w:szCs w:val="32"/>
        </w:rPr>
      </w:pPr>
      <w:r>
        <w:rPr>
          <w:rFonts w:hint="eastAsia" w:ascii="楷体_GB2312" w:hAnsi="Times New Roman" w:eastAsia="楷体_GB2312" w:cs="楷体_GB2312"/>
          <w:b/>
          <w:bCs/>
          <w:sz w:val="32"/>
          <w:szCs w:val="32"/>
        </w:rPr>
        <w:t>（二）财政拨款收支与年初预算数对比情况</w:t>
      </w:r>
    </w:p>
    <w:p>
      <w:pPr>
        <w:keepNext w:val="0"/>
        <w:keepLines w:val="0"/>
        <w:pageBreakBefore w:val="0"/>
        <w:widowControl w:val="0"/>
        <w:kinsoku/>
        <w:wordWrap/>
        <w:overflowPunct/>
        <w:topLinePunct w:val="0"/>
        <w:autoSpaceDE/>
        <w:autoSpaceDN/>
        <w:bidi w:val="0"/>
        <w:adjustRightInd/>
        <w:snapToGrid/>
        <w:spacing w:line="578" w:lineRule="exact"/>
        <w:ind w:left="0" w:leftChars="0" w:right="0" w:rightChars="0" w:firstLine="640" w:firstLineChars="200"/>
        <w:jc w:val="left"/>
        <w:textAlignment w:val="auto"/>
        <w:outlineLvl w:val="9"/>
        <w:rPr>
          <w:rFonts w:hint="eastAsia" w:ascii="仿宋_GB2312" w:eastAsia="仿宋_GB2312" w:cs="仿宋_GB2312"/>
          <w:kern w:val="0"/>
          <w:sz w:val="32"/>
          <w:szCs w:val="32"/>
        </w:rPr>
      </w:pPr>
      <w:r>
        <w:rPr>
          <w:rFonts w:hint="eastAsia" w:ascii="仿宋_GB2312" w:eastAsia="仿宋_GB2312" w:cs="仿宋_GB2312"/>
          <w:kern w:val="0"/>
          <w:sz w:val="32"/>
          <w:szCs w:val="32"/>
        </w:rPr>
        <w:t>本</w:t>
      </w:r>
      <w:r>
        <w:rPr>
          <w:rFonts w:hint="eastAsia" w:ascii="仿宋_GB2312" w:eastAsia="仿宋_GB2312" w:cs="仿宋_GB2312"/>
          <w:kern w:val="0"/>
          <w:sz w:val="32"/>
          <w:szCs w:val="32"/>
          <w:lang w:eastAsia="zh-CN"/>
        </w:rPr>
        <w:t>部门</w:t>
      </w:r>
      <w:r>
        <w:rPr>
          <w:rFonts w:hint="eastAsia" w:ascii="仿宋_GB2312" w:eastAsia="仿宋_GB2312" w:cs="仿宋_GB2312"/>
          <w:kern w:val="0"/>
          <w:sz w:val="32"/>
          <w:szCs w:val="32"/>
        </w:rPr>
        <w:t>202</w:t>
      </w:r>
      <w:r>
        <w:rPr>
          <w:rFonts w:hint="eastAsia" w:ascii="仿宋_GB2312" w:eastAsia="仿宋_GB2312" w:cs="仿宋_GB2312"/>
          <w:kern w:val="0"/>
          <w:sz w:val="32"/>
          <w:szCs w:val="32"/>
          <w:lang w:val="en-US" w:eastAsia="zh-CN"/>
        </w:rPr>
        <w:t>2</w:t>
      </w:r>
      <w:r>
        <w:rPr>
          <w:rFonts w:hint="eastAsia" w:ascii="仿宋_GB2312" w:eastAsia="仿宋_GB2312" w:cs="仿宋_GB2312"/>
          <w:kern w:val="0"/>
          <w:sz w:val="32"/>
          <w:szCs w:val="32"/>
        </w:rPr>
        <w:t>年度形成的财政拨款收支均为一般公共预算财政拨款，其中本年收入</w:t>
      </w:r>
      <w:bookmarkStart w:id="9" w:name="OLE_LINK10"/>
      <w:r>
        <w:rPr>
          <w:rFonts w:hint="eastAsia" w:ascii="仿宋_GB2312" w:eastAsia="仿宋_GB2312" w:cs="仿宋_GB2312"/>
          <w:kern w:val="0"/>
          <w:sz w:val="32"/>
          <w:szCs w:val="32"/>
          <w:lang w:val="en-US" w:eastAsia="zh-CN"/>
        </w:rPr>
        <w:t>13539.43</w:t>
      </w:r>
      <w:bookmarkEnd w:id="9"/>
      <w:r>
        <w:rPr>
          <w:rFonts w:hint="eastAsia" w:ascii="仿宋_GB2312" w:eastAsia="仿宋_GB2312" w:cs="仿宋_GB2312"/>
          <w:kern w:val="0"/>
          <w:sz w:val="32"/>
          <w:szCs w:val="32"/>
        </w:rPr>
        <w:t>万元，完成年初预算的</w:t>
      </w:r>
      <w:r>
        <w:rPr>
          <w:rFonts w:hint="eastAsia" w:ascii="仿宋_GB2312" w:eastAsia="仿宋_GB2312" w:cs="仿宋_GB2312"/>
          <w:kern w:val="0"/>
          <w:sz w:val="32"/>
          <w:szCs w:val="32"/>
          <w:lang w:val="en-US" w:eastAsia="zh-CN"/>
        </w:rPr>
        <w:t>603.9</w:t>
      </w:r>
      <w:r>
        <w:rPr>
          <w:rFonts w:hint="eastAsia" w:ascii="仿宋_GB2312" w:eastAsia="仿宋_GB2312" w:cs="仿宋_GB2312"/>
          <w:kern w:val="0"/>
          <w:sz w:val="32"/>
          <w:szCs w:val="32"/>
        </w:rPr>
        <w:t>%,比年初预算</w:t>
      </w:r>
      <w:r>
        <w:rPr>
          <w:rFonts w:hint="eastAsia" w:ascii="仿宋_GB2312" w:eastAsia="仿宋_GB2312" w:cs="仿宋_GB2312"/>
          <w:kern w:val="0"/>
          <w:sz w:val="32"/>
          <w:szCs w:val="32"/>
          <w:lang w:eastAsia="zh-CN"/>
        </w:rPr>
        <w:t>增加</w:t>
      </w:r>
      <w:r>
        <w:rPr>
          <w:rFonts w:hint="eastAsia" w:ascii="仿宋_GB2312" w:eastAsia="仿宋_GB2312" w:cs="仿宋_GB2312"/>
          <w:kern w:val="0"/>
          <w:sz w:val="32"/>
          <w:szCs w:val="32"/>
          <w:lang w:val="en-US" w:eastAsia="zh-CN"/>
        </w:rPr>
        <w:t>11615.86</w:t>
      </w:r>
      <w:r>
        <w:rPr>
          <w:rFonts w:hint="eastAsia" w:ascii="仿宋_GB2312" w:eastAsia="仿宋_GB2312" w:cs="仿宋_GB2312"/>
          <w:kern w:val="0"/>
          <w:sz w:val="32"/>
          <w:szCs w:val="32"/>
        </w:rPr>
        <w:t>万元。决算数</w:t>
      </w:r>
      <w:r>
        <w:rPr>
          <w:rFonts w:hint="eastAsia" w:ascii="仿宋_GB2312" w:eastAsia="仿宋_GB2312" w:cs="仿宋_GB2312"/>
          <w:kern w:val="0"/>
          <w:sz w:val="32"/>
          <w:szCs w:val="32"/>
          <w:lang w:eastAsia="zh-CN"/>
        </w:rPr>
        <w:t>大于</w:t>
      </w:r>
      <w:r>
        <w:rPr>
          <w:rFonts w:hint="eastAsia" w:ascii="仿宋_GB2312" w:eastAsia="仿宋_GB2312" w:cs="仿宋_GB2312"/>
          <w:kern w:val="0"/>
          <w:sz w:val="32"/>
          <w:szCs w:val="32"/>
        </w:rPr>
        <w:t>预算数主要原因是</w:t>
      </w:r>
      <w:r>
        <w:rPr>
          <w:rFonts w:hint="eastAsia" w:ascii="仿宋_GB2312" w:eastAsia="仿宋_GB2312" w:cs="仿宋_GB2312"/>
          <w:kern w:val="0"/>
          <w:sz w:val="32"/>
          <w:szCs w:val="32"/>
          <w:lang w:eastAsia="zh-CN"/>
        </w:rPr>
        <w:t>人员工资调整标准，交通补贴、通讯补贴、取暖补贴、物业补贴等纳入住房公积金缴费基数，基本支出增加</w:t>
      </w:r>
      <w:r>
        <w:rPr>
          <w:rFonts w:hint="eastAsia" w:ascii="仿宋_GB2312" w:eastAsia="仿宋_GB2312" w:cs="仿宋_GB2312"/>
          <w:kern w:val="0"/>
          <w:sz w:val="32"/>
          <w:szCs w:val="32"/>
          <w:lang w:val="en-US" w:eastAsia="zh-CN"/>
        </w:rPr>
        <w:t>249.68万元，</w:t>
      </w:r>
      <w:r>
        <w:rPr>
          <w:rFonts w:hint="eastAsia" w:ascii="仿宋_GB2312" w:eastAsia="仿宋_GB2312" w:cs="仿宋_GB2312"/>
          <w:kern w:val="0"/>
          <w:sz w:val="32"/>
          <w:szCs w:val="32"/>
          <w:lang w:eastAsia="zh-CN"/>
        </w:rPr>
        <w:t>另外根据区委区政府安排，今年我局新增了缴纳土增税及资产处置应缴税费等大额资金项目等，</w:t>
      </w:r>
      <w:r>
        <w:rPr>
          <w:rFonts w:hint="eastAsia" w:ascii="仿宋_GB2312" w:eastAsia="仿宋_GB2312" w:cs="仿宋_GB2312"/>
          <w:kern w:val="0"/>
          <w:sz w:val="32"/>
          <w:szCs w:val="32"/>
        </w:rPr>
        <w:t>使项目支出较预算</w:t>
      </w:r>
      <w:r>
        <w:rPr>
          <w:rFonts w:hint="eastAsia" w:ascii="仿宋_GB2312" w:eastAsia="仿宋_GB2312" w:cs="仿宋_GB2312"/>
          <w:kern w:val="0"/>
          <w:sz w:val="32"/>
          <w:szCs w:val="32"/>
          <w:lang w:eastAsia="zh-CN"/>
        </w:rPr>
        <w:t>增加</w:t>
      </w:r>
      <w:r>
        <w:rPr>
          <w:rFonts w:hint="eastAsia" w:ascii="仿宋_GB2312" w:eastAsia="仿宋_GB2312" w:cs="仿宋_GB2312"/>
          <w:kern w:val="0"/>
          <w:sz w:val="32"/>
          <w:szCs w:val="32"/>
          <w:lang w:val="en-US" w:eastAsia="zh-CN"/>
        </w:rPr>
        <w:t>11366.18</w:t>
      </w:r>
      <w:r>
        <w:rPr>
          <w:rFonts w:hint="eastAsia" w:ascii="仿宋_GB2312" w:eastAsia="仿宋_GB2312" w:cs="仿宋_GB2312"/>
          <w:kern w:val="0"/>
          <w:sz w:val="32"/>
          <w:szCs w:val="32"/>
        </w:rPr>
        <w:t>万元</w:t>
      </w:r>
      <w:r>
        <w:rPr>
          <w:rFonts w:hint="eastAsia" w:ascii="仿宋_GB2312" w:eastAsia="仿宋_GB2312" w:cs="仿宋_GB2312"/>
          <w:kern w:val="0"/>
          <w:sz w:val="32"/>
          <w:szCs w:val="32"/>
          <w:lang w:eastAsia="zh-CN"/>
        </w:rPr>
        <w:t>；</w:t>
      </w:r>
      <w:r>
        <w:rPr>
          <w:rFonts w:hint="eastAsia" w:ascii="仿宋_GB2312" w:eastAsia="仿宋_GB2312" w:cs="仿宋_GB2312"/>
          <w:kern w:val="0"/>
          <w:sz w:val="32"/>
          <w:szCs w:val="32"/>
        </w:rPr>
        <w:t>本年支出</w:t>
      </w:r>
      <w:bookmarkStart w:id="10" w:name="OLE_LINK11"/>
      <w:r>
        <w:rPr>
          <w:rFonts w:hint="eastAsia" w:ascii="仿宋_GB2312" w:eastAsia="仿宋_GB2312" w:cs="仿宋_GB2312"/>
          <w:kern w:val="0"/>
          <w:sz w:val="32"/>
          <w:szCs w:val="32"/>
          <w:lang w:val="en-US" w:eastAsia="zh-CN"/>
        </w:rPr>
        <w:t>13538.55</w:t>
      </w:r>
      <w:bookmarkEnd w:id="10"/>
      <w:r>
        <w:rPr>
          <w:rFonts w:hint="eastAsia" w:ascii="仿宋_GB2312" w:eastAsia="仿宋_GB2312" w:cs="仿宋_GB2312"/>
          <w:kern w:val="0"/>
          <w:sz w:val="32"/>
          <w:szCs w:val="32"/>
        </w:rPr>
        <w:t>万元，完成年初预算的</w:t>
      </w:r>
      <w:r>
        <w:rPr>
          <w:rFonts w:hint="eastAsia" w:ascii="仿宋_GB2312" w:eastAsia="仿宋_GB2312" w:cs="仿宋_GB2312"/>
          <w:kern w:val="0"/>
          <w:sz w:val="32"/>
          <w:szCs w:val="32"/>
          <w:lang w:val="en-US" w:eastAsia="zh-CN"/>
        </w:rPr>
        <w:t>603.8</w:t>
      </w:r>
      <w:r>
        <w:rPr>
          <w:rFonts w:hint="eastAsia" w:ascii="仿宋_GB2312" w:eastAsia="仿宋_GB2312" w:cs="仿宋_GB2312"/>
          <w:kern w:val="0"/>
          <w:sz w:val="32"/>
          <w:szCs w:val="32"/>
        </w:rPr>
        <w:t>%,比年初预算</w:t>
      </w:r>
      <w:r>
        <w:rPr>
          <w:rFonts w:hint="eastAsia" w:ascii="仿宋_GB2312" w:eastAsia="仿宋_GB2312" w:cs="仿宋_GB2312"/>
          <w:kern w:val="0"/>
          <w:sz w:val="32"/>
          <w:szCs w:val="32"/>
          <w:lang w:eastAsia="zh-CN"/>
        </w:rPr>
        <w:t>增加</w:t>
      </w:r>
      <w:r>
        <w:rPr>
          <w:rFonts w:hint="eastAsia" w:ascii="仿宋_GB2312" w:eastAsia="仿宋_GB2312" w:cs="仿宋_GB2312"/>
          <w:kern w:val="0"/>
          <w:sz w:val="32"/>
          <w:szCs w:val="32"/>
          <w:lang w:val="en-US" w:eastAsia="zh-CN"/>
        </w:rPr>
        <w:t>11614.98</w:t>
      </w:r>
      <w:r>
        <w:rPr>
          <w:rFonts w:hint="eastAsia" w:ascii="仿宋_GB2312" w:eastAsia="仿宋_GB2312" w:cs="仿宋_GB2312"/>
          <w:kern w:val="0"/>
          <w:sz w:val="32"/>
          <w:szCs w:val="32"/>
        </w:rPr>
        <w:t>万元。决算数</w:t>
      </w:r>
      <w:r>
        <w:rPr>
          <w:rFonts w:hint="eastAsia" w:ascii="仿宋_GB2312" w:eastAsia="仿宋_GB2312" w:cs="仿宋_GB2312"/>
          <w:kern w:val="0"/>
          <w:sz w:val="32"/>
          <w:szCs w:val="32"/>
          <w:lang w:eastAsia="zh-CN"/>
        </w:rPr>
        <w:t>大于</w:t>
      </w:r>
      <w:r>
        <w:rPr>
          <w:rFonts w:hint="eastAsia" w:ascii="仿宋_GB2312" w:eastAsia="仿宋_GB2312" w:cs="仿宋_GB2312"/>
          <w:kern w:val="0"/>
          <w:sz w:val="32"/>
          <w:szCs w:val="32"/>
        </w:rPr>
        <w:t>预算数主要原因是</w:t>
      </w:r>
      <w:r>
        <w:rPr>
          <w:rFonts w:hint="eastAsia" w:ascii="仿宋_GB2312" w:eastAsia="仿宋_GB2312" w:cs="仿宋_GB2312"/>
          <w:kern w:val="0"/>
          <w:sz w:val="32"/>
          <w:szCs w:val="32"/>
          <w:lang w:eastAsia="zh-CN"/>
        </w:rPr>
        <w:t>人员工资调整标准，交通补贴、通讯补贴、取暖补贴、物业补贴等纳入住房公积金缴费基数，基本支出增加</w:t>
      </w:r>
      <w:r>
        <w:rPr>
          <w:rFonts w:hint="eastAsia" w:ascii="仿宋_GB2312" w:eastAsia="仿宋_GB2312" w:cs="仿宋_GB2312"/>
          <w:kern w:val="0"/>
          <w:sz w:val="32"/>
          <w:szCs w:val="32"/>
          <w:lang w:val="en-US" w:eastAsia="zh-CN"/>
        </w:rPr>
        <w:t>249.68万元，</w:t>
      </w:r>
      <w:r>
        <w:rPr>
          <w:rFonts w:hint="eastAsia" w:ascii="仿宋_GB2312" w:eastAsia="仿宋_GB2312" w:cs="仿宋_GB2312"/>
          <w:kern w:val="0"/>
          <w:sz w:val="32"/>
          <w:szCs w:val="32"/>
          <w:lang w:eastAsia="zh-CN"/>
        </w:rPr>
        <w:t>另外根据区委区政府安排，今年我局新增了缴纳土增税及资产处置应缴税费等大额资金项目，</w:t>
      </w:r>
      <w:r>
        <w:rPr>
          <w:rFonts w:hint="eastAsia" w:ascii="仿宋_GB2312" w:eastAsia="仿宋_GB2312" w:cs="仿宋_GB2312"/>
          <w:kern w:val="0"/>
          <w:sz w:val="32"/>
          <w:szCs w:val="32"/>
        </w:rPr>
        <w:t>使项目支出较预算</w:t>
      </w:r>
      <w:r>
        <w:rPr>
          <w:rFonts w:hint="eastAsia" w:ascii="仿宋_GB2312" w:eastAsia="仿宋_GB2312" w:cs="仿宋_GB2312"/>
          <w:kern w:val="0"/>
          <w:sz w:val="32"/>
          <w:szCs w:val="32"/>
          <w:lang w:eastAsia="zh-CN"/>
        </w:rPr>
        <w:t>增加</w:t>
      </w:r>
      <w:r>
        <w:rPr>
          <w:rFonts w:hint="eastAsia" w:ascii="仿宋_GB2312" w:eastAsia="仿宋_GB2312" w:cs="仿宋_GB2312"/>
          <w:kern w:val="0"/>
          <w:sz w:val="32"/>
          <w:szCs w:val="32"/>
          <w:lang w:val="en-US" w:eastAsia="zh-CN"/>
        </w:rPr>
        <w:t>11365.3</w:t>
      </w:r>
      <w:r>
        <w:rPr>
          <w:rFonts w:hint="eastAsia" w:ascii="仿宋_GB2312" w:eastAsia="仿宋_GB2312" w:cs="仿宋_GB2312"/>
          <w:kern w:val="0"/>
          <w:sz w:val="32"/>
          <w:szCs w:val="32"/>
        </w:rPr>
        <w:t>万元</w:t>
      </w:r>
      <w:r>
        <w:rPr>
          <w:rFonts w:hint="eastAsia" w:ascii="仿宋_GB2312" w:eastAsia="仿宋_GB2312" w:cs="仿宋_GB2312"/>
          <w:kern w:val="0"/>
          <w:sz w:val="32"/>
          <w:szCs w:val="32"/>
          <w:lang w:eastAsia="zh-CN"/>
        </w:rPr>
        <w:t>。</w:t>
      </w:r>
      <w:r>
        <w:rPr>
          <w:rFonts w:hint="eastAsia" w:ascii="仿宋_GB2312" w:eastAsia="仿宋_GB2312" w:cs="仿宋_GB2312"/>
          <w:kern w:val="0"/>
          <w:sz w:val="32"/>
          <w:szCs w:val="32"/>
        </w:rPr>
        <w:t>（见图5）</w:t>
      </w:r>
    </w:p>
    <w:p>
      <w:pPr>
        <w:adjustRightInd w:val="0"/>
        <w:snapToGrid w:val="0"/>
        <w:spacing w:line="600" w:lineRule="exact"/>
        <w:ind w:firstLine="420" w:firstLineChars="200"/>
        <w:rPr>
          <w:rFonts w:ascii="仿宋" w:hAnsi="仿宋" w:eastAsia="仿宋" w:cs="仿宋"/>
          <w:sz w:val="32"/>
          <w:szCs w:val="32"/>
        </w:rPr>
      </w:pPr>
      <w:r>
        <w:pict>
          <v:shape id="_x0000_s1084" o:spid="_x0000_s1084" o:spt="75" type="#_x0000_t75" style="position:absolute;left:0pt;margin-left:26.25pt;margin-top:1.5pt;height:213.05pt;width:361.5pt;z-index:-251651072;mso-width-relative:page;mso-height-relative:page;" filled="f" o:preferrelative="t" stroked="f" coordsize="21600,21600" o:gfxdata="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">
            <v:path/>
            <v:fill on="f" focussize="0,0"/>
            <v:stroke on="f"/>
            <v:imagedata r:id="rId18" o:title=""/>
            <o:lock v:ext="edit" aspectratio="f"/>
          </v:shape>
        </w:pict>
      </w:r>
    </w:p>
    <w:p>
      <w:pPr>
        <w:adjustRightInd w:val="0"/>
        <w:snapToGrid w:val="0"/>
        <w:spacing w:line="600" w:lineRule="exact"/>
        <w:ind w:firstLine="640" w:firstLineChars="200"/>
        <w:rPr>
          <w:rFonts w:ascii="仿宋" w:hAnsi="仿宋" w:eastAsia="仿宋" w:cs="仿宋"/>
          <w:sz w:val="32"/>
          <w:szCs w:val="32"/>
        </w:rPr>
      </w:pPr>
    </w:p>
    <w:p>
      <w:pPr>
        <w:adjustRightInd w:val="0"/>
        <w:snapToGrid w:val="0"/>
        <w:spacing w:line="600" w:lineRule="exact"/>
        <w:ind w:firstLine="640" w:firstLineChars="200"/>
        <w:rPr>
          <w:rFonts w:ascii="仿宋" w:hAnsi="仿宋" w:eastAsia="仿宋" w:cs="仿宋"/>
          <w:sz w:val="32"/>
          <w:szCs w:val="32"/>
        </w:rPr>
      </w:pPr>
    </w:p>
    <w:p>
      <w:pPr>
        <w:adjustRightInd w:val="0"/>
        <w:snapToGrid w:val="0"/>
        <w:spacing w:line="600" w:lineRule="exact"/>
        <w:ind w:firstLine="640" w:firstLineChars="200"/>
        <w:rPr>
          <w:rFonts w:ascii="仿宋" w:hAnsi="仿宋" w:eastAsia="仿宋" w:cs="仿宋"/>
          <w:sz w:val="32"/>
          <w:szCs w:val="32"/>
        </w:rPr>
      </w:pPr>
    </w:p>
    <w:p>
      <w:pPr>
        <w:adjustRightInd w:val="0"/>
        <w:snapToGrid w:val="0"/>
        <w:spacing w:line="600" w:lineRule="exact"/>
        <w:ind w:firstLine="640" w:firstLineChars="200"/>
        <w:rPr>
          <w:rFonts w:ascii="仿宋" w:hAnsi="仿宋" w:eastAsia="仿宋" w:cs="仿宋"/>
          <w:sz w:val="32"/>
          <w:szCs w:val="32"/>
        </w:rPr>
      </w:pPr>
    </w:p>
    <w:p>
      <w:pPr>
        <w:adjustRightInd w:val="0"/>
        <w:snapToGrid w:val="0"/>
        <w:spacing w:line="600" w:lineRule="exact"/>
        <w:ind w:firstLine="640" w:firstLineChars="200"/>
        <w:rPr>
          <w:rFonts w:ascii="仿宋" w:hAnsi="仿宋" w:eastAsia="仿宋" w:cs="仿宋"/>
          <w:sz w:val="32"/>
          <w:szCs w:val="32"/>
        </w:rPr>
      </w:pPr>
    </w:p>
    <w:p>
      <w:pPr>
        <w:snapToGrid w:val="0"/>
        <w:spacing w:line="600" w:lineRule="exact"/>
        <w:rPr>
          <w:rFonts w:ascii="仿宋" w:hAnsi="仿宋" w:eastAsia="仿宋" w:cs="仿宋"/>
          <w:sz w:val="28"/>
          <w:szCs w:val="28"/>
        </w:rPr>
      </w:pPr>
    </w:p>
    <w:p>
      <w:pPr>
        <w:snapToGrid w:val="0"/>
        <w:spacing w:line="600" w:lineRule="exact"/>
        <w:ind w:firstLine="1960" w:firstLineChars="700"/>
        <w:rPr>
          <w:rFonts w:ascii="仿宋" w:hAnsi="仿宋" w:eastAsia="仿宋" w:cs="仿宋"/>
          <w:b/>
          <w:bCs/>
          <w:sz w:val="32"/>
          <w:szCs w:val="32"/>
        </w:rPr>
      </w:pPr>
      <w:r>
        <w:rPr>
          <w:rFonts w:hint="eastAsia" w:ascii="仿宋" w:hAnsi="仿宋" w:eastAsia="仿宋" w:cs="仿宋"/>
          <w:sz w:val="28"/>
          <w:szCs w:val="28"/>
        </w:rPr>
        <w:t>图5:202</w:t>
      </w:r>
      <w:r>
        <w:rPr>
          <w:rFonts w:hint="eastAsia" w:ascii="仿宋" w:hAnsi="仿宋" w:eastAsia="仿宋" w:cs="仿宋"/>
          <w:sz w:val="28"/>
          <w:szCs w:val="28"/>
          <w:lang w:val="en-US" w:eastAsia="zh-CN"/>
        </w:rPr>
        <w:t>2</w:t>
      </w:r>
      <w:r>
        <w:rPr>
          <w:rFonts w:hint="eastAsia" w:ascii="仿宋" w:hAnsi="仿宋" w:eastAsia="仿宋" w:cs="仿宋"/>
          <w:sz w:val="28"/>
          <w:szCs w:val="28"/>
        </w:rPr>
        <w:t>年财政拨款预决算收支情况</w:t>
      </w:r>
    </w:p>
    <w:p>
      <w:pPr>
        <w:keepNext w:val="0"/>
        <w:keepLines w:val="0"/>
        <w:pageBreakBefore w:val="0"/>
        <w:widowControl w:val="0"/>
        <w:numPr>
          <w:ilvl w:val="0"/>
          <w:numId w:val="2"/>
        </w:numPr>
        <w:kinsoku/>
        <w:wordWrap/>
        <w:overflowPunct/>
        <w:topLinePunct w:val="0"/>
        <w:autoSpaceDE/>
        <w:autoSpaceDN/>
        <w:bidi w:val="0"/>
        <w:adjustRightInd w:val="0"/>
        <w:snapToGrid w:val="0"/>
        <w:spacing w:line="578" w:lineRule="exact"/>
        <w:ind w:left="420" w:leftChars="200" w:right="0" w:rightChars="0"/>
        <w:jc w:val="both"/>
        <w:textAlignment w:val="auto"/>
        <w:outlineLvl w:val="9"/>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财政拨款支出决算结构情况。</w:t>
      </w:r>
    </w:p>
    <w:p>
      <w:pPr>
        <w:keepNext w:val="0"/>
        <w:keepLines w:val="0"/>
        <w:pageBreakBefore w:val="0"/>
        <w:widowControl w:val="0"/>
        <w:kinsoku/>
        <w:wordWrap/>
        <w:overflowPunct/>
        <w:topLinePunct w:val="0"/>
        <w:autoSpaceDE/>
        <w:autoSpaceDN/>
        <w:bidi w:val="0"/>
        <w:adjustRightInd w:val="0"/>
        <w:snapToGrid w:val="0"/>
        <w:spacing w:line="578" w:lineRule="exact"/>
        <w:ind w:right="0" w:rightChars="0" w:firstLine="640" w:firstLineChars="200"/>
        <w:jc w:val="both"/>
        <w:textAlignment w:val="auto"/>
        <w:outlineLvl w:val="9"/>
        <w:rPr>
          <w:rFonts w:hint="eastAsia" w:ascii="仿宋_GB2312" w:eastAsia="仿宋_GB2312" w:cs="仿宋_GB2312"/>
          <w:kern w:val="0"/>
          <w:sz w:val="32"/>
          <w:szCs w:val="32"/>
        </w:rPr>
      </w:pPr>
      <w:r>
        <w:rPr>
          <w:rFonts w:hint="eastAsia" w:ascii="仿宋_GB2312" w:eastAsia="仿宋_GB2312" w:cs="仿宋_GB2312"/>
          <w:kern w:val="0"/>
          <w:sz w:val="32"/>
          <w:szCs w:val="32"/>
        </w:rPr>
        <w:t>202</w:t>
      </w:r>
      <w:r>
        <w:rPr>
          <w:rFonts w:hint="eastAsia" w:ascii="仿宋_GB2312" w:eastAsia="仿宋_GB2312" w:cs="仿宋_GB2312"/>
          <w:kern w:val="0"/>
          <w:sz w:val="32"/>
          <w:szCs w:val="32"/>
          <w:lang w:val="en-US" w:eastAsia="zh-CN"/>
        </w:rPr>
        <w:t>2</w:t>
      </w:r>
      <w:r>
        <w:rPr>
          <w:rFonts w:hint="eastAsia" w:ascii="仿宋_GB2312" w:eastAsia="仿宋_GB2312" w:cs="仿宋_GB2312"/>
          <w:kern w:val="0"/>
          <w:sz w:val="32"/>
          <w:szCs w:val="32"/>
        </w:rPr>
        <w:t>年度财政拨款支出</w:t>
      </w:r>
      <w:r>
        <w:rPr>
          <w:rFonts w:hint="eastAsia" w:ascii="仿宋_GB2312" w:eastAsia="仿宋_GB2312" w:cs="仿宋_GB2312"/>
          <w:kern w:val="0"/>
          <w:sz w:val="32"/>
          <w:szCs w:val="32"/>
          <w:lang w:val="en-US" w:eastAsia="zh-CN"/>
        </w:rPr>
        <w:t>13538.55</w:t>
      </w:r>
      <w:r>
        <w:rPr>
          <w:rFonts w:hint="eastAsia" w:ascii="仿宋_GB2312" w:eastAsia="仿宋_GB2312" w:cs="仿宋_GB2312"/>
          <w:kern w:val="0"/>
          <w:sz w:val="32"/>
          <w:szCs w:val="32"/>
        </w:rPr>
        <w:t>万元，主要用于以下方面支出，其中行政运行</w:t>
      </w:r>
      <w:r>
        <w:rPr>
          <w:rFonts w:hint="eastAsia" w:ascii="仿宋_GB2312" w:eastAsia="仿宋_GB2312" w:cs="仿宋_GB2312"/>
          <w:kern w:val="0"/>
          <w:sz w:val="32"/>
          <w:szCs w:val="32"/>
          <w:lang w:val="en-US" w:eastAsia="zh-CN"/>
        </w:rPr>
        <w:t>1308.08</w:t>
      </w:r>
      <w:r>
        <w:rPr>
          <w:rFonts w:hint="eastAsia" w:ascii="仿宋_GB2312" w:eastAsia="仿宋_GB2312" w:cs="仿宋_GB2312"/>
          <w:kern w:val="0"/>
          <w:sz w:val="32"/>
          <w:szCs w:val="32"/>
        </w:rPr>
        <w:t>万元，占总支出的</w:t>
      </w:r>
      <w:r>
        <w:rPr>
          <w:rFonts w:hint="eastAsia" w:ascii="仿宋_GB2312" w:eastAsia="仿宋_GB2312" w:cs="仿宋_GB2312"/>
          <w:kern w:val="0"/>
          <w:sz w:val="32"/>
          <w:szCs w:val="32"/>
          <w:lang w:val="en-US" w:eastAsia="zh-CN"/>
        </w:rPr>
        <w:t>9.7</w:t>
      </w:r>
      <w:r>
        <w:rPr>
          <w:rFonts w:hint="eastAsia" w:ascii="仿宋_GB2312" w:eastAsia="仿宋_GB2312" w:cs="仿宋_GB2312"/>
          <w:kern w:val="0"/>
          <w:sz w:val="32"/>
          <w:szCs w:val="32"/>
        </w:rPr>
        <w:t>%；一般行政管理事务</w:t>
      </w:r>
      <w:r>
        <w:rPr>
          <w:rFonts w:hint="eastAsia" w:ascii="仿宋_GB2312" w:eastAsia="仿宋_GB2312" w:cs="仿宋_GB2312"/>
          <w:kern w:val="0"/>
          <w:sz w:val="32"/>
          <w:szCs w:val="32"/>
          <w:lang w:val="en-US" w:eastAsia="zh-CN"/>
        </w:rPr>
        <w:t>9.59</w:t>
      </w:r>
      <w:r>
        <w:rPr>
          <w:rFonts w:hint="eastAsia" w:ascii="仿宋_GB2312" w:eastAsia="仿宋_GB2312" w:cs="仿宋_GB2312"/>
          <w:kern w:val="0"/>
          <w:sz w:val="32"/>
          <w:szCs w:val="32"/>
        </w:rPr>
        <w:t>万元，占</w:t>
      </w:r>
      <w:r>
        <w:rPr>
          <w:rFonts w:hint="eastAsia" w:ascii="仿宋_GB2312" w:eastAsia="仿宋_GB2312" w:cs="仿宋_GB2312"/>
          <w:kern w:val="0"/>
          <w:sz w:val="32"/>
          <w:szCs w:val="32"/>
          <w:lang w:val="en-US" w:eastAsia="zh-CN"/>
        </w:rPr>
        <w:t>0.1</w:t>
      </w:r>
      <w:r>
        <w:rPr>
          <w:rFonts w:hint="eastAsia" w:ascii="仿宋_GB2312" w:eastAsia="仿宋_GB2312" w:cs="仿宋_GB2312"/>
          <w:kern w:val="0"/>
          <w:sz w:val="32"/>
          <w:szCs w:val="32"/>
        </w:rPr>
        <w:t>%；其他财政专项业务费支出</w:t>
      </w:r>
      <w:r>
        <w:rPr>
          <w:rFonts w:hint="eastAsia" w:ascii="仿宋_GB2312" w:eastAsia="仿宋_GB2312" w:cs="仿宋_GB2312"/>
          <w:kern w:val="0"/>
          <w:sz w:val="32"/>
          <w:szCs w:val="32"/>
          <w:lang w:val="en-US" w:eastAsia="zh-CN"/>
        </w:rPr>
        <w:t>11879.53</w:t>
      </w:r>
      <w:r>
        <w:rPr>
          <w:rFonts w:hint="eastAsia" w:ascii="仿宋_GB2312" w:eastAsia="仿宋_GB2312" w:cs="仿宋_GB2312"/>
          <w:kern w:val="0"/>
          <w:sz w:val="32"/>
          <w:szCs w:val="32"/>
        </w:rPr>
        <w:t>万元占</w:t>
      </w:r>
      <w:r>
        <w:rPr>
          <w:rFonts w:hint="eastAsia" w:ascii="仿宋_GB2312" w:eastAsia="仿宋_GB2312" w:cs="仿宋_GB2312"/>
          <w:kern w:val="0"/>
          <w:sz w:val="32"/>
          <w:szCs w:val="32"/>
          <w:lang w:val="en-US" w:eastAsia="zh-CN"/>
        </w:rPr>
        <w:t>87.7</w:t>
      </w:r>
      <w:r>
        <w:rPr>
          <w:rFonts w:hint="eastAsia" w:ascii="仿宋_GB2312" w:eastAsia="仿宋_GB2312" w:cs="仿宋_GB2312"/>
          <w:kern w:val="0"/>
          <w:sz w:val="32"/>
          <w:szCs w:val="32"/>
        </w:rPr>
        <w:t>% ；社会保障、医疗、住房公积金等支出</w:t>
      </w:r>
      <w:r>
        <w:rPr>
          <w:rFonts w:hint="eastAsia" w:ascii="仿宋_GB2312" w:eastAsia="仿宋_GB2312" w:cs="仿宋_GB2312"/>
          <w:kern w:val="0"/>
          <w:sz w:val="32"/>
          <w:szCs w:val="32"/>
          <w:lang w:val="en-US" w:eastAsia="zh-CN"/>
        </w:rPr>
        <w:t>341.35</w:t>
      </w:r>
      <w:r>
        <w:rPr>
          <w:rFonts w:hint="eastAsia" w:ascii="仿宋_GB2312" w:eastAsia="仿宋_GB2312" w:cs="仿宋_GB2312"/>
          <w:kern w:val="0"/>
          <w:sz w:val="32"/>
          <w:szCs w:val="32"/>
        </w:rPr>
        <w:t>万元，占</w:t>
      </w:r>
      <w:r>
        <w:rPr>
          <w:rFonts w:hint="eastAsia" w:ascii="仿宋_GB2312" w:eastAsia="仿宋_GB2312" w:cs="仿宋_GB2312"/>
          <w:kern w:val="0"/>
          <w:sz w:val="32"/>
          <w:szCs w:val="32"/>
          <w:lang w:val="en-US" w:eastAsia="zh-CN"/>
        </w:rPr>
        <w:t>2.5</w:t>
      </w:r>
      <w:r>
        <w:rPr>
          <w:rFonts w:hint="eastAsia" w:ascii="仿宋_GB2312" w:eastAsia="仿宋_GB2312" w:cs="仿宋_GB2312"/>
          <w:kern w:val="0"/>
          <w:sz w:val="32"/>
          <w:szCs w:val="32"/>
        </w:rPr>
        <w:t>%。</w:t>
      </w:r>
    </w:p>
    <w:p>
      <w:pPr>
        <w:keepNext w:val="0"/>
        <w:keepLines w:val="0"/>
        <w:pageBreakBefore w:val="0"/>
        <w:widowControl w:val="0"/>
        <w:kinsoku/>
        <w:wordWrap/>
        <w:overflowPunct/>
        <w:topLinePunct w:val="0"/>
        <w:autoSpaceDE/>
        <w:autoSpaceDN/>
        <w:bidi w:val="0"/>
        <w:adjustRightInd w:val="0"/>
        <w:snapToGrid w:val="0"/>
        <w:spacing w:line="578" w:lineRule="exact"/>
        <w:ind w:right="0" w:rightChars="0" w:firstLine="420" w:firstLineChars="200"/>
        <w:jc w:val="both"/>
        <w:textAlignment w:val="auto"/>
        <w:outlineLvl w:val="9"/>
        <w:rPr>
          <w:rFonts w:hint="eastAsia" w:ascii="仿宋_GB2312" w:eastAsia="仿宋_GB2312" w:cs="仿宋_GB2312"/>
          <w:kern w:val="0"/>
          <w:sz w:val="32"/>
          <w:szCs w:val="32"/>
        </w:rPr>
      </w:pPr>
      <w:r>
        <w:pict>
          <v:shape id="_x0000_s1083" o:spid="_x0000_s1083" o:spt="75" type="#_x0000_t75" style="position:absolute;left:0pt;margin-left:35.25pt;margin-top:83.7pt;height:217.5pt;width:361.5pt;z-index:-251652096;mso-width-relative:page;mso-height-relative:page;" filled="f" o:preferrelative="t" stroked="f" coordsize="21600,21600" o:gfxdata="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">
            <v:path/>
            <v:fill on="f" focussize="0,0"/>
            <v:stroke on="f"/>
            <v:imagedata r:id="rId19" o:title=""/>
            <o:lock v:ext="edit" aspectratio="f"/>
          </v:shape>
        </w:pict>
      </w:r>
      <w:r>
        <w:rPr>
          <w:rFonts w:hint="eastAsia" w:ascii="仿宋_GB2312" w:eastAsia="仿宋_GB2312" w:cs="仿宋_GB2312"/>
          <w:kern w:val="0"/>
          <w:sz w:val="32"/>
          <w:szCs w:val="32"/>
        </w:rPr>
        <w:t>按经济分类看：工资福利支出</w:t>
      </w:r>
      <w:bookmarkStart w:id="11" w:name="OLE_LINK12"/>
      <w:r>
        <w:rPr>
          <w:rFonts w:hint="eastAsia" w:ascii="仿宋_GB2312" w:eastAsia="仿宋_GB2312" w:cs="仿宋_GB2312"/>
          <w:kern w:val="0"/>
          <w:sz w:val="32"/>
          <w:szCs w:val="32"/>
          <w:lang w:val="en-US" w:eastAsia="zh-CN"/>
        </w:rPr>
        <w:t>1328.19</w:t>
      </w:r>
      <w:bookmarkEnd w:id="11"/>
      <w:r>
        <w:rPr>
          <w:rFonts w:hint="eastAsia" w:ascii="仿宋_GB2312" w:eastAsia="仿宋_GB2312" w:cs="仿宋_GB2312"/>
          <w:kern w:val="0"/>
          <w:sz w:val="32"/>
          <w:szCs w:val="32"/>
        </w:rPr>
        <w:t>万元、商品和服务支出</w:t>
      </w:r>
      <w:bookmarkStart w:id="12" w:name="OLE_LINK13"/>
      <w:r>
        <w:rPr>
          <w:rFonts w:hint="eastAsia" w:ascii="仿宋_GB2312" w:eastAsia="仿宋_GB2312" w:cs="仿宋_GB2312"/>
          <w:kern w:val="0"/>
          <w:sz w:val="32"/>
          <w:szCs w:val="32"/>
          <w:lang w:val="en-US" w:eastAsia="zh-CN"/>
        </w:rPr>
        <w:t>206.45</w:t>
      </w:r>
      <w:bookmarkEnd w:id="12"/>
      <w:r>
        <w:rPr>
          <w:rFonts w:hint="eastAsia" w:ascii="仿宋_GB2312" w:eastAsia="仿宋_GB2312" w:cs="仿宋_GB2312"/>
          <w:kern w:val="0"/>
          <w:sz w:val="32"/>
          <w:szCs w:val="32"/>
        </w:rPr>
        <w:t>万元、对个人和家庭的补助</w:t>
      </w:r>
      <w:bookmarkStart w:id="13" w:name="OLE_LINK14"/>
      <w:r>
        <w:rPr>
          <w:rFonts w:hint="eastAsia" w:ascii="仿宋_GB2312" w:eastAsia="仿宋_GB2312" w:cs="仿宋_GB2312"/>
          <w:kern w:val="0"/>
          <w:sz w:val="32"/>
          <w:szCs w:val="32"/>
          <w:lang w:val="en-US" w:eastAsia="zh-CN"/>
        </w:rPr>
        <w:t>114.78</w:t>
      </w:r>
      <w:bookmarkEnd w:id="13"/>
      <w:r>
        <w:rPr>
          <w:rFonts w:hint="eastAsia" w:ascii="仿宋_GB2312" w:eastAsia="仿宋_GB2312" w:cs="仿宋_GB2312"/>
          <w:kern w:val="0"/>
          <w:sz w:val="32"/>
          <w:szCs w:val="32"/>
        </w:rPr>
        <w:t>万元、资本性支出23.14万元（见图6）。</w:t>
      </w:r>
    </w:p>
    <w:p>
      <w:pPr>
        <w:adjustRightInd w:val="0"/>
        <w:snapToGrid w:val="0"/>
        <w:spacing w:line="600" w:lineRule="exact"/>
        <w:ind w:firstLine="420" w:firstLineChars="200"/>
      </w:pPr>
    </w:p>
    <w:p>
      <w:pPr>
        <w:adjustRightInd w:val="0"/>
        <w:snapToGrid w:val="0"/>
        <w:spacing w:line="600" w:lineRule="exact"/>
        <w:ind w:firstLine="420" w:firstLineChars="200"/>
      </w:pPr>
    </w:p>
    <w:p>
      <w:pPr>
        <w:adjustRightInd w:val="0"/>
        <w:snapToGrid w:val="0"/>
        <w:spacing w:line="600" w:lineRule="exact"/>
        <w:ind w:firstLine="420" w:firstLineChars="200"/>
      </w:pPr>
    </w:p>
    <w:p>
      <w:pPr>
        <w:adjustRightInd w:val="0"/>
        <w:snapToGrid w:val="0"/>
        <w:spacing w:line="600" w:lineRule="exact"/>
        <w:ind w:firstLine="420" w:firstLineChars="200"/>
      </w:pPr>
    </w:p>
    <w:p>
      <w:pPr>
        <w:adjustRightInd w:val="0"/>
        <w:snapToGrid w:val="0"/>
        <w:spacing w:line="600" w:lineRule="exact"/>
        <w:ind w:firstLine="420" w:firstLineChars="200"/>
      </w:pPr>
    </w:p>
    <w:p>
      <w:pPr>
        <w:adjustRightInd w:val="0"/>
        <w:snapToGrid w:val="0"/>
        <w:spacing w:line="600" w:lineRule="exact"/>
        <w:ind w:firstLine="420" w:firstLineChars="200"/>
      </w:pPr>
    </w:p>
    <w:p>
      <w:pPr>
        <w:adjustRightInd w:val="0"/>
        <w:snapToGrid w:val="0"/>
        <w:spacing w:line="600" w:lineRule="exact"/>
        <w:ind w:firstLine="420" w:firstLineChars="200"/>
      </w:pPr>
    </w:p>
    <w:p>
      <w:pPr>
        <w:adjustRightInd w:val="0"/>
        <w:snapToGrid w:val="0"/>
        <w:spacing w:line="600" w:lineRule="exact"/>
        <w:ind w:firstLine="1680" w:firstLineChars="700"/>
        <w:rPr>
          <w:rFonts w:ascii="仿宋" w:hAnsi="仿宋" w:eastAsia="仿宋" w:cs="仿宋"/>
          <w:sz w:val="32"/>
          <w:szCs w:val="32"/>
        </w:rPr>
      </w:pPr>
      <w:r>
        <w:rPr>
          <w:rFonts w:hint="eastAsia" w:ascii="楷体_GB2312" w:hAnsi="楷体_GB2312" w:eastAsia="楷体_GB2312" w:cs="楷体_GB2312"/>
          <w:sz w:val="24"/>
          <w:szCs w:val="32"/>
        </w:rPr>
        <w:t>图6：202</w:t>
      </w:r>
      <w:r>
        <w:rPr>
          <w:rFonts w:hint="eastAsia" w:ascii="楷体_GB2312" w:hAnsi="楷体_GB2312" w:eastAsia="楷体_GB2312" w:cs="楷体_GB2312"/>
          <w:sz w:val="24"/>
          <w:szCs w:val="32"/>
          <w:lang w:val="en-US" w:eastAsia="zh-CN"/>
        </w:rPr>
        <w:t>2</w:t>
      </w:r>
      <w:r>
        <w:rPr>
          <w:rFonts w:hint="eastAsia" w:ascii="楷体_GB2312" w:hAnsi="楷体_GB2312" w:eastAsia="楷体_GB2312" w:cs="楷体_GB2312"/>
          <w:sz w:val="24"/>
          <w:szCs w:val="32"/>
        </w:rPr>
        <w:t>年支出构成（按经济分类）情况</w:t>
      </w:r>
    </w:p>
    <w:p>
      <w:pPr>
        <w:keepNext w:val="0"/>
        <w:keepLines w:val="0"/>
        <w:pageBreakBefore w:val="0"/>
        <w:widowControl w:val="0"/>
        <w:kinsoku/>
        <w:wordWrap/>
        <w:overflowPunct/>
        <w:topLinePunct w:val="0"/>
        <w:autoSpaceDE/>
        <w:autoSpaceDN/>
        <w:bidi w:val="0"/>
        <w:adjustRightInd w:val="0"/>
        <w:snapToGrid w:val="0"/>
        <w:spacing w:line="578" w:lineRule="exact"/>
        <w:ind w:left="420" w:leftChars="200" w:right="0" w:rightChars="0"/>
        <w:jc w:val="both"/>
        <w:textAlignment w:val="auto"/>
        <w:outlineLvl w:val="9"/>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（四）一般公共预算基本支出决算情况说明</w:t>
      </w:r>
    </w:p>
    <w:p>
      <w:pPr>
        <w:keepNext w:val="0"/>
        <w:keepLines w:val="0"/>
        <w:pageBreakBefore w:val="0"/>
        <w:widowControl w:val="0"/>
        <w:kinsoku/>
        <w:wordWrap/>
        <w:overflowPunct/>
        <w:topLinePunct w:val="0"/>
        <w:autoSpaceDE/>
        <w:autoSpaceDN/>
        <w:bidi w:val="0"/>
        <w:adjustRightInd w:val="0"/>
        <w:snapToGrid w:val="0"/>
        <w:spacing w:line="578" w:lineRule="exact"/>
        <w:ind w:right="0" w:rightChars="0" w:firstLine="640" w:firstLineChars="200"/>
        <w:jc w:val="both"/>
        <w:textAlignment w:val="auto"/>
        <w:outlineLvl w:val="9"/>
        <w:rPr>
          <w:rFonts w:hint="eastAsia" w:ascii="仿宋_GB2312" w:eastAsia="仿宋_GB2312" w:cs="仿宋_GB2312"/>
          <w:kern w:val="0"/>
          <w:sz w:val="32"/>
          <w:szCs w:val="32"/>
        </w:rPr>
      </w:pPr>
      <w:r>
        <w:rPr>
          <w:rFonts w:hint="eastAsia" w:ascii="仿宋_GB2312" w:eastAsia="仿宋_GB2312" w:cs="仿宋_GB2312"/>
          <w:kern w:val="0"/>
          <w:sz w:val="32"/>
          <w:szCs w:val="32"/>
        </w:rPr>
        <w:t>202</w:t>
      </w:r>
      <w:r>
        <w:rPr>
          <w:rFonts w:hint="eastAsia" w:ascii="仿宋_GB2312" w:eastAsia="仿宋_GB2312" w:cs="仿宋_GB2312"/>
          <w:kern w:val="0"/>
          <w:sz w:val="32"/>
          <w:szCs w:val="32"/>
          <w:lang w:val="en-US" w:eastAsia="zh-CN"/>
        </w:rPr>
        <w:t>2</w:t>
      </w:r>
      <w:r>
        <w:rPr>
          <w:rFonts w:hint="eastAsia" w:ascii="仿宋_GB2312" w:eastAsia="仿宋_GB2312" w:cs="仿宋_GB2312"/>
          <w:kern w:val="0"/>
          <w:sz w:val="32"/>
          <w:szCs w:val="32"/>
        </w:rPr>
        <w:t>年度财政拨款基本支出</w:t>
      </w:r>
      <w:r>
        <w:rPr>
          <w:rFonts w:hint="eastAsia" w:ascii="仿宋_GB2312" w:eastAsia="仿宋_GB2312" w:cs="仿宋_GB2312"/>
          <w:kern w:val="0"/>
          <w:sz w:val="32"/>
          <w:szCs w:val="32"/>
          <w:lang w:val="en-US" w:eastAsia="zh-CN"/>
        </w:rPr>
        <w:t>1649.42</w:t>
      </w:r>
      <w:r>
        <w:rPr>
          <w:rFonts w:hint="eastAsia" w:ascii="仿宋_GB2312" w:eastAsia="仿宋_GB2312" w:cs="仿宋_GB2312"/>
          <w:kern w:val="0"/>
          <w:sz w:val="32"/>
          <w:szCs w:val="32"/>
        </w:rPr>
        <w:t>万元，其中：</w:t>
      </w:r>
    </w:p>
    <w:p>
      <w:pPr>
        <w:keepNext w:val="0"/>
        <w:keepLines w:val="0"/>
        <w:pageBreakBefore w:val="0"/>
        <w:widowControl w:val="0"/>
        <w:kinsoku/>
        <w:wordWrap/>
        <w:overflowPunct/>
        <w:topLinePunct w:val="0"/>
        <w:autoSpaceDE/>
        <w:autoSpaceDN/>
        <w:bidi w:val="0"/>
        <w:adjustRightInd w:val="0"/>
        <w:snapToGrid w:val="0"/>
        <w:spacing w:line="578" w:lineRule="exact"/>
        <w:ind w:right="0" w:rightChars="0" w:firstLine="640" w:firstLineChars="200"/>
        <w:jc w:val="both"/>
        <w:textAlignment w:val="auto"/>
        <w:outlineLvl w:val="9"/>
        <w:rPr>
          <w:rFonts w:hint="eastAsia" w:ascii="仿宋_GB2312" w:eastAsia="仿宋_GB2312" w:cs="仿宋_GB2312"/>
          <w:kern w:val="0"/>
          <w:sz w:val="32"/>
          <w:szCs w:val="32"/>
        </w:rPr>
      </w:pPr>
      <w:r>
        <w:rPr>
          <w:rFonts w:hint="eastAsia" w:ascii="仿宋_GB2312" w:eastAsia="仿宋_GB2312" w:cs="仿宋_GB2312"/>
          <w:kern w:val="0"/>
          <w:sz w:val="32"/>
          <w:szCs w:val="32"/>
        </w:rPr>
        <w:t>人员经费</w:t>
      </w:r>
      <w:r>
        <w:rPr>
          <w:rFonts w:hint="eastAsia" w:ascii="仿宋_GB2312" w:eastAsia="仿宋_GB2312" w:cs="仿宋_GB2312"/>
          <w:kern w:val="0"/>
          <w:sz w:val="32"/>
          <w:szCs w:val="32"/>
          <w:lang w:val="en-US" w:eastAsia="zh-CN"/>
        </w:rPr>
        <w:t>1442.97</w:t>
      </w:r>
      <w:r>
        <w:rPr>
          <w:rFonts w:hint="eastAsia" w:ascii="仿宋_GB2312" w:eastAsia="仿宋_GB2312" w:cs="仿宋_GB2312"/>
          <w:kern w:val="0"/>
          <w:sz w:val="32"/>
          <w:szCs w:val="32"/>
        </w:rPr>
        <w:t>万元，主要包括基本工资、津贴补贴、奖金、绩效工资、机关事业单位基本养老保险缴费、职工基本医疗保险缴费、公务员医疗补助缴费、住房公积金、其他社会保障缴费、其他工资福利支出、离休费、退休费、抚恤金、生活补助、奖励金、其他对个人和家庭的补助支出；</w:t>
      </w:r>
    </w:p>
    <w:p>
      <w:pPr>
        <w:keepNext w:val="0"/>
        <w:keepLines w:val="0"/>
        <w:pageBreakBefore w:val="0"/>
        <w:widowControl w:val="0"/>
        <w:kinsoku/>
        <w:wordWrap/>
        <w:overflowPunct/>
        <w:topLinePunct w:val="0"/>
        <w:autoSpaceDE/>
        <w:autoSpaceDN/>
        <w:bidi w:val="0"/>
        <w:adjustRightInd w:val="0"/>
        <w:snapToGrid w:val="0"/>
        <w:spacing w:line="578" w:lineRule="exact"/>
        <w:ind w:right="0" w:rightChars="0" w:firstLine="640" w:firstLineChars="200"/>
        <w:jc w:val="both"/>
        <w:textAlignment w:val="auto"/>
        <w:outlineLvl w:val="9"/>
        <w:rPr>
          <w:rFonts w:ascii="仿宋_GB2312" w:hAnsi="Times New Roman" w:eastAsia="仿宋_GB2312" w:cs="Times New Roman"/>
          <w:sz w:val="32"/>
          <w:szCs w:val="32"/>
        </w:rPr>
      </w:pPr>
      <w:r>
        <w:rPr>
          <w:rFonts w:hint="eastAsia" w:ascii="仿宋_GB2312" w:eastAsia="仿宋_GB2312" w:cs="仿宋_GB2312"/>
          <w:kern w:val="0"/>
          <w:sz w:val="32"/>
          <w:szCs w:val="32"/>
        </w:rPr>
        <w:t>公用经费</w:t>
      </w:r>
      <w:r>
        <w:rPr>
          <w:rFonts w:hint="eastAsia" w:ascii="仿宋_GB2312" w:eastAsia="仿宋_GB2312" w:cs="仿宋_GB2312"/>
          <w:kern w:val="0"/>
          <w:sz w:val="32"/>
          <w:szCs w:val="32"/>
          <w:lang w:val="en-US" w:eastAsia="zh-CN"/>
        </w:rPr>
        <w:t>206.45</w:t>
      </w:r>
      <w:r>
        <w:rPr>
          <w:rFonts w:hint="eastAsia" w:ascii="仿宋_GB2312" w:eastAsia="仿宋_GB2312" w:cs="仿宋_GB2312"/>
          <w:kern w:val="0"/>
          <w:sz w:val="32"/>
          <w:szCs w:val="32"/>
        </w:rPr>
        <w:t>万元，主要包括办公费、印刷费、手续费、水费、电费、邮电费、取暖费、差旅费、维修（护）费、劳务费、委托业务费、工会经费、福利费、公务用车运行维护费、其他交通费用、其他商品和服务支出、办公设备购置。</w:t>
      </w:r>
    </w:p>
    <w:p>
      <w:pPr>
        <w:keepNext/>
        <w:keepLines/>
        <w:pageBreakBefore w:val="0"/>
        <w:widowControl w:val="0"/>
        <w:kinsoku/>
        <w:wordWrap/>
        <w:overflowPunct/>
        <w:topLinePunct w:val="0"/>
        <w:autoSpaceDE/>
        <w:autoSpaceDN/>
        <w:bidi w:val="0"/>
        <w:snapToGrid w:val="0"/>
        <w:spacing w:line="578" w:lineRule="exact"/>
        <w:ind w:left="0" w:leftChars="0" w:right="0" w:rightChars="0" w:firstLine="640" w:firstLineChars="200"/>
        <w:jc w:val="both"/>
        <w:textAlignment w:val="auto"/>
        <w:outlineLvl w:val="1"/>
        <w:rPr>
          <w:rFonts w:ascii="黑体" w:eastAsia="黑体" w:cs="Times New Roman"/>
          <w:sz w:val="32"/>
          <w:szCs w:val="32"/>
        </w:rPr>
      </w:pPr>
      <w:r>
        <w:rPr>
          <w:rFonts w:hint="eastAsia" w:ascii="黑体" w:eastAsia="黑体" w:cs="黑体"/>
          <w:sz w:val="32"/>
          <w:szCs w:val="32"/>
        </w:rPr>
        <w:t>五、一般公共预算“三公”经费支出决算情况说明</w:t>
      </w:r>
    </w:p>
    <w:p>
      <w:pPr>
        <w:pageBreakBefore w:val="0"/>
        <w:widowControl w:val="0"/>
        <w:kinsoku/>
        <w:wordWrap/>
        <w:overflowPunct/>
        <w:topLinePunct w:val="0"/>
        <w:autoSpaceDE/>
        <w:autoSpaceDN/>
        <w:bidi w:val="0"/>
        <w:adjustRightInd w:val="0"/>
        <w:snapToGrid w:val="0"/>
        <w:spacing w:line="578" w:lineRule="exact"/>
        <w:ind w:left="0" w:leftChars="0" w:right="0" w:rightChars="0" w:firstLine="643" w:firstLineChars="200"/>
        <w:jc w:val="both"/>
        <w:textAlignment w:val="auto"/>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（一）“三公”经费财政拨款支出决算总体情况说明</w:t>
      </w:r>
    </w:p>
    <w:p>
      <w:pPr>
        <w:pageBreakBefore w:val="0"/>
        <w:widowControl w:val="0"/>
        <w:kinsoku/>
        <w:wordWrap/>
        <w:overflowPunct/>
        <w:topLinePunct w:val="0"/>
        <w:autoSpaceDE/>
        <w:autoSpaceDN/>
        <w:bidi w:val="0"/>
        <w:adjustRightInd w:val="0"/>
        <w:snapToGrid w:val="0"/>
        <w:spacing w:line="578" w:lineRule="exact"/>
        <w:ind w:left="0" w:leftChars="0" w:right="0" w:rightChars="0" w:firstLine="640" w:firstLineChars="200"/>
        <w:jc w:val="both"/>
        <w:textAlignment w:val="auto"/>
        <w:rPr>
          <w:rFonts w:hint="eastAsia" w:ascii="仿宋_GB2312" w:eastAsia="仿宋_GB2312" w:cs="仿宋_GB2312"/>
          <w:kern w:val="0"/>
          <w:sz w:val="32"/>
          <w:szCs w:val="32"/>
        </w:rPr>
      </w:pPr>
      <w:r>
        <w:rPr>
          <w:rFonts w:hint="eastAsia" w:ascii="仿宋_GB2312" w:eastAsia="仿宋_GB2312" w:cs="仿宋_GB2312"/>
          <w:kern w:val="0"/>
          <w:sz w:val="32"/>
          <w:szCs w:val="32"/>
        </w:rPr>
        <w:t>本</w:t>
      </w:r>
      <w:r>
        <w:rPr>
          <w:rFonts w:hint="eastAsia" w:ascii="仿宋_GB2312" w:eastAsia="仿宋_GB2312" w:cs="仿宋_GB2312"/>
          <w:kern w:val="0"/>
          <w:sz w:val="32"/>
          <w:szCs w:val="32"/>
          <w:lang w:eastAsia="zh-CN"/>
        </w:rPr>
        <w:t>部门</w:t>
      </w:r>
      <w:r>
        <w:rPr>
          <w:rFonts w:hint="eastAsia" w:ascii="仿宋_GB2312" w:eastAsia="仿宋_GB2312" w:cs="仿宋_GB2312"/>
          <w:kern w:val="0"/>
          <w:sz w:val="32"/>
          <w:szCs w:val="32"/>
        </w:rPr>
        <w:t>202</w:t>
      </w:r>
      <w:r>
        <w:rPr>
          <w:rFonts w:hint="eastAsia" w:ascii="仿宋_GB2312" w:eastAsia="仿宋_GB2312" w:cs="仿宋_GB2312"/>
          <w:kern w:val="0"/>
          <w:sz w:val="32"/>
          <w:szCs w:val="32"/>
          <w:lang w:val="en-US" w:eastAsia="zh-CN"/>
        </w:rPr>
        <w:t>2</w:t>
      </w:r>
      <w:r>
        <w:rPr>
          <w:rFonts w:hint="eastAsia" w:ascii="仿宋_GB2312" w:eastAsia="仿宋_GB2312" w:cs="仿宋_GB2312"/>
          <w:kern w:val="0"/>
          <w:sz w:val="32"/>
          <w:szCs w:val="32"/>
        </w:rPr>
        <w:t>年度“三公”经费财政拨款支出预算为10.1万元，支出决算为8.09万元，完成预算的80.1%,较预算减少2.01万元，降低19.9%，主要是认真贯彻落实中央八项规定精神和厉行节约要求，从严控制“三公”经费开支，特别是严控公务接待支出，今年公务接待费支出0万，较预算减少2万元。与202</w:t>
      </w:r>
      <w:r>
        <w:rPr>
          <w:rFonts w:hint="eastAsia" w:ascii="仿宋_GB2312" w:eastAsia="仿宋_GB2312" w:cs="仿宋_GB2312"/>
          <w:kern w:val="0"/>
          <w:sz w:val="32"/>
          <w:szCs w:val="32"/>
          <w:lang w:val="en-US" w:eastAsia="zh-CN"/>
        </w:rPr>
        <w:t>1</w:t>
      </w:r>
      <w:r>
        <w:rPr>
          <w:rFonts w:hint="eastAsia" w:ascii="仿宋_GB2312" w:eastAsia="仿宋_GB2312" w:cs="仿宋_GB2312"/>
          <w:kern w:val="0"/>
          <w:sz w:val="32"/>
          <w:szCs w:val="32"/>
        </w:rPr>
        <w:t>年度决算支出持平。</w:t>
      </w:r>
    </w:p>
    <w:p>
      <w:pPr>
        <w:pageBreakBefore w:val="0"/>
        <w:widowControl w:val="0"/>
        <w:kinsoku/>
        <w:wordWrap/>
        <w:overflowPunct/>
        <w:topLinePunct w:val="0"/>
        <w:autoSpaceDE/>
        <w:autoSpaceDN/>
        <w:bidi w:val="0"/>
        <w:adjustRightInd w:val="0"/>
        <w:snapToGrid w:val="0"/>
        <w:spacing w:line="578" w:lineRule="exact"/>
        <w:ind w:left="0" w:leftChars="0" w:right="0" w:rightChars="0" w:firstLine="643" w:firstLineChars="200"/>
        <w:jc w:val="both"/>
        <w:textAlignment w:val="auto"/>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（二）“三公”经费财政拨款支出决算具体情况说明</w:t>
      </w:r>
    </w:p>
    <w:p>
      <w:pPr>
        <w:pageBreakBefore w:val="0"/>
        <w:widowControl w:val="0"/>
        <w:kinsoku/>
        <w:wordWrap/>
        <w:overflowPunct/>
        <w:topLinePunct w:val="0"/>
        <w:autoSpaceDE/>
        <w:autoSpaceDN/>
        <w:bidi w:val="0"/>
        <w:adjustRightInd w:val="0"/>
        <w:snapToGrid w:val="0"/>
        <w:spacing w:line="578" w:lineRule="exact"/>
        <w:ind w:left="0" w:leftChars="0" w:right="0" w:rightChars="0" w:firstLine="643" w:firstLineChars="200"/>
        <w:jc w:val="both"/>
        <w:textAlignment w:val="auto"/>
        <w:rPr>
          <w:rFonts w:hint="eastAsia" w:ascii="仿宋_GB2312" w:eastAsia="仿宋_GB2312" w:cs="仿宋_GB2312"/>
          <w:kern w:val="0"/>
          <w:sz w:val="32"/>
          <w:szCs w:val="32"/>
        </w:rPr>
      </w:pPr>
      <w:r>
        <w:rPr>
          <w:rFonts w:ascii="楷体_GB2312" w:hAnsi="Times New Roman" w:eastAsia="楷体_GB2312" w:cs="楷体_GB2312"/>
          <w:b/>
          <w:bCs/>
          <w:sz w:val="32"/>
          <w:szCs w:val="32"/>
        </w:rPr>
        <w:t>1.</w:t>
      </w:r>
      <w:r>
        <w:rPr>
          <w:rFonts w:hint="eastAsia" w:ascii="楷体_GB2312" w:hAnsi="Times New Roman" w:eastAsia="楷体_GB2312" w:cs="楷体_GB2312"/>
          <w:b/>
          <w:bCs/>
          <w:sz w:val="32"/>
          <w:szCs w:val="32"/>
        </w:rPr>
        <w:t>因公出国（境）费支出情况。</w:t>
      </w:r>
      <w:r>
        <w:rPr>
          <w:rFonts w:hint="eastAsia" w:ascii="仿宋_GB2312" w:eastAsia="仿宋_GB2312" w:cs="仿宋_GB2312"/>
          <w:kern w:val="0"/>
          <w:sz w:val="32"/>
          <w:szCs w:val="32"/>
        </w:rPr>
        <w:t>本</w:t>
      </w:r>
      <w:r>
        <w:rPr>
          <w:rFonts w:hint="eastAsia" w:ascii="仿宋_GB2312" w:eastAsia="仿宋_GB2312" w:cs="仿宋_GB2312"/>
          <w:kern w:val="0"/>
          <w:sz w:val="32"/>
          <w:szCs w:val="32"/>
          <w:lang w:eastAsia="zh-CN"/>
        </w:rPr>
        <w:t>部门</w:t>
      </w:r>
      <w:r>
        <w:rPr>
          <w:rFonts w:hint="eastAsia" w:ascii="仿宋_GB2312" w:eastAsia="仿宋_GB2312" w:cs="仿宋_GB2312"/>
          <w:kern w:val="0"/>
          <w:sz w:val="32"/>
          <w:szCs w:val="32"/>
        </w:rPr>
        <w:t>202</w:t>
      </w:r>
      <w:r>
        <w:rPr>
          <w:rFonts w:hint="eastAsia" w:ascii="仿宋_GB2312" w:eastAsia="仿宋_GB2312" w:cs="仿宋_GB2312"/>
          <w:kern w:val="0"/>
          <w:sz w:val="32"/>
          <w:szCs w:val="32"/>
          <w:lang w:val="en-US" w:eastAsia="zh-CN"/>
        </w:rPr>
        <w:t>2</w:t>
      </w:r>
      <w:r>
        <w:rPr>
          <w:rFonts w:hint="eastAsia" w:ascii="仿宋_GB2312" w:eastAsia="仿宋_GB2312" w:cs="仿宋_GB2312"/>
          <w:kern w:val="0"/>
          <w:sz w:val="32"/>
          <w:szCs w:val="32"/>
        </w:rPr>
        <w:t>年度因公出国（境）团组0个、共0人参加其他单位组织的因公出国（境）团组0个、共0人无本单位组织的出国（境）团组。因公出国（境）费支出较预算增加0万元，增长0%，与预算持平，主要是当年没有因公出国的工作任务；较上年增加0万元，增长0%，与2020年度决算支出持平，主要是当年没有因公出国的工作任务。</w:t>
      </w:r>
    </w:p>
    <w:p>
      <w:pPr>
        <w:pageBreakBefore w:val="0"/>
        <w:widowControl w:val="0"/>
        <w:kinsoku/>
        <w:wordWrap/>
        <w:overflowPunct/>
        <w:topLinePunct w:val="0"/>
        <w:autoSpaceDE/>
        <w:autoSpaceDN/>
        <w:bidi w:val="0"/>
        <w:adjustRightInd w:val="0"/>
        <w:snapToGrid w:val="0"/>
        <w:spacing w:line="578" w:lineRule="exact"/>
        <w:ind w:left="0" w:leftChars="0" w:right="0" w:rightChars="0" w:firstLine="643" w:firstLineChars="200"/>
        <w:jc w:val="both"/>
        <w:textAlignment w:val="auto"/>
        <w:rPr>
          <w:rFonts w:ascii="仿宋" w:hAnsi="仿宋" w:eastAsia="仿宋" w:cs="仿宋"/>
          <w:b/>
          <w:bCs/>
          <w:sz w:val="32"/>
          <w:szCs w:val="32"/>
        </w:rPr>
      </w:pPr>
      <w:r>
        <w:rPr>
          <w:rFonts w:ascii="楷体_GB2312" w:hAnsi="Times New Roman" w:eastAsia="楷体_GB2312" w:cs="楷体_GB2312"/>
          <w:b/>
          <w:bCs/>
          <w:sz w:val="32"/>
          <w:szCs w:val="32"/>
        </w:rPr>
        <w:t>2.</w:t>
      </w:r>
      <w:r>
        <w:rPr>
          <w:rFonts w:hint="eastAsia" w:ascii="楷体_GB2312" w:hAnsi="Times New Roman" w:eastAsia="楷体_GB2312" w:cs="楷体_GB2312"/>
          <w:b/>
          <w:bCs/>
          <w:sz w:val="32"/>
          <w:szCs w:val="32"/>
        </w:rPr>
        <w:t>公务用车购置及运行维护费支出情况。</w:t>
      </w:r>
      <w:r>
        <w:rPr>
          <w:rFonts w:hint="eastAsia" w:ascii="仿宋_GB2312" w:eastAsia="仿宋_GB2312" w:cs="仿宋_GB2312"/>
          <w:kern w:val="0"/>
          <w:sz w:val="32"/>
          <w:szCs w:val="32"/>
        </w:rPr>
        <w:t>本</w:t>
      </w:r>
      <w:r>
        <w:rPr>
          <w:rFonts w:hint="eastAsia" w:ascii="仿宋_GB2312" w:eastAsia="仿宋_GB2312" w:cs="仿宋_GB2312"/>
          <w:kern w:val="0"/>
          <w:sz w:val="32"/>
          <w:szCs w:val="32"/>
          <w:lang w:eastAsia="zh-CN"/>
        </w:rPr>
        <w:t>部门</w:t>
      </w:r>
      <w:r>
        <w:rPr>
          <w:rFonts w:hint="eastAsia" w:ascii="仿宋_GB2312" w:eastAsia="仿宋_GB2312" w:cs="仿宋_GB2312"/>
          <w:kern w:val="0"/>
          <w:sz w:val="32"/>
          <w:szCs w:val="32"/>
        </w:rPr>
        <w:t>202</w:t>
      </w:r>
      <w:r>
        <w:rPr>
          <w:rFonts w:hint="eastAsia" w:ascii="仿宋_GB2312" w:eastAsia="仿宋_GB2312" w:cs="仿宋_GB2312"/>
          <w:kern w:val="0"/>
          <w:sz w:val="32"/>
          <w:szCs w:val="32"/>
          <w:lang w:val="en-US" w:eastAsia="zh-CN"/>
        </w:rPr>
        <w:t>2</w:t>
      </w:r>
      <w:r>
        <w:rPr>
          <w:rFonts w:hint="eastAsia" w:ascii="仿宋_GB2312" w:eastAsia="仿宋_GB2312" w:cs="仿宋_GB2312"/>
          <w:kern w:val="0"/>
          <w:sz w:val="32"/>
          <w:szCs w:val="32"/>
        </w:rPr>
        <w:t>年度公务用车购置及运行维护费支出8.09万元，较预算减少0.01万元，降低0.1%,主要是按照区委区政府有关政策，加强了公务用车管理，节约了开支；与202</w:t>
      </w:r>
      <w:r>
        <w:rPr>
          <w:rFonts w:hint="eastAsia" w:ascii="仿宋_GB2312" w:eastAsia="仿宋_GB2312" w:cs="仿宋_GB2312"/>
          <w:kern w:val="0"/>
          <w:sz w:val="32"/>
          <w:szCs w:val="32"/>
          <w:lang w:val="en-US" w:eastAsia="zh-CN"/>
        </w:rPr>
        <w:t>1</w:t>
      </w:r>
      <w:r>
        <w:rPr>
          <w:rFonts w:hint="eastAsia" w:ascii="仿宋_GB2312" w:eastAsia="仿宋_GB2312" w:cs="仿宋_GB2312"/>
          <w:kern w:val="0"/>
          <w:sz w:val="32"/>
          <w:szCs w:val="32"/>
        </w:rPr>
        <w:t>年度决算支出持平。</w:t>
      </w:r>
      <w:r>
        <w:rPr>
          <w:rFonts w:hint="eastAsia" w:ascii="仿宋_GB2312" w:eastAsia="仿宋_GB2312" w:cs="仿宋_GB2312"/>
          <w:b/>
          <w:bCs/>
          <w:kern w:val="0"/>
          <w:sz w:val="32"/>
          <w:szCs w:val="32"/>
        </w:rPr>
        <w:t>其中：</w:t>
      </w:r>
    </w:p>
    <w:p>
      <w:pPr>
        <w:pageBreakBefore w:val="0"/>
        <w:widowControl w:val="0"/>
        <w:kinsoku/>
        <w:wordWrap/>
        <w:overflowPunct/>
        <w:topLinePunct w:val="0"/>
        <w:autoSpaceDE/>
        <w:autoSpaceDN/>
        <w:bidi w:val="0"/>
        <w:adjustRightInd w:val="0"/>
        <w:snapToGrid w:val="0"/>
        <w:spacing w:line="578" w:lineRule="exact"/>
        <w:ind w:left="0" w:leftChars="0" w:right="0" w:rightChars="0" w:firstLine="643" w:firstLineChars="200"/>
        <w:jc w:val="both"/>
        <w:textAlignment w:val="auto"/>
        <w:rPr>
          <w:rFonts w:hint="eastAsia" w:ascii="仿宋_GB2312" w:eastAsia="仿宋_GB2312" w:cs="仿宋_GB2312"/>
          <w:kern w:val="0"/>
          <w:sz w:val="32"/>
          <w:szCs w:val="32"/>
        </w:rPr>
      </w:pPr>
      <w:r>
        <w:rPr>
          <w:rFonts w:hint="eastAsia" w:ascii="仿宋_GB2312" w:hAnsi="Times New Roman" w:eastAsia="仿宋_GB2312" w:cs="Wingdings"/>
          <w:b/>
          <w:sz w:val="32"/>
          <w:szCs w:val="32"/>
        </w:rPr>
        <w:t>公务用车购置费支出：</w:t>
      </w:r>
      <w:r>
        <w:rPr>
          <w:rFonts w:hint="eastAsia" w:ascii="仿宋_GB2312" w:eastAsia="仿宋_GB2312" w:cs="仿宋_GB2312"/>
          <w:kern w:val="0"/>
          <w:sz w:val="32"/>
          <w:szCs w:val="32"/>
        </w:rPr>
        <w:t>本</w:t>
      </w:r>
      <w:r>
        <w:rPr>
          <w:rFonts w:hint="eastAsia" w:ascii="仿宋_GB2312" w:eastAsia="仿宋_GB2312" w:cs="仿宋_GB2312"/>
          <w:kern w:val="0"/>
          <w:sz w:val="32"/>
          <w:szCs w:val="32"/>
          <w:lang w:eastAsia="zh-CN"/>
        </w:rPr>
        <w:t>部门</w:t>
      </w:r>
      <w:r>
        <w:rPr>
          <w:rFonts w:hint="eastAsia" w:ascii="仿宋_GB2312" w:eastAsia="仿宋_GB2312" w:cs="仿宋_GB2312"/>
          <w:kern w:val="0"/>
          <w:sz w:val="32"/>
          <w:szCs w:val="32"/>
        </w:rPr>
        <w:t>202</w:t>
      </w:r>
      <w:r>
        <w:rPr>
          <w:rFonts w:hint="eastAsia" w:ascii="仿宋_GB2312" w:eastAsia="仿宋_GB2312" w:cs="仿宋_GB2312"/>
          <w:kern w:val="0"/>
          <w:sz w:val="32"/>
          <w:szCs w:val="32"/>
          <w:lang w:val="en-US" w:eastAsia="zh-CN"/>
        </w:rPr>
        <w:t>2</w:t>
      </w:r>
      <w:r>
        <w:rPr>
          <w:rFonts w:hint="eastAsia" w:ascii="仿宋_GB2312" w:eastAsia="仿宋_GB2312" w:cs="仿宋_GB2312"/>
          <w:kern w:val="0"/>
          <w:sz w:val="32"/>
          <w:szCs w:val="32"/>
        </w:rPr>
        <w:t>年度公务用车购置量0辆，未发生“公务用车购置”经费支出，与预算和上年决算持平。主要是当年没有公车购置的安排。</w:t>
      </w:r>
    </w:p>
    <w:p>
      <w:pPr>
        <w:pageBreakBefore w:val="0"/>
        <w:widowControl w:val="0"/>
        <w:kinsoku/>
        <w:wordWrap/>
        <w:overflowPunct/>
        <w:topLinePunct w:val="0"/>
        <w:autoSpaceDE/>
        <w:autoSpaceDN/>
        <w:bidi w:val="0"/>
        <w:adjustRightInd w:val="0"/>
        <w:snapToGrid w:val="0"/>
        <w:spacing w:line="578" w:lineRule="exact"/>
        <w:ind w:left="0" w:leftChars="0" w:right="0" w:rightChars="0" w:firstLine="643" w:firstLineChars="200"/>
        <w:jc w:val="both"/>
        <w:textAlignment w:val="auto"/>
        <w:rPr>
          <w:rFonts w:ascii="仿宋_GB2312" w:hAnsi="Times New Roman" w:eastAsia="仿宋_GB2312" w:cs="仿宋_GB2312"/>
          <w:sz w:val="32"/>
          <w:szCs w:val="32"/>
        </w:rPr>
      </w:pPr>
      <w:r>
        <w:rPr>
          <w:rFonts w:hint="eastAsia" w:ascii="仿宋_GB2312" w:hAnsi="Times New Roman" w:eastAsia="仿宋_GB2312" w:cs="Wingdings"/>
          <w:b/>
          <w:sz w:val="32"/>
          <w:szCs w:val="32"/>
        </w:rPr>
        <w:t>公务用车运行维护费支出：</w:t>
      </w:r>
      <w:r>
        <w:rPr>
          <w:rFonts w:hint="eastAsia" w:ascii="仿宋_GB2312" w:eastAsia="仿宋_GB2312" w:cs="仿宋_GB2312"/>
          <w:kern w:val="0"/>
          <w:sz w:val="32"/>
          <w:szCs w:val="32"/>
        </w:rPr>
        <w:t>本</w:t>
      </w:r>
      <w:r>
        <w:rPr>
          <w:rFonts w:hint="eastAsia" w:ascii="仿宋_GB2312" w:eastAsia="仿宋_GB2312" w:cs="仿宋_GB2312"/>
          <w:kern w:val="0"/>
          <w:sz w:val="32"/>
          <w:szCs w:val="32"/>
          <w:lang w:eastAsia="zh-CN"/>
        </w:rPr>
        <w:t>部门</w:t>
      </w:r>
      <w:r>
        <w:rPr>
          <w:rFonts w:hint="eastAsia" w:ascii="仿宋_GB2312" w:eastAsia="仿宋_GB2312" w:cs="仿宋_GB2312"/>
          <w:kern w:val="0"/>
          <w:sz w:val="32"/>
          <w:szCs w:val="32"/>
        </w:rPr>
        <w:t>202</w:t>
      </w:r>
      <w:r>
        <w:rPr>
          <w:rFonts w:hint="eastAsia" w:ascii="仿宋_GB2312" w:eastAsia="仿宋_GB2312" w:cs="仿宋_GB2312"/>
          <w:kern w:val="0"/>
          <w:sz w:val="32"/>
          <w:szCs w:val="32"/>
          <w:lang w:val="en-US" w:eastAsia="zh-CN"/>
        </w:rPr>
        <w:t>2</w:t>
      </w:r>
      <w:r>
        <w:rPr>
          <w:rFonts w:hint="eastAsia" w:ascii="仿宋_GB2312" w:eastAsia="仿宋_GB2312" w:cs="仿宋_GB2312"/>
          <w:kern w:val="0"/>
          <w:sz w:val="32"/>
          <w:szCs w:val="32"/>
        </w:rPr>
        <w:t>年度公务用车保有量3辆，公务用车运维费支出8.09万元。公车运行维护费支出较预算减少0.01万元，下降0.1%,主要是硬化预算约束，严守公务用车配备及使用纪律所致。与202</w:t>
      </w:r>
      <w:r>
        <w:rPr>
          <w:rFonts w:hint="eastAsia" w:ascii="仿宋_GB2312" w:eastAsia="仿宋_GB2312" w:cs="仿宋_GB2312"/>
          <w:kern w:val="0"/>
          <w:sz w:val="32"/>
          <w:szCs w:val="32"/>
          <w:lang w:val="en-US" w:eastAsia="zh-CN"/>
        </w:rPr>
        <w:t>1</w:t>
      </w:r>
      <w:r>
        <w:rPr>
          <w:rFonts w:hint="eastAsia" w:ascii="仿宋_GB2312" w:eastAsia="仿宋_GB2312" w:cs="仿宋_GB2312"/>
          <w:kern w:val="0"/>
          <w:sz w:val="32"/>
          <w:szCs w:val="32"/>
        </w:rPr>
        <w:t>年度决算支出持平。</w:t>
      </w:r>
    </w:p>
    <w:p>
      <w:pPr>
        <w:pageBreakBefore w:val="0"/>
        <w:widowControl w:val="0"/>
        <w:numPr>
          <w:ilvl w:val="0"/>
          <w:numId w:val="3"/>
        </w:numPr>
        <w:kinsoku/>
        <w:wordWrap/>
        <w:overflowPunct/>
        <w:topLinePunct w:val="0"/>
        <w:autoSpaceDE/>
        <w:autoSpaceDN/>
        <w:bidi w:val="0"/>
        <w:adjustRightInd w:val="0"/>
        <w:snapToGrid w:val="0"/>
        <w:spacing w:line="578" w:lineRule="exact"/>
        <w:ind w:left="0" w:leftChars="0" w:right="0" w:rightChars="0" w:firstLine="643" w:firstLineChars="200"/>
        <w:jc w:val="both"/>
        <w:textAlignment w:val="auto"/>
        <w:rPr>
          <w:rFonts w:hint="eastAsia" w:ascii="仿宋_GB2312" w:eastAsia="仿宋_GB2312" w:cs="仿宋_GB2312"/>
          <w:kern w:val="0"/>
          <w:sz w:val="32"/>
          <w:szCs w:val="32"/>
        </w:rPr>
      </w:pPr>
      <w:r>
        <w:rPr>
          <w:rFonts w:hint="eastAsia" w:ascii="楷体_GB2312" w:hAnsi="Times New Roman" w:eastAsia="楷体_GB2312" w:cs="Mongolian Baiti"/>
          <w:b/>
          <w:bCs/>
          <w:sz w:val="32"/>
          <w:szCs w:val="32"/>
        </w:rPr>
        <w:t>公务接待费。</w:t>
      </w:r>
      <w:r>
        <w:rPr>
          <w:rFonts w:hint="eastAsia" w:ascii="仿宋_GB2312" w:eastAsia="仿宋_GB2312" w:cs="仿宋_GB2312"/>
          <w:kern w:val="0"/>
          <w:sz w:val="32"/>
          <w:szCs w:val="32"/>
        </w:rPr>
        <w:t>本</w:t>
      </w:r>
      <w:r>
        <w:rPr>
          <w:rFonts w:hint="eastAsia" w:ascii="仿宋_GB2312" w:eastAsia="仿宋_GB2312" w:cs="仿宋_GB2312"/>
          <w:kern w:val="0"/>
          <w:sz w:val="32"/>
          <w:szCs w:val="32"/>
          <w:lang w:eastAsia="zh-CN"/>
        </w:rPr>
        <w:t>部门</w:t>
      </w:r>
      <w:r>
        <w:rPr>
          <w:rFonts w:hint="eastAsia" w:ascii="仿宋_GB2312" w:eastAsia="仿宋_GB2312" w:cs="仿宋_GB2312"/>
          <w:kern w:val="0"/>
          <w:sz w:val="32"/>
          <w:szCs w:val="32"/>
        </w:rPr>
        <w:t>202</w:t>
      </w:r>
      <w:r>
        <w:rPr>
          <w:rFonts w:hint="eastAsia" w:ascii="仿宋_GB2312" w:eastAsia="仿宋_GB2312" w:cs="仿宋_GB2312"/>
          <w:kern w:val="0"/>
          <w:sz w:val="32"/>
          <w:szCs w:val="32"/>
          <w:lang w:val="en-US" w:eastAsia="zh-CN"/>
        </w:rPr>
        <w:t>2</w:t>
      </w:r>
      <w:r>
        <w:rPr>
          <w:rFonts w:hint="eastAsia" w:ascii="仿宋_GB2312" w:eastAsia="仿宋_GB2312" w:cs="仿宋_GB2312"/>
          <w:kern w:val="0"/>
          <w:sz w:val="32"/>
          <w:szCs w:val="32"/>
        </w:rPr>
        <w:t>年公务接待费支出0万元</w:t>
      </w:r>
      <w:r>
        <w:rPr>
          <w:rFonts w:hint="eastAsia" w:ascii="楷体_GB2312" w:hAnsi="Times New Roman" w:eastAsia="楷体_GB2312" w:cs="Mongolian Baiti"/>
          <w:b w:val="0"/>
          <w:bCs w:val="0"/>
          <w:sz w:val="32"/>
          <w:szCs w:val="32"/>
        </w:rPr>
        <w:t>，</w:t>
      </w:r>
      <w:r>
        <w:rPr>
          <w:rFonts w:hint="eastAsia" w:ascii="仿宋_GB2312" w:eastAsia="仿宋_GB2312" w:cs="仿宋_GB2312"/>
          <w:kern w:val="0"/>
          <w:sz w:val="32"/>
          <w:szCs w:val="32"/>
        </w:rPr>
        <w:t>公务接待费支出较预算减少2万元，降低100.0%,主要是厉行节约，严格规范公务接待行为和经费支出所致；与202</w:t>
      </w:r>
      <w:r>
        <w:rPr>
          <w:rFonts w:hint="eastAsia" w:ascii="仿宋_GB2312" w:eastAsia="仿宋_GB2312" w:cs="仿宋_GB2312"/>
          <w:kern w:val="0"/>
          <w:sz w:val="32"/>
          <w:szCs w:val="32"/>
          <w:lang w:val="en-US" w:eastAsia="zh-CN"/>
        </w:rPr>
        <w:t>1</w:t>
      </w:r>
      <w:r>
        <w:rPr>
          <w:rFonts w:hint="eastAsia" w:ascii="仿宋_GB2312" w:eastAsia="仿宋_GB2312" w:cs="仿宋_GB2312"/>
          <w:kern w:val="0"/>
          <w:sz w:val="32"/>
          <w:szCs w:val="32"/>
        </w:rPr>
        <w:t>年度决算支出持平。</w:t>
      </w:r>
    </w:p>
    <w:p>
      <w:pPr>
        <w:keepNext w:val="0"/>
        <w:keepLines w:val="0"/>
        <w:pageBreakBefore w:val="0"/>
        <w:widowControl w:val="0"/>
        <w:kinsoku/>
        <w:wordWrap/>
        <w:overflowPunct/>
        <w:topLinePunct w:val="0"/>
        <w:autoSpaceDE/>
        <w:autoSpaceDN/>
        <w:bidi w:val="0"/>
        <w:adjustRightInd w:val="0"/>
        <w:snapToGrid w:val="0"/>
        <w:spacing w:line="578" w:lineRule="exact"/>
        <w:ind w:left="420" w:leftChars="200" w:right="0" w:rightChars="0" w:firstLine="320" w:firstLineChars="100"/>
        <w:textAlignment w:val="auto"/>
        <w:rPr>
          <w:rFonts w:ascii="仿宋_GB2312" w:hAnsi="仿宋_GB2312" w:eastAsia="仿宋_GB2312" w:cs="Times New Roman"/>
          <w:sz w:val="32"/>
          <w:szCs w:val="32"/>
        </w:rPr>
      </w:pPr>
      <w:r>
        <w:rPr>
          <w:rFonts w:hint="eastAsia" w:ascii="黑体" w:eastAsia="黑体" w:cs="黑体"/>
          <w:sz w:val="32"/>
          <w:szCs w:val="32"/>
          <w:lang w:eastAsia="zh-CN"/>
        </w:rPr>
        <w:t>六</w:t>
      </w:r>
      <w:r>
        <w:rPr>
          <w:rFonts w:hint="eastAsia" w:ascii="黑体" w:eastAsia="黑体" w:cs="黑体"/>
          <w:sz w:val="32"/>
          <w:szCs w:val="32"/>
        </w:rPr>
        <w:t>、机关运行经费情况</w:t>
      </w:r>
    </w:p>
    <w:p>
      <w:pPr>
        <w:keepNext w:val="0"/>
        <w:keepLines w:val="0"/>
        <w:pageBreakBefore w:val="0"/>
        <w:widowControl w:val="0"/>
        <w:kinsoku/>
        <w:wordWrap/>
        <w:overflowPunct/>
        <w:topLinePunct w:val="0"/>
        <w:autoSpaceDE/>
        <w:autoSpaceDN/>
        <w:bidi w:val="0"/>
        <w:adjustRightInd w:val="0"/>
        <w:snapToGrid w:val="0"/>
        <w:spacing w:line="578" w:lineRule="exact"/>
        <w:ind w:right="0" w:rightChars="0" w:firstLine="640" w:firstLineChars="200"/>
        <w:textAlignment w:val="auto"/>
        <w:rPr>
          <w:rFonts w:hint="eastAsia" w:ascii="仿宋_GB2312" w:eastAsia="仿宋_GB2312" w:cs="仿宋_GB2312"/>
          <w:kern w:val="0"/>
          <w:sz w:val="32"/>
          <w:szCs w:val="32"/>
        </w:rPr>
      </w:pPr>
      <w:r>
        <w:rPr>
          <w:rFonts w:hint="eastAsia" w:ascii="仿宋_GB2312" w:eastAsia="仿宋_GB2312" w:cs="仿宋_GB2312"/>
          <w:kern w:val="0"/>
          <w:sz w:val="32"/>
          <w:szCs w:val="32"/>
        </w:rPr>
        <w:t>本</w:t>
      </w:r>
      <w:r>
        <w:rPr>
          <w:rFonts w:hint="eastAsia" w:ascii="仿宋_GB2312" w:eastAsia="仿宋_GB2312" w:cs="仿宋_GB2312"/>
          <w:kern w:val="0"/>
          <w:sz w:val="32"/>
          <w:szCs w:val="32"/>
          <w:lang w:eastAsia="zh-CN"/>
        </w:rPr>
        <w:t>部门</w:t>
      </w:r>
      <w:r>
        <w:rPr>
          <w:rFonts w:hint="eastAsia" w:ascii="仿宋_GB2312" w:eastAsia="仿宋_GB2312" w:cs="仿宋_GB2312"/>
          <w:kern w:val="0"/>
          <w:sz w:val="32"/>
          <w:szCs w:val="32"/>
        </w:rPr>
        <w:t>202</w:t>
      </w:r>
      <w:r>
        <w:rPr>
          <w:rFonts w:hint="eastAsia" w:ascii="仿宋_GB2312" w:eastAsia="仿宋_GB2312" w:cs="仿宋_GB2312"/>
          <w:kern w:val="0"/>
          <w:sz w:val="32"/>
          <w:szCs w:val="32"/>
          <w:lang w:val="en-US" w:eastAsia="zh-CN"/>
        </w:rPr>
        <w:t>2</w:t>
      </w:r>
      <w:r>
        <w:rPr>
          <w:rFonts w:hint="eastAsia" w:ascii="仿宋_GB2312" w:eastAsia="仿宋_GB2312" w:cs="仿宋_GB2312"/>
          <w:kern w:val="0"/>
          <w:sz w:val="32"/>
          <w:szCs w:val="32"/>
        </w:rPr>
        <w:t>年度机关运行经费支出</w:t>
      </w:r>
      <w:r>
        <w:rPr>
          <w:rFonts w:hint="eastAsia" w:ascii="仿宋_GB2312" w:eastAsia="仿宋_GB2312" w:cs="仿宋_GB2312"/>
          <w:kern w:val="0"/>
          <w:sz w:val="32"/>
          <w:szCs w:val="32"/>
          <w:lang w:val="en-US" w:eastAsia="zh-CN"/>
        </w:rPr>
        <w:t>206.45</w:t>
      </w:r>
      <w:r>
        <w:rPr>
          <w:rFonts w:hint="eastAsia" w:ascii="仿宋_GB2312" w:eastAsia="仿宋_GB2312" w:cs="仿宋_GB2312"/>
          <w:kern w:val="0"/>
          <w:sz w:val="32"/>
          <w:szCs w:val="32"/>
        </w:rPr>
        <w:t>万元，比202</w:t>
      </w:r>
      <w:r>
        <w:rPr>
          <w:rFonts w:hint="eastAsia" w:ascii="仿宋_GB2312" w:eastAsia="仿宋_GB2312" w:cs="仿宋_GB2312"/>
          <w:kern w:val="0"/>
          <w:sz w:val="32"/>
          <w:szCs w:val="32"/>
          <w:lang w:val="en-US" w:eastAsia="zh-CN"/>
        </w:rPr>
        <w:t>1</w:t>
      </w:r>
      <w:r>
        <w:rPr>
          <w:rFonts w:hint="eastAsia" w:ascii="仿宋_GB2312" w:eastAsia="仿宋_GB2312" w:cs="仿宋_GB2312"/>
          <w:kern w:val="0"/>
          <w:sz w:val="32"/>
          <w:szCs w:val="32"/>
        </w:rPr>
        <w:t>年度减少</w:t>
      </w:r>
      <w:r>
        <w:rPr>
          <w:rFonts w:hint="eastAsia" w:ascii="仿宋_GB2312" w:eastAsia="仿宋_GB2312" w:cs="仿宋_GB2312"/>
          <w:kern w:val="0"/>
          <w:sz w:val="32"/>
          <w:szCs w:val="32"/>
          <w:lang w:val="en-US" w:eastAsia="zh-CN"/>
        </w:rPr>
        <w:t>31.08</w:t>
      </w:r>
      <w:r>
        <w:rPr>
          <w:rFonts w:hint="eastAsia" w:ascii="仿宋_GB2312" w:eastAsia="仿宋_GB2312" w:cs="仿宋_GB2312"/>
          <w:kern w:val="0"/>
          <w:sz w:val="32"/>
          <w:szCs w:val="32"/>
        </w:rPr>
        <w:t>万元，降低</w:t>
      </w:r>
      <w:r>
        <w:rPr>
          <w:rFonts w:hint="eastAsia" w:ascii="仿宋_GB2312" w:eastAsia="仿宋_GB2312" w:cs="仿宋_GB2312"/>
          <w:kern w:val="0"/>
          <w:sz w:val="32"/>
          <w:szCs w:val="32"/>
          <w:lang w:val="en-US" w:eastAsia="zh-CN"/>
        </w:rPr>
        <w:t>13.1</w:t>
      </w:r>
      <w:r>
        <w:rPr>
          <w:rFonts w:hint="eastAsia" w:ascii="仿宋_GB2312" w:eastAsia="仿宋_GB2312" w:cs="仿宋_GB2312"/>
          <w:kern w:val="0"/>
          <w:sz w:val="32"/>
          <w:szCs w:val="32"/>
        </w:rPr>
        <w:t>%。主要原因是本年人员退休，</w:t>
      </w:r>
      <w:r>
        <w:rPr>
          <w:rFonts w:hint="eastAsia" w:ascii="仿宋_GB2312" w:eastAsia="仿宋_GB2312" w:cs="仿宋_GB2312"/>
          <w:kern w:val="0"/>
          <w:sz w:val="32"/>
          <w:szCs w:val="32"/>
          <w:lang w:eastAsia="zh-CN"/>
        </w:rPr>
        <w:t>机关运行经费预算减少</w:t>
      </w:r>
      <w:r>
        <w:rPr>
          <w:rFonts w:hint="eastAsia" w:ascii="仿宋_GB2312" w:eastAsia="仿宋_GB2312" w:cs="仿宋_GB2312"/>
          <w:kern w:val="0"/>
          <w:sz w:val="32"/>
          <w:szCs w:val="32"/>
        </w:rPr>
        <w:t>，压减开支，公用经费支出减少等。</w:t>
      </w:r>
    </w:p>
    <w:p>
      <w:pPr>
        <w:keepNext w:val="0"/>
        <w:keepLines w:val="0"/>
        <w:pageBreakBefore w:val="0"/>
        <w:widowControl w:val="0"/>
        <w:kinsoku/>
        <w:wordWrap/>
        <w:overflowPunct/>
        <w:topLinePunct w:val="0"/>
        <w:autoSpaceDE/>
        <w:autoSpaceDN/>
        <w:bidi w:val="0"/>
        <w:adjustRightInd w:val="0"/>
        <w:snapToGrid w:val="0"/>
        <w:spacing w:line="578" w:lineRule="exact"/>
        <w:ind w:right="0" w:rightChars="0" w:firstLine="640" w:firstLineChars="200"/>
        <w:textAlignment w:val="auto"/>
        <w:rPr>
          <w:rFonts w:ascii="仿宋_GB2312" w:hAnsi="Times New Roman" w:eastAsia="仿宋_GB2312" w:cs="Times New Roman"/>
          <w:sz w:val="32"/>
          <w:szCs w:val="32"/>
          <w:highlight w:val="yellow"/>
        </w:rPr>
      </w:pPr>
      <w:r>
        <w:rPr>
          <w:rFonts w:hint="eastAsia" w:ascii="黑体" w:eastAsia="黑体" w:cs="黑体"/>
          <w:sz w:val="32"/>
          <w:szCs w:val="32"/>
          <w:lang w:eastAsia="zh-CN"/>
        </w:rPr>
        <w:t>七</w:t>
      </w:r>
      <w:r>
        <w:rPr>
          <w:rFonts w:hint="eastAsia" w:ascii="黑体" w:eastAsia="黑体" w:cs="黑体"/>
          <w:sz w:val="32"/>
          <w:szCs w:val="32"/>
        </w:rPr>
        <w:t>、政府采购情况</w:t>
      </w:r>
    </w:p>
    <w:p>
      <w:pPr>
        <w:keepNext w:val="0"/>
        <w:keepLines w:val="0"/>
        <w:pageBreakBefore w:val="0"/>
        <w:widowControl w:val="0"/>
        <w:kinsoku/>
        <w:wordWrap/>
        <w:overflowPunct/>
        <w:topLinePunct w:val="0"/>
        <w:autoSpaceDE/>
        <w:autoSpaceDN/>
        <w:bidi w:val="0"/>
        <w:adjustRightInd w:val="0"/>
        <w:snapToGrid w:val="0"/>
        <w:spacing w:line="578" w:lineRule="exact"/>
        <w:ind w:right="0" w:rightChars="0" w:firstLine="640" w:firstLineChars="200"/>
        <w:textAlignment w:val="auto"/>
        <w:rPr>
          <w:rFonts w:hint="eastAsia" w:ascii="仿宋_GB2312" w:eastAsia="仿宋_GB2312" w:cs="仿宋_GB2312"/>
          <w:kern w:val="0"/>
          <w:sz w:val="32"/>
          <w:szCs w:val="32"/>
        </w:rPr>
      </w:pPr>
      <w:r>
        <w:rPr>
          <w:rFonts w:hint="eastAsia" w:ascii="仿宋_GB2312" w:eastAsia="仿宋_GB2312" w:cs="仿宋_GB2312"/>
          <w:kern w:val="0"/>
          <w:sz w:val="32"/>
          <w:szCs w:val="32"/>
        </w:rPr>
        <w:t>本</w:t>
      </w:r>
      <w:r>
        <w:rPr>
          <w:rFonts w:hint="eastAsia" w:ascii="仿宋_GB2312" w:eastAsia="仿宋_GB2312" w:cs="仿宋_GB2312"/>
          <w:kern w:val="0"/>
          <w:sz w:val="32"/>
          <w:szCs w:val="32"/>
          <w:lang w:eastAsia="zh-CN"/>
        </w:rPr>
        <w:t>部门</w:t>
      </w:r>
      <w:r>
        <w:rPr>
          <w:rFonts w:hint="eastAsia" w:ascii="仿宋_GB2312" w:eastAsia="仿宋_GB2312" w:cs="仿宋_GB2312"/>
          <w:kern w:val="0"/>
          <w:sz w:val="32"/>
          <w:szCs w:val="32"/>
        </w:rPr>
        <w:t>202</w:t>
      </w:r>
      <w:r>
        <w:rPr>
          <w:rFonts w:hint="eastAsia" w:ascii="仿宋_GB2312" w:eastAsia="仿宋_GB2312" w:cs="仿宋_GB2312"/>
          <w:kern w:val="0"/>
          <w:sz w:val="32"/>
          <w:szCs w:val="32"/>
          <w:lang w:val="en-US" w:eastAsia="zh-CN"/>
        </w:rPr>
        <w:t>2</w:t>
      </w:r>
      <w:r>
        <w:rPr>
          <w:rFonts w:hint="eastAsia" w:ascii="仿宋_GB2312" w:eastAsia="仿宋_GB2312" w:cs="仿宋_GB2312"/>
          <w:kern w:val="0"/>
          <w:sz w:val="32"/>
          <w:szCs w:val="32"/>
        </w:rPr>
        <w:t>年度政府采购支出总额</w:t>
      </w:r>
      <w:r>
        <w:rPr>
          <w:rFonts w:hint="eastAsia" w:ascii="仿宋_GB2312" w:eastAsia="仿宋_GB2312" w:cs="仿宋_GB2312"/>
          <w:kern w:val="0"/>
          <w:sz w:val="32"/>
          <w:szCs w:val="32"/>
          <w:lang w:val="en-US" w:eastAsia="zh-CN"/>
        </w:rPr>
        <w:t>122.55</w:t>
      </w:r>
      <w:r>
        <w:rPr>
          <w:rFonts w:hint="eastAsia" w:ascii="仿宋_GB2312" w:eastAsia="仿宋_GB2312" w:cs="仿宋_GB2312"/>
          <w:kern w:val="0"/>
          <w:sz w:val="32"/>
          <w:szCs w:val="32"/>
        </w:rPr>
        <w:t>万元，从采购类型来看，政府采购货物支出</w:t>
      </w:r>
      <w:r>
        <w:rPr>
          <w:rFonts w:hint="eastAsia" w:ascii="仿宋_GB2312" w:eastAsia="仿宋_GB2312" w:cs="仿宋_GB2312"/>
          <w:kern w:val="0"/>
          <w:sz w:val="32"/>
          <w:szCs w:val="32"/>
          <w:lang w:val="en-US" w:eastAsia="zh-CN"/>
        </w:rPr>
        <w:t>5.47</w:t>
      </w:r>
      <w:r>
        <w:rPr>
          <w:rFonts w:hint="eastAsia" w:ascii="仿宋_GB2312" w:eastAsia="仿宋_GB2312" w:cs="仿宋_GB2312"/>
          <w:kern w:val="0"/>
          <w:sz w:val="32"/>
          <w:szCs w:val="32"/>
        </w:rPr>
        <w:t>万元、政府采购工程支出0万元、政府采购服务支出</w:t>
      </w:r>
      <w:r>
        <w:rPr>
          <w:rFonts w:hint="eastAsia" w:ascii="仿宋_GB2312" w:eastAsia="仿宋_GB2312" w:cs="仿宋_GB2312"/>
          <w:kern w:val="0"/>
          <w:sz w:val="32"/>
          <w:szCs w:val="32"/>
          <w:lang w:val="en-US" w:eastAsia="zh-CN"/>
        </w:rPr>
        <w:t>117.08</w:t>
      </w:r>
      <w:r>
        <w:rPr>
          <w:rFonts w:hint="eastAsia" w:ascii="仿宋_GB2312" w:eastAsia="仿宋_GB2312" w:cs="仿宋_GB2312"/>
          <w:kern w:val="0"/>
          <w:sz w:val="32"/>
          <w:szCs w:val="32"/>
        </w:rPr>
        <w:t>万元。授予中小企业合同金</w:t>
      </w:r>
      <w:r>
        <w:rPr>
          <w:rFonts w:hint="eastAsia" w:ascii="仿宋_GB2312" w:eastAsia="仿宋_GB2312" w:cs="仿宋_GB2312"/>
          <w:kern w:val="0"/>
          <w:sz w:val="32"/>
          <w:szCs w:val="32"/>
          <w:lang w:val="en-US" w:eastAsia="zh-CN"/>
        </w:rPr>
        <w:t>117.08</w:t>
      </w:r>
      <w:r>
        <w:rPr>
          <w:rFonts w:hint="eastAsia" w:ascii="仿宋_GB2312" w:eastAsia="仿宋_GB2312" w:cs="仿宋_GB2312"/>
          <w:kern w:val="0"/>
          <w:sz w:val="32"/>
          <w:szCs w:val="32"/>
        </w:rPr>
        <w:t>万元，占政府采购支出总额的100.0%，其中授予小微企业合同金额</w:t>
      </w:r>
      <w:r>
        <w:rPr>
          <w:rFonts w:hint="eastAsia" w:ascii="仿宋_GB2312" w:eastAsia="仿宋_GB2312" w:cs="仿宋_GB2312"/>
          <w:kern w:val="0"/>
          <w:sz w:val="32"/>
          <w:szCs w:val="32"/>
          <w:lang w:val="en-US" w:eastAsia="zh-CN"/>
        </w:rPr>
        <w:t>117.08</w:t>
      </w:r>
      <w:r>
        <w:rPr>
          <w:rFonts w:hint="eastAsia" w:ascii="仿宋_GB2312" w:eastAsia="仿宋_GB2312" w:cs="仿宋_GB2312"/>
          <w:kern w:val="0"/>
          <w:sz w:val="32"/>
          <w:szCs w:val="32"/>
        </w:rPr>
        <w:t>万元，占政府采购支出总额的100.0%。</w:t>
      </w:r>
    </w:p>
    <w:p>
      <w:pPr>
        <w:keepNext w:val="0"/>
        <w:keepLines w:val="0"/>
        <w:pageBreakBefore w:val="0"/>
        <w:widowControl w:val="0"/>
        <w:numPr>
          <w:ilvl w:val="0"/>
          <w:numId w:val="0"/>
        </w:numPr>
        <w:kinsoku/>
        <w:wordWrap/>
        <w:overflowPunct/>
        <w:topLinePunct w:val="0"/>
        <w:autoSpaceDE/>
        <w:autoSpaceDN/>
        <w:bidi w:val="0"/>
        <w:snapToGrid w:val="0"/>
        <w:spacing w:line="578" w:lineRule="exact"/>
        <w:ind w:right="0" w:rightChars="0"/>
        <w:jc w:val="left"/>
        <w:textAlignment w:val="auto"/>
        <w:rPr>
          <w:rFonts w:ascii="黑体" w:eastAsia="黑体" w:cs="黑体"/>
          <w:sz w:val="32"/>
          <w:szCs w:val="32"/>
        </w:rPr>
      </w:pPr>
      <w:r>
        <w:rPr>
          <w:rFonts w:hint="eastAsia" w:ascii="黑体" w:eastAsia="黑体" w:cs="黑体"/>
          <w:sz w:val="32"/>
          <w:szCs w:val="32"/>
          <w:lang w:val="en-US" w:eastAsia="zh-CN"/>
        </w:rPr>
        <w:t xml:space="preserve">    </w:t>
      </w:r>
      <w:r>
        <w:rPr>
          <w:rFonts w:hint="eastAsia" w:ascii="黑体" w:eastAsia="黑体" w:cs="黑体"/>
          <w:sz w:val="32"/>
          <w:szCs w:val="32"/>
          <w:lang w:eastAsia="zh-CN"/>
        </w:rPr>
        <w:t>八、</w:t>
      </w:r>
      <w:r>
        <w:rPr>
          <w:rFonts w:hint="eastAsia" w:ascii="黑体" w:eastAsia="黑体" w:cs="黑体"/>
          <w:sz w:val="32"/>
          <w:szCs w:val="32"/>
        </w:rPr>
        <w:t>国有资产占用情况</w:t>
      </w:r>
    </w:p>
    <w:p>
      <w:pPr>
        <w:keepNext w:val="0"/>
        <w:keepLines w:val="0"/>
        <w:pageBreakBefore w:val="0"/>
        <w:widowControl w:val="0"/>
        <w:kinsoku/>
        <w:wordWrap/>
        <w:overflowPunct/>
        <w:topLinePunct w:val="0"/>
        <w:autoSpaceDE/>
        <w:autoSpaceDN/>
        <w:bidi w:val="0"/>
        <w:adjustRightInd/>
        <w:snapToGrid/>
        <w:spacing w:line="578" w:lineRule="exact"/>
        <w:ind w:left="0" w:leftChars="0" w:right="0" w:rightChars="0" w:firstLine="640" w:firstLineChars="200"/>
        <w:jc w:val="both"/>
        <w:textAlignment w:val="auto"/>
        <w:outlineLvl w:val="9"/>
        <w:rPr>
          <w:rFonts w:ascii="仿宋" w:hAnsi="仿宋" w:eastAsia="仿宋" w:cs="仿宋"/>
          <w:sz w:val="32"/>
          <w:szCs w:val="32"/>
        </w:rPr>
      </w:pPr>
      <w:r>
        <w:rPr>
          <w:rFonts w:hint="eastAsia" w:ascii="仿宋_GB2312" w:eastAsia="仿宋_GB2312" w:cs="仿宋_GB2312"/>
          <w:kern w:val="0"/>
          <w:sz w:val="32"/>
          <w:szCs w:val="32"/>
        </w:rPr>
        <w:t>截至202</w:t>
      </w:r>
      <w:r>
        <w:rPr>
          <w:rFonts w:hint="eastAsia" w:ascii="仿宋_GB2312" w:eastAsia="仿宋_GB2312" w:cs="仿宋_GB2312"/>
          <w:kern w:val="0"/>
          <w:sz w:val="32"/>
          <w:szCs w:val="32"/>
          <w:lang w:val="en-US" w:eastAsia="zh-CN"/>
        </w:rPr>
        <w:t>2</w:t>
      </w:r>
      <w:r>
        <w:rPr>
          <w:rFonts w:hint="eastAsia" w:ascii="仿宋_GB2312" w:eastAsia="仿宋_GB2312" w:cs="仿宋_GB2312"/>
          <w:kern w:val="0"/>
          <w:sz w:val="32"/>
          <w:szCs w:val="32"/>
        </w:rPr>
        <w:t>年12月31日，本</w:t>
      </w:r>
      <w:r>
        <w:rPr>
          <w:rFonts w:hint="eastAsia" w:ascii="仿宋_GB2312" w:eastAsia="仿宋_GB2312" w:cs="仿宋_GB2312"/>
          <w:kern w:val="0"/>
          <w:sz w:val="32"/>
          <w:szCs w:val="32"/>
          <w:lang w:eastAsia="zh-CN"/>
        </w:rPr>
        <w:t>部门</w:t>
      </w:r>
      <w:r>
        <w:rPr>
          <w:rFonts w:hint="eastAsia" w:ascii="仿宋_GB2312" w:eastAsia="仿宋_GB2312" w:cs="仿宋_GB2312"/>
          <w:kern w:val="0"/>
          <w:sz w:val="32"/>
          <w:szCs w:val="32"/>
        </w:rPr>
        <w:t>共有车辆3辆，与上年持平，无增减变化。其中：副部（省）级及以上领导用车0辆，主要领导干部用车0辆，机要通信用车0辆，应急保障用车0辆，执法执勤用车0辆，特种专业技术用车0辆，离退休干部用车0辆，其他用车3辆，其他用车主要是保障日常工作需要车辆。</w:t>
      </w:r>
    </w:p>
    <w:p>
      <w:pPr>
        <w:keepNext w:val="0"/>
        <w:keepLines w:val="0"/>
        <w:pageBreakBefore w:val="0"/>
        <w:widowControl w:val="0"/>
        <w:kinsoku/>
        <w:wordWrap/>
        <w:overflowPunct/>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仿宋_GB2312" w:eastAsia="仿宋_GB2312" w:cs="仿宋_GB2312"/>
          <w:kern w:val="0"/>
          <w:sz w:val="32"/>
          <w:szCs w:val="32"/>
        </w:rPr>
      </w:pPr>
      <w:r>
        <w:rPr>
          <w:rFonts w:hint="eastAsia" w:ascii="仿宋_GB2312" w:eastAsia="仿宋_GB2312" w:cs="仿宋_GB2312"/>
          <w:kern w:val="0"/>
          <w:sz w:val="32"/>
          <w:szCs w:val="32"/>
          <w:lang w:eastAsia="zh-CN"/>
        </w:rPr>
        <w:t>本部门</w:t>
      </w:r>
      <w:r>
        <w:rPr>
          <w:rFonts w:hint="eastAsia" w:ascii="仿宋_GB2312" w:eastAsia="仿宋_GB2312" w:cs="仿宋_GB2312"/>
          <w:kern w:val="0"/>
          <w:sz w:val="32"/>
          <w:szCs w:val="32"/>
        </w:rPr>
        <w:t>价值50万元以上通用设备0台，与上年持平，无增减变化。价值100万元以上专用设备0台，与上年持平，无增减变化。</w:t>
      </w:r>
    </w:p>
    <w:p>
      <w:pPr>
        <w:keepNext w:val="0"/>
        <w:keepLines w:val="0"/>
        <w:pageBreakBefore w:val="0"/>
        <w:widowControl w:val="0"/>
        <w:kinsoku/>
        <w:wordWrap/>
        <w:overflowPunct/>
        <w:topLinePunct w:val="0"/>
        <w:autoSpaceDE/>
        <w:autoSpaceDN/>
        <w:bidi w:val="0"/>
        <w:spacing w:line="578" w:lineRule="exact"/>
        <w:ind w:right="0" w:rightChars="0" w:firstLine="1110" w:firstLineChars="347"/>
        <w:jc w:val="center"/>
        <w:textAlignment w:val="auto"/>
        <w:outlineLvl w:val="0"/>
        <w:rPr>
          <w:rFonts w:ascii="仿宋_GB2312" w:hAnsi="仿宋_GB2312" w:eastAsia="仿宋_GB2312"/>
          <w:sz w:val="28"/>
          <w:szCs w:val="28"/>
        </w:rPr>
      </w:pPr>
      <w:r>
        <w:rPr>
          <w:rFonts w:hint="eastAsia" w:ascii="仿宋_GB2312" w:hAnsi="仿宋_GB2312" w:eastAsia="仿宋_GB2312"/>
          <w:sz w:val="32"/>
          <w:szCs w:val="32"/>
        </w:rPr>
        <w:t>财政局固定资产占用情况表</w:t>
      </w:r>
    </w:p>
    <w:tbl>
      <w:tblPr>
        <w:tblStyle w:val="5"/>
        <w:tblpPr w:leftFromText="180" w:rightFromText="180" w:vertAnchor="text" w:horzAnchor="page" w:tblpX="885" w:tblpY="582"/>
        <w:tblOverlap w:val="never"/>
        <w:tblW w:w="1042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783"/>
        <w:gridCol w:w="3323"/>
        <w:gridCol w:w="332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783" w:type="dxa"/>
          </w:tcPr>
          <w:p>
            <w:pPr>
              <w:widowControl/>
              <w:spacing w:line="580" w:lineRule="atLeast"/>
              <w:ind w:firstLine="640" w:firstLineChars="200"/>
              <w:jc w:val="center"/>
              <w:rPr>
                <w:rFonts w:ascii="仿宋_GB2312" w:hAnsi="仿宋_GB2312" w:eastAsia="仿宋_GB2312" w:cs="宋体"/>
                <w:sz w:val="32"/>
                <w:szCs w:val="32"/>
              </w:rPr>
            </w:pPr>
            <w:r>
              <w:rPr>
                <w:rFonts w:hint="eastAsia" w:ascii="仿宋_GB2312" w:hAnsi="仿宋_GB2312" w:eastAsia="仿宋_GB2312" w:cs="宋体"/>
                <w:sz w:val="32"/>
                <w:szCs w:val="32"/>
              </w:rPr>
              <w:t>项目</w:t>
            </w:r>
          </w:p>
        </w:tc>
        <w:tc>
          <w:tcPr>
            <w:tcW w:w="3323" w:type="dxa"/>
          </w:tcPr>
          <w:p>
            <w:pPr>
              <w:widowControl/>
              <w:spacing w:line="580" w:lineRule="atLeast"/>
              <w:ind w:firstLine="640" w:firstLineChars="200"/>
              <w:jc w:val="center"/>
              <w:rPr>
                <w:rFonts w:ascii="仿宋_GB2312" w:hAnsi="仿宋_GB2312" w:eastAsia="仿宋_GB2312" w:cs="宋体"/>
                <w:sz w:val="32"/>
                <w:szCs w:val="32"/>
              </w:rPr>
            </w:pPr>
            <w:r>
              <w:rPr>
                <w:rFonts w:hint="eastAsia" w:ascii="仿宋_GB2312" w:hAnsi="仿宋_GB2312" w:eastAsia="仿宋_GB2312" w:cs="宋体"/>
                <w:sz w:val="32"/>
                <w:szCs w:val="32"/>
              </w:rPr>
              <w:t>数量</w:t>
            </w:r>
          </w:p>
        </w:tc>
        <w:tc>
          <w:tcPr>
            <w:tcW w:w="3323" w:type="dxa"/>
          </w:tcPr>
          <w:p>
            <w:pPr>
              <w:widowControl/>
              <w:spacing w:line="580" w:lineRule="atLeast"/>
              <w:rPr>
                <w:rFonts w:ascii="仿宋_GB2312" w:hAnsi="仿宋_GB2312" w:eastAsia="仿宋_GB2312" w:cs="宋体"/>
                <w:sz w:val="32"/>
                <w:szCs w:val="32"/>
              </w:rPr>
            </w:pPr>
            <w:r>
              <w:rPr>
                <w:rFonts w:hint="eastAsia" w:ascii="仿宋_GB2312" w:hAnsi="仿宋_GB2312" w:eastAsia="仿宋_GB2312" w:cs="宋体"/>
                <w:sz w:val="32"/>
                <w:szCs w:val="32"/>
              </w:rPr>
              <w:t>价值(  金额）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783" w:type="dxa"/>
          </w:tcPr>
          <w:p>
            <w:pPr>
              <w:widowControl/>
              <w:spacing w:line="580" w:lineRule="atLeast"/>
              <w:ind w:firstLine="640" w:firstLineChars="200"/>
              <w:jc w:val="left"/>
              <w:rPr>
                <w:rFonts w:ascii="仿宋" w:hAnsi="仿宋" w:eastAsia="仿宋" w:cs="仿宋"/>
                <w:sz w:val="32"/>
                <w:szCs w:val="32"/>
              </w:rPr>
            </w:pPr>
            <w:r>
              <w:rPr>
                <w:rFonts w:hint="eastAsia" w:ascii="仿宋" w:hAnsi="仿宋" w:eastAsia="仿宋" w:cs="仿宋"/>
                <w:sz w:val="32"/>
                <w:szCs w:val="32"/>
              </w:rPr>
              <w:t>资产总额</w:t>
            </w:r>
          </w:p>
        </w:tc>
        <w:tc>
          <w:tcPr>
            <w:tcW w:w="3323" w:type="dxa"/>
          </w:tcPr>
          <w:p>
            <w:pPr>
              <w:widowControl/>
              <w:spacing w:line="580" w:lineRule="atLeast"/>
              <w:ind w:firstLine="640" w:firstLineChars="200"/>
              <w:jc w:val="center"/>
              <w:rPr>
                <w:rFonts w:ascii="仿宋" w:hAnsi="仿宋" w:eastAsia="仿宋" w:cs="仿宋"/>
                <w:sz w:val="32"/>
                <w:szCs w:val="32"/>
              </w:rPr>
            </w:pPr>
            <w:r>
              <w:rPr>
                <w:rFonts w:hint="eastAsia" w:ascii="仿宋" w:hAnsi="仿宋" w:eastAsia="仿宋" w:cs="仿宋"/>
                <w:sz w:val="32"/>
                <w:szCs w:val="32"/>
              </w:rPr>
              <w:t>—</w:t>
            </w:r>
          </w:p>
        </w:tc>
        <w:tc>
          <w:tcPr>
            <w:tcW w:w="3323" w:type="dxa"/>
          </w:tcPr>
          <w:p>
            <w:pPr>
              <w:widowControl/>
              <w:spacing w:line="580" w:lineRule="atLeast"/>
              <w:ind w:firstLine="640" w:firstLineChars="200"/>
              <w:jc w:val="center"/>
              <w:rPr>
                <w:rFonts w:hint="eastAsia" w:ascii="仿宋" w:hAnsi="仿宋" w:eastAsia="仿宋" w:cs="仿宋"/>
                <w:sz w:val="32"/>
                <w:szCs w:val="32"/>
                <w:lang w:eastAsia="zh-CN"/>
              </w:rPr>
            </w:pPr>
            <w:r>
              <w:rPr>
                <w:rFonts w:hint="eastAsia" w:ascii="仿宋" w:hAnsi="仿宋" w:eastAsia="仿宋" w:cs="仿宋"/>
                <w:sz w:val="32"/>
                <w:szCs w:val="32"/>
                <w:lang w:val="en-US" w:eastAsia="zh-CN"/>
              </w:rPr>
              <w:t>2704.45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783" w:type="dxa"/>
          </w:tcPr>
          <w:p>
            <w:pPr>
              <w:widowControl/>
              <w:spacing w:line="580" w:lineRule="atLeast"/>
              <w:ind w:firstLine="640" w:firstLineChars="200"/>
              <w:jc w:val="left"/>
              <w:rPr>
                <w:rFonts w:ascii="仿宋" w:hAnsi="仿宋" w:eastAsia="仿宋" w:cs="仿宋"/>
                <w:sz w:val="32"/>
                <w:szCs w:val="32"/>
              </w:rPr>
            </w:pPr>
            <w:r>
              <w:rPr>
                <w:rFonts w:hint="eastAsia" w:ascii="仿宋" w:hAnsi="仿宋" w:eastAsia="仿宋" w:cs="仿宋"/>
                <w:sz w:val="32"/>
                <w:szCs w:val="32"/>
              </w:rPr>
              <w:t>1、房屋（平方米）</w:t>
            </w:r>
          </w:p>
        </w:tc>
        <w:tc>
          <w:tcPr>
            <w:tcW w:w="3323" w:type="dxa"/>
          </w:tcPr>
          <w:p>
            <w:pPr>
              <w:widowControl/>
              <w:spacing w:line="580" w:lineRule="atLeast"/>
              <w:ind w:firstLine="640" w:firstLineChars="200"/>
              <w:jc w:val="center"/>
              <w:rPr>
                <w:rFonts w:ascii="仿宋" w:hAnsi="仿宋" w:eastAsia="仿宋" w:cs="仿宋"/>
                <w:sz w:val="32"/>
                <w:szCs w:val="32"/>
              </w:rPr>
            </w:pPr>
            <w:r>
              <w:rPr>
                <w:rFonts w:hint="eastAsia" w:ascii="仿宋" w:hAnsi="仿宋" w:eastAsia="仿宋" w:cs="仿宋"/>
                <w:sz w:val="32"/>
                <w:szCs w:val="32"/>
              </w:rPr>
              <w:t>7068.49</w:t>
            </w:r>
          </w:p>
        </w:tc>
        <w:tc>
          <w:tcPr>
            <w:tcW w:w="3323" w:type="dxa"/>
          </w:tcPr>
          <w:p>
            <w:pPr>
              <w:widowControl/>
              <w:spacing w:line="580" w:lineRule="atLeast"/>
              <w:ind w:firstLine="640" w:firstLineChars="200"/>
              <w:jc w:val="center"/>
              <w:rPr>
                <w:rFonts w:ascii="仿宋" w:hAnsi="仿宋" w:eastAsia="仿宋" w:cs="仿宋"/>
                <w:sz w:val="32"/>
                <w:szCs w:val="32"/>
              </w:rPr>
            </w:pPr>
            <w:r>
              <w:rPr>
                <w:rFonts w:hint="eastAsia" w:ascii="仿宋" w:hAnsi="仿宋" w:eastAsia="仿宋" w:cs="仿宋"/>
                <w:sz w:val="32"/>
                <w:szCs w:val="32"/>
              </w:rPr>
              <w:t>2262.03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783" w:type="dxa"/>
          </w:tcPr>
          <w:p>
            <w:pPr>
              <w:widowControl/>
              <w:spacing w:line="580" w:lineRule="atLeast"/>
              <w:ind w:firstLine="640" w:firstLineChars="200"/>
              <w:jc w:val="left"/>
              <w:rPr>
                <w:rFonts w:ascii="仿宋" w:hAnsi="仿宋" w:eastAsia="仿宋" w:cs="仿宋"/>
                <w:sz w:val="32"/>
                <w:szCs w:val="32"/>
              </w:rPr>
            </w:pPr>
            <w:r>
              <w:rPr>
                <w:rFonts w:hint="eastAsia" w:ascii="仿宋" w:hAnsi="仿宋" w:eastAsia="仿宋" w:cs="仿宋"/>
                <w:sz w:val="32"/>
                <w:szCs w:val="32"/>
              </w:rPr>
              <w:t>其中：办公用房（平方米）</w:t>
            </w:r>
          </w:p>
        </w:tc>
        <w:tc>
          <w:tcPr>
            <w:tcW w:w="3323" w:type="dxa"/>
          </w:tcPr>
          <w:p>
            <w:pPr>
              <w:widowControl/>
              <w:spacing w:line="580" w:lineRule="atLeast"/>
              <w:ind w:firstLine="640" w:firstLineChars="200"/>
              <w:jc w:val="center"/>
              <w:rPr>
                <w:rFonts w:ascii="仿宋" w:hAnsi="仿宋" w:eastAsia="仿宋" w:cs="仿宋"/>
                <w:sz w:val="32"/>
                <w:szCs w:val="32"/>
              </w:rPr>
            </w:pPr>
            <w:r>
              <w:rPr>
                <w:rFonts w:hint="eastAsia" w:ascii="仿宋" w:hAnsi="仿宋" w:eastAsia="仿宋" w:cs="仿宋"/>
                <w:sz w:val="32"/>
                <w:szCs w:val="32"/>
              </w:rPr>
              <w:t>7068.49</w:t>
            </w:r>
          </w:p>
        </w:tc>
        <w:tc>
          <w:tcPr>
            <w:tcW w:w="3323" w:type="dxa"/>
          </w:tcPr>
          <w:p>
            <w:pPr>
              <w:widowControl/>
              <w:spacing w:line="580" w:lineRule="atLeast"/>
              <w:ind w:firstLine="640" w:firstLineChars="200"/>
              <w:jc w:val="center"/>
              <w:rPr>
                <w:rFonts w:ascii="仿宋" w:hAnsi="仿宋" w:eastAsia="仿宋" w:cs="仿宋"/>
                <w:sz w:val="32"/>
                <w:szCs w:val="32"/>
              </w:rPr>
            </w:pPr>
            <w:r>
              <w:rPr>
                <w:rFonts w:hint="eastAsia" w:ascii="仿宋" w:hAnsi="仿宋" w:eastAsia="仿宋" w:cs="仿宋"/>
                <w:sz w:val="32"/>
                <w:szCs w:val="32"/>
              </w:rPr>
              <w:t>2262.03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783" w:type="dxa"/>
          </w:tcPr>
          <w:p>
            <w:pPr>
              <w:widowControl/>
              <w:spacing w:line="580" w:lineRule="atLeast"/>
              <w:ind w:firstLine="640" w:firstLineChars="200"/>
              <w:jc w:val="left"/>
              <w:rPr>
                <w:rFonts w:ascii="仿宋" w:hAnsi="仿宋" w:eastAsia="仿宋" w:cs="仿宋"/>
                <w:sz w:val="32"/>
                <w:szCs w:val="32"/>
              </w:rPr>
            </w:pPr>
            <w:r>
              <w:rPr>
                <w:rFonts w:hint="eastAsia" w:ascii="仿宋" w:hAnsi="仿宋" w:eastAsia="仿宋" w:cs="仿宋"/>
                <w:sz w:val="32"/>
                <w:szCs w:val="32"/>
              </w:rPr>
              <w:t>2、车辆（台、辆）</w:t>
            </w:r>
          </w:p>
        </w:tc>
        <w:tc>
          <w:tcPr>
            <w:tcW w:w="3323" w:type="dxa"/>
          </w:tcPr>
          <w:p>
            <w:pPr>
              <w:widowControl/>
              <w:spacing w:line="580" w:lineRule="atLeast"/>
              <w:ind w:firstLine="640" w:firstLineChars="200"/>
              <w:jc w:val="center"/>
              <w:rPr>
                <w:rFonts w:ascii="仿宋" w:hAnsi="仿宋" w:eastAsia="仿宋" w:cs="仿宋"/>
                <w:sz w:val="32"/>
                <w:szCs w:val="32"/>
              </w:rPr>
            </w:pPr>
            <w:r>
              <w:rPr>
                <w:rFonts w:hint="eastAsia" w:ascii="仿宋" w:hAnsi="仿宋" w:eastAsia="仿宋" w:cs="仿宋"/>
                <w:sz w:val="32"/>
                <w:szCs w:val="32"/>
              </w:rPr>
              <w:t>3</w:t>
            </w:r>
          </w:p>
        </w:tc>
        <w:tc>
          <w:tcPr>
            <w:tcW w:w="3323" w:type="dxa"/>
          </w:tcPr>
          <w:p>
            <w:pPr>
              <w:widowControl/>
              <w:spacing w:line="580" w:lineRule="atLeast"/>
              <w:ind w:firstLine="640" w:firstLineChars="200"/>
              <w:jc w:val="center"/>
              <w:rPr>
                <w:rFonts w:ascii="仿宋" w:hAnsi="仿宋" w:eastAsia="仿宋" w:cs="仿宋"/>
                <w:sz w:val="32"/>
                <w:szCs w:val="32"/>
              </w:rPr>
            </w:pPr>
            <w:r>
              <w:rPr>
                <w:rFonts w:hint="eastAsia" w:ascii="仿宋" w:hAnsi="仿宋" w:eastAsia="仿宋" w:cs="仿宋"/>
                <w:sz w:val="32"/>
                <w:szCs w:val="32"/>
              </w:rPr>
              <w:t>41.99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783" w:type="dxa"/>
          </w:tcPr>
          <w:p>
            <w:pPr>
              <w:widowControl/>
              <w:spacing w:line="580" w:lineRule="atLeast"/>
              <w:ind w:firstLine="640" w:firstLineChars="200"/>
              <w:jc w:val="left"/>
              <w:rPr>
                <w:rFonts w:ascii="仿宋" w:hAnsi="仿宋" w:eastAsia="仿宋" w:cs="仿宋"/>
                <w:sz w:val="32"/>
                <w:szCs w:val="32"/>
              </w:rPr>
            </w:pPr>
            <w:r>
              <w:rPr>
                <w:rFonts w:hint="eastAsia" w:ascii="仿宋" w:hAnsi="仿宋" w:eastAsia="仿宋" w:cs="仿宋"/>
                <w:sz w:val="32"/>
                <w:szCs w:val="32"/>
              </w:rPr>
              <w:t>3、单价在50万元以上的设备</w:t>
            </w:r>
          </w:p>
        </w:tc>
        <w:tc>
          <w:tcPr>
            <w:tcW w:w="3323" w:type="dxa"/>
          </w:tcPr>
          <w:p>
            <w:pPr>
              <w:widowControl/>
              <w:spacing w:line="580" w:lineRule="atLeast"/>
              <w:ind w:firstLine="640" w:firstLineChars="200"/>
              <w:jc w:val="center"/>
              <w:rPr>
                <w:rFonts w:ascii="仿宋" w:hAnsi="仿宋" w:eastAsia="仿宋" w:cs="仿宋"/>
                <w:sz w:val="32"/>
                <w:szCs w:val="32"/>
              </w:rPr>
            </w:pPr>
            <w:r>
              <w:rPr>
                <w:rFonts w:hint="eastAsia" w:ascii="仿宋" w:hAnsi="仿宋" w:eastAsia="仿宋" w:cs="仿宋"/>
                <w:sz w:val="32"/>
                <w:szCs w:val="32"/>
              </w:rPr>
              <w:t>—</w:t>
            </w:r>
          </w:p>
        </w:tc>
        <w:tc>
          <w:tcPr>
            <w:tcW w:w="3323" w:type="dxa"/>
          </w:tcPr>
          <w:p>
            <w:pPr>
              <w:widowControl/>
              <w:spacing w:line="580" w:lineRule="atLeast"/>
              <w:ind w:firstLine="640" w:firstLineChars="200"/>
              <w:jc w:val="center"/>
              <w:rPr>
                <w:rFonts w:ascii="仿宋" w:hAnsi="仿宋" w:eastAsia="仿宋" w:cs="仿宋"/>
                <w:sz w:val="32"/>
                <w:szCs w:val="32"/>
              </w:rPr>
            </w:pPr>
            <w:r>
              <w:rPr>
                <w:rFonts w:hint="eastAsia" w:ascii="仿宋" w:hAnsi="仿宋" w:eastAsia="仿宋" w:cs="仿宋"/>
                <w:sz w:val="32"/>
                <w:szCs w:val="32"/>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783" w:type="dxa"/>
          </w:tcPr>
          <w:p>
            <w:pPr>
              <w:widowControl/>
              <w:spacing w:line="580" w:lineRule="atLeast"/>
              <w:ind w:firstLine="640" w:firstLineChars="200"/>
              <w:jc w:val="left"/>
              <w:rPr>
                <w:rFonts w:ascii="仿宋" w:hAnsi="仿宋" w:eastAsia="仿宋" w:cs="仿宋"/>
                <w:sz w:val="32"/>
                <w:szCs w:val="32"/>
              </w:rPr>
            </w:pPr>
            <w:r>
              <w:rPr>
                <w:rFonts w:hint="eastAsia" w:ascii="仿宋" w:hAnsi="仿宋" w:eastAsia="仿宋" w:cs="仿宋"/>
                <w:sz w:val="32"/>
                <w:szCs w:val="32"/>
              </w:rPr>
              <w:t>4、其他固定资产</w:t>
            </w:r>
          </w:p>
        </w:tc>
        <w:tc>
          <w:tcPr>
            <w:tcW w:w="3323" w:type="dxa"/>
          </w:tcPr>
          <w:p>
            <w:pPr>
              <w:widowControl/>
              <w:spacing w:line="580" w:lineRule="atLeast"/>
              <w:ind w:firstLine="640" w:firstLineChars="200"/>
              <w:jc w:val="center"/>
              <w:rPr>
                <w:rFonts w:ascii="仿宋" w:hAnsi="仿宋" w:eastAsia="仿宋" w:cs="仿宋"/>
                <w:sz w:val="32"/>
                <w:szCs w:val="32"/>
              </w:rPr>
            </w:pPr>
            <w:r>
              <w:rPr>
                <w:rFonts w:hint="eastAsia" w:ascii="仿宋" w:hAnsi="仿宋" w:eastAsia="仿宋" w:cs="仿宋"/>
                <w:sz w:val="32"/>
                <w:szCs w:val="32"/>
              </w:rPr>
              <w:t>—</w:t>
            </w:r>
          </w:p>
        </w:tc>
        <w:tc>
          <w:tcPr>
            <w:tcW w:w="3323" w:type="dxa"/>
          </w:tcPr>
          <w:p>
            <w:pPr>
              <w:widowControl/>
              <w:spacing w:line="580" w:lineRule="atLeast"/>
              <w:ind w:firstLine="640" w:firstLineChars="200"/>
              <w:jc w:val="center"/>
              <w:rPr>
                <w:rFonts w:hint="eastAsia" w:ascii="仿宋" w:hAnsi="仿宋" w:eastAsia="仿宋" w:cs="仿宋"/>
                <w:sz w:val="32"/>
                <w:szCs w:val="32"/>
                <w:lang w:eastAsia="zh-CN"/>
              </w:rPr>
            </w:pPr>
            <w:r>
              <w:rPr>
                <w:rFonts w:hint="eastAsia" w:ascii="仿宋" w:hAnsi="仿宋" w:eastAsia="仿宋" w:cs="仿宋"/>
                <w:sz w:val="32"/>
                <w:szCs w:val="32"/>
                <w:lang w:val="en-US" w:eastAsia="zh-CN"/>
              </w:rPr>
              <w:t>400.43</w:t>
            </w:r>
          </w:p>
        </w:tc>
      </w:tr>
    </w:tbl>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rightChars="0" w:firstLine="640" w:firstLineChars="200"/>
        <w:jc w:val="both"/>
        <w:textAlignment w:val="auto"/>
        <w:outlineLvl w:val="9"/>
        <w:rPr>
          <w:rFonts w:ascii="黑体" w:hAnsi="Times New Roman" w:eastAsia="黑体" w:cs="Times New Roman"/>
          <w:sz w:val="32"/>
          <w:szCs w:val="32"/>
        </w:rPr>
      </w:pPr>
      <w:r>
        <w:rPr>
          <w:rFonts w:hint="eastAsia" w:ascii="黑体" w:hAnsi="Times New Roman" w:eastAsia="黑体" w:cs="黑体"/>
          <w:sz w:val="32"/>
          <w:szCs w:val="32"/>
          <w:lang w:eastAsia="zh-CN"/>
        </w:rPr>
        <w:t>九</w:t>
      </w:r>
      <w:r>
        <w:rPr>
          <w:rFonts w:hint="eastAsia" w:ascii="黑体" w:hAnsi="Times New Roman" w:eastAsia="黑体" w:cs="黑体"/>
          <w:sz w:val="32"/>
          <w:szCs w:val="32"/>
        </w:rPr>
        <w:t>、预算绩效情况说明</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rightChars="0" w:firstLine="643" w:firstLineChars="200"/>
        <w:jc w:val="both"/>
        <w:textAlignment w:val="auto"/>
        <w:outlineLvl w:val="9"/>
        <w:rPr>
          <w:rFonts w:hint="eastAsia" w:ascii="仿宋_GB2312" w:hAnsi="仿宋_GB2312" w:eastAsia="仿宋_GB2312" w:cs="仿宋_GB2312"/>
          <w:b/>
          <w:bCs/>
          <w:sz w:val="32"/>
          <w:szCs w:val="32"/>
        </w:rPr>
      </w:pPr>
      <w:r>
        <w:rPr>
          <w:rFonts w:hint="eastAsia" w:ascii="黑体" w:hAnsi="黑体" w:eastAsia="黑体" w:cs="黑体"/>
          <w:b/>
          <w:bCs/>
          <w:sz w:val="32"/>
          <w:szCs w:val="32"/>
        </w:rPr>
        <w:t>（一）预算绩效管理工作开展情况</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rightChars="0" w:firstLine="640" w:firstLineChars="200"/>
        <w:jc w:val="both"/>
        <w:textAlignment w:val="auto"/>
        <w:outlineLvl w:val="9"/>
        <w:rPr>
          <w:rFonts w:hint="eastAsia" w:ascii="仿宋_GB2312" w:eastAsia="仿宋_GB2312" w:cs="仿宋_GB2312"/>
          <w:kern w:val="0"/>
          <w:sz w:val="32"/>
          <w:szCs w:val="32"/>
        </w:rPr>
      </w:pPr>
      <w:r>
        <w:rPr>
          <w:rFonts w:hint="eastAsia" w:ascii="仿宋_GB2312" w:eastAsia="仿宋_GB2312" w:cs="仿宋_GB2312"/>
          <w:kern w:val="0"/>
          <w:sz w:val="32"/>
          <w:szCs w:val="32"/>
        </w:rPr>
        <w:t>根据河北省委省政府《关于全面实施预算绩效管理的实施意见》（冀发）〔2018〕54号）、《河北省财政厅关于贯彻落实中央和省委省政府决策部署全面实施预算绩效管理的通知》（冀财预〔2019〕7号）、《河北省省级部门预算项目绩效自评管理办法》（冀财绩〔2019〕10号）、鹿泉区人民政府《关于全面实施预算绩效管理的实施意见》（鹿发〔</w:t>
      </w:r>
      <w:r>
        <w:rPr>
          <w:rFonts w:hint="eastAsia" w:ascii="仿宋_GB2312" w:eastAsia="仿宋_GB2312" w:cs="仿宋_GB2312"/>
          <w:kern w:val="0"/>
          <w:sz w:val="32"/>
          <w:szCs w:val="32"/>
          <w:lang w:val="en-US" w:eastAsia="zh-CN"/>
        </w:rPr>
        <w:t>2019</w:t>
      </w:r>
      <w:r>
        <w:rPr>
          <w:rFonts w:hint="eastAsia" w:ascii="仿宋_GB2312" w:eastAsia="仿宋_GB2312" w:cs="仿宋_GB2312"/>
          <w:kern w:val="0"/>
          <w:sz w:val="32"/>
          <w:szCs w:val="32"/>
        </w:rPr>
        <w:t>〕8号）</w:t>
      </w:r>
      <w:r>
        <w:rPr>
          <w:rFonts w:hint="eastAsia" w:ascii="仿宋_GB2312" w:eastAsia="仿宋_GB2312" w:cs="仿宋_GB2312"/>
          <w:kern w:val="0"/>
          <w:sz w:val="32"/>
          <w:szCs w:val="32"/>
          <w:lang w:eastAsia="zh-CN"/>
        </w:rPr>
        <w:t>、《鹿泉区区级部门项目绩效自评管理办法》（鹿财字</w:t>
      </w:r>
      <w:r>
        <w:rPr>
          <w:rFonts w:hint="eastAsia" w:ascii="仿宋_GB2312" w:eastAsia="仿宋_GB2312" w:cs="仿宋_GB2312"/>
          <w:kern w:val="0"/>
          <w:sz w:val="32"/>
          <w:szCs w:val="32"/>
        </w:rPr>
        <w:t>〔</w:t>
      </w:r>
      <w:r>
        <w:rPr>
          <w:rFonts w:hint="eastAsia" w:ascii="仿宋_GB2312" w:eastAsia="仿宋_GB2312" w:cs="仿宋_GB2312"/>
          <w:kern w:val="0"/>
          <w:sz w:val="32"/>
          <w:szCs w:val="32"/>
          <w:lang w:val="en-US" w:eastAsia="zh-CN"/>
        </w:rPr>
        <w:t>2020</w:t>
      </w:r>
      <w:r>
        <w:rPr>
          <w:rFonts w:hint="eastAsia" w:ascii="仿宋_GB2312" w:eastAsia="仿宋_GB2312" w:cs="仿宋_GB2312"/>
          <w:kern w:val="0"/>
          <w:sz w:val="32"/>
          <w:szCs w:val="32"/>
        </w:rPr>
        <w:t>〕1</w:t>
      </w:r>
      <w:r>
        <w:rPr>
          <w:rFonts w:hint="eastAsia" w:ascii="仿宋_GB2312" w:eastAsia="仿宋_GB2312" w:cs="仿宋_GB2312"/>
          <w:kern w:val="0"/>
          <w:sz w:val="32"/>
          <w:szCs w:val="32"/>
          <w:lang w:val="en-US" w:eastAsia="zh-CN"/>
        </w:rPr>
        <w:t>8号）</w:t>
      </w:r>
      <w:r>
        <w:rPr>
          <w:rFonts w:hint="eastAsia" w:ascii="仿宋_GB2312" w:eastAsia="仿宋_GB2312" w:cs="仿宋_GB2312"/>
          <w:kern w:val="0"/>
          <w:sz w:val="32"/>
          <w:szCs w:val="32"/>
        </w:rPr>
        <w:t>等文件要求，本</w:t>
      </w:r>
      <w:r>
        <w:rPr>
          <w:rFonts w:hint="eastAsia" w:ascii="仿宋_GB2312" w:eastAsia="仿宋_GB2312" w:cs="仿宋_GB2312"/>
          <w:kern w:val="0"/>
          <w:sz w:val="32"/>
          <w:szCs w:val="32"/>
          <w:lang w:eastAsia="zh-CN"/>
        </w:rPr>
        <w:t>部门</w:t>
      </w:r>
      <w:r>
        <w:rPr>
          <w:rFonts w:hint="eastAsia" w:ascii="仿宋_GB2312" w:eastAsia="仿宋_GB2312" w:cs="仿宋_GB2312"/>
          <w:kern w:val="0"/>
          <w:sz w:val="32"/>
          <w:szCs w:val="32"/>
        </w:rPr>
        <w:t>组织对202</w:t>
      </w:r>
      <w:r>
        <w:rPr>
          <w:rFonts w:hint="eastAsia" w:ascii="仿宋_GB2312" w:eastAsia="仿宋_GB2312" w:cs="仿宋_GB2312"/>
          <w:kern w:val="0"/>
          <w:sz w:val="32"/>
          <w:szCs w:val="32"/>
          <w:lang w:val="en-US" w:eastAsia="zh-CN"/>
        </w:rPr>
        <w:t>2</w:t>
      </w:r>
      <w:r>
        <w:rPr>
          <w:rFonts w:hint="eastAsia" w:ascii="仿宋_GB2312" w:eastAsia="仿宋_GB2312" w:cs="仿宋_GB2312"/>
          <w:kern w:val="0"/>
          <w:sz w:val="32"/>
          <w:szCs w:val="32"/>
        </w:rPr>
        <w:t>年度一般公共预算</w:t>
      </w:r>
      <w:r>
        <w:rPr>
          <w:rFonts w:hint="eastAsia" w:ascii="仿宋_GB2312" w:eastAsia="仿宋_GB2312" w:cs="仿宋_GB2312"/>
          <w:kern w:val="0"/>
          <w:sz w:val="32"/>
          <w:szCs w:val="32"/>
          <w:lang w:val="en-US" w:eastAsia="zh-CN"/>
        </w:rPr>
        <w:t>29</w:t>
      </w:r>
      <w:r>
        <w:rPr>
          <w:rFonts w:hint="eastAsia" w:ascii="仿宋_GB2312" w:eastAsia="仿宋_GB2312" w:cs="仿宋_GB2312"/>
          <w:kern w:val="0"/>
          <w:sz w:val="32"/>
          <w:szCs w:val="32"/>
        </w:rPr>
        <w:t>个项目全面开展绩效自评，共涉及资金</w:t>
      </w:r>
      <w:r>
        <w:rPr>
          <w:rFonts w:hint="eastAsia" w:ascii="仿宋_GB2312" w:eastAsia="仿宋_GB2312" w:cs="仿宋_GB2312"/>
          <w:kern w:val="0"/>
          <w:sz w:val="32"/>
          <w:szCs w:val="32"/>
          <w:lang w:val="en-US" w:eastAsia="zh-CN"/>
        </w:rPr>
        <w:t>15534.6</w:t>
      </w:r>
      <w:r>
        <w:rPr>
          <w:rFonts w:hint="eastAsia" w:ascii="仿宋_GB2312" w:eastAsia="仿宋_GB2312" w:cs="仿宋_GB2312"/>
          <w:kern w:val="0"/>
          <w:sz w:val="32"/>
          <w:szCs w:val="32"/>
        </w:rPr>
        <w:t>万元。</w:t>
      </w:r>
    </w:p>
    <w:p>
      <w:pPr>
        <w:keepNext w:val="0"/>
        <w:keepLines w:val="0"/>
        <w:pageBreakBefore w:val="0"/>
        <w:widowControl w:val="0"/>
        <w:numPr>
          <w:ilvl w:val="0"/>
          <w:numId w:val="4"/>
        </w:numPr>
        <w:kinsoku/>
        <w:wordWrap/>
        <w:overflowPunct/>
        <w:topLinePunct w:val="0"/>
        <w:autoSpaceDE/>
        <w:autoSpaceDN/>
        <w:bidi w:val="0"/>
        <w:adjustRightInd w:val="0"/>
        <w:snapToGrid w:val="0"/>
        <w:spacing w:line="578" w:lineRule="exact"/>
        <w:ind w:left="0" w:leftChars="0" w:right="0" w:rightChars="0" w:firstLine="643" w:firstLineChars="200"/>
        <w:jc w:val="both"/>
        <w:textAlignment w:val="auto"/>
        <w:outlineLvl w:val="9"/>
        <w:rPr>
          <w:rFonts w:hint="eastAsia" w:ascii="黑体" w:hAnsi="黑体" w:eastAsia="黑体" w:cs="黑体"/>
          <w:b/>
          <w:bCs/>
          <w:sz w:val="32"/>
          <w:szCs w:val="32"/>
        </w:rPr>
      </w:pPr>
      <w:r>
        <w:rPr>
          <w:rFonts w:hint="eastAsia" w:ascii="黑体" w:hAnsi="黑体" w:eastAsia="黑体" w:cs="黑体"/>
          <w:b/>
          <w:bCs/>
          <w:sz w:val="32"/>
          <w:szCs w:val="32"/>
          <w:lang w:eastAsia="zh-CN"/>
        </w:rPr>
        <w:t>部门</w:t>
      </w:r>
      <w:r>
        <w:rPr>
          <w:rFonts w:hint="eastAsia" w:ascii="黑体" w:hAnsi="黑体" w:eastAsia="黑体" w:cs="黑体"/>
          <w:b/>
          <w:bCs/>
          <w:sz w:val="32"/>
          <w:szCs w:val="32"/>
        </w:rPr>
        <w:t>决算中项目绩效自评结果。</w:t>
      </w:r>
    </w:p>
    <w:p>
      <w:pPr>
        <w:keepNext w:val="0"/>
        <w:keepLines w:val="0"/>
        <w:pageBreakBefore w:val="0"/>
        <w:widowControl w:val="0"/>
        <w:numPr>
          <w:ilvl w:val="0"/>
          <w:numId w:val="0"/>
        </w:numPr>
        <w:kinsoku/>
        <w:wordWrap/>
        <w:overflowPunct/>
        <w:topLinePunct w:val="0"/>
        <w:autoSpaceDE/>
        <w:autoSpaceDN/>
        <w:bidi w:val="0"/>
        <w:adjustRightInd w:val="0"/>
        <w:snapToGrid w:val="0"/>
        <w:spacing w:line="578" w:lineRule="exact"/>
        <w:ind w:left="0" w:leftChars="0" w:right="0" w:rightChars="0" w:firstLine="640" w:firstLineChars="0"/>
        <w:jc w:val="both"/>
        <w:textAlignment w:val="auto"/>
        <w:outlineLvl w:val="9"/>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202</w:t>
      </w:r>
      <w:r>
        <w:rPr>
          <w:rFonts w:hint="eastAsia" w:ascii="仿宋_GB2312" w:hAnsi="仿宋_GB2312" w:eastAsia="仿宋_GB2312" w:cs="仿宋_GB2312"/>
          <w:kern w:val="0"/>
          <w:sz w:val="32"/>
          <w:szCs w:val="32"/>
          <w:lang w:val="en-US" w:eastAsia="zh-CN"/>
        </w:rPr>
        <w:t>2</w:t>
      </w:r>
      <w:r>
        <w:rPr>
          <w:rFonts w:hint="eastAsia" w:ascii="仿宋_GB2312" w:hAnsi="仿宋_GB2312" w:eastAsia="仿宋_GB2312" w:cs="仿宋_GB2312"/>
          <w:kern w:val="0"/>
          <w:sz w:val="32"/>
          <w:szCs w:val="32"/>
        </w:rPr>
        <w:t>年本</w:t>
      </w:r>
      <w:r>
        <w:rPr>
          <w:rFonts w:hint="eastAsia" w:ascii="仿宋_GB2312" w:hAnsi="仿宋_GB2312" w:eastAsia="仿宋_GB2312" w:cs="仿宋_GB2312"/>
          <w:kern w:val="0"/>
          <w:sz w:val="32"/>
          <w:szCs w:val="32"/>
          <w:lang w:eastAsia="zh-CN"/>
        </w:rPr>
        <w:t>部门</w:t>
      </w:r>
      <w:r>
        <w:rPr>
          <w:rFonts w:hint="eastAsia" w:ascii="仿宋_GB2312" w:hAnsi="仿宋_GB2312" w:eastAsia="仿宋_GB2312" w:cs="仿宋_GB2312"/>
          <w:kern w:val="0"/>
          <w:sz w:val="32"/>
          <w:szCs w:val="32"/>
        </w:rPr>
        <w:t>绩效自评项目共</w:t>
      </w:r>
      <w:r>
        <w:rPr>
          <w:rFonts w:hint="eastAsia" w:ascii="仿宋_GB2312" w:hAnsi="仿宋_GB2312" w:eastAsia="仿宋_GB2312" w:cs="仿宋_GB2312"/>
          <w:kern w:val="0"/>
          <w:sz w:val="32"/>
          <w:szCs w:val="32"/>
          <w:lang w:val="en-US" w:eastAsia="zh-CN"/>
        </w:rPr>
        <w:t>29</w:t>
      </w:r>
      <w:r>
        <w:rPr>
          <w:rFonts w:hint="eastAsia" w:ascii="仿宋_GB2312" w:hAnsi="仿宋_GB2312" w:eastAsia="仿宋_GB2312" w:cs="仿宋_GB2312"/>
          <w:kern w:val="0"/>
          <w:sz w:val="32"/>
          <w:szCs w:val="32"/>
        </w:rPr>
        <w:t>个，其中评价等级为“优”项目</w:t>
      </w:r>
      <w:r>
        <w:rPr>
          <w:rFonts w:hint="eastAsia" w:ascii="仿宋_GB2312" w:hAnsi="仿宋_GB2312" w:eastAsia="仿宋_GB2312" w:cs="仿宋_GB2312"/>
          <w:kern w:val="0"/>
          <w:sz w:val="32"/>
          <w:szCs w:val="32"/>
          <w:lang w:val="en-US" w:eastAsia="zh-CN"/>
        </w:rPr>
        <w:t>27</w:t>
      </w:r>
      <w:r>
        <w:rPr>
          <w:rFonts w:hint="eastAsia" w:ascii="仿宋_GB2312" w:hAnsi="仿宋_GB2312" w:eastAsia="仿宋_GB2312" w:cs="仿宋_GB2312"/>
          <w:kern w:val="0"/>
          <w:sz w:val="32"/>
          <w:szCs w:val="32"/>
        </w:rPr>
        <w:t>个，评优率为</w:t>
      </w:r>
      <w:r>
        <w:rPr>
          <w:rFonts w:hint="eastAsia" w:ascii="仿宋_GB2312" w:hAnsi="仿宋_GB2312" w:eastAsia="仿宋_GB2312" w:cs="仿宋_GB2312"/>
          <w:kern w:val="0"/>
          <w:sz w:val="32"/>
          <w:szCs w:val="32"/>
          <w:lang w:val="en-US" w:eastAsia="zh-CN"/>
        </w:rPr>
        <w:t>93.1</w:t>
      </w:r>
      <w:r>
        <w:rPr>
          <w:rFonts w:hint="eastAsia" w:ascii="仿宋_GB2312" w:hAnsi="仿宋_GB2312" w:eastAsia="仿宋_GB2312" w:cs="仿宋_GB2312"/>
          <w:kern w:val="0"/>
          <w:sz w:val="32"/>
          <w:szCs w:val="32"/>
        </w:rPr>
        <w:t>%；评价等级为“良”的项目</w:t>
      </w:r>
      <w:r>
        <w:rPr>
          <w:rFonts w:hint="eastAsia" w:ascii="仿宋_GB2312" w:hAnsi="仿宋_GB2312" w:eastAsia="仿宋_GB2312" w:cs="仿宋_GB2312"/>
          <w:kern w:val="0"/>
          <w:sz w:val="32"/>
          <w:szCs w:val="32"/>
          <w:lang w:val="en-US" w:eastAsia="zh-CN"/>
        </w:rPr>
        <w:t>2</w:t>
      </w:r>
      <w:r>
        <w:rPr>
          <w:rFonts w:hint="eastAsia" w:ascii="仿宋_GB2312" w:hAnsi="仿宋_GB2312" w:eastAsia="仿宋_GB2312" w:cs="仿宋_GB2312"/>
          <w:kern w:val="0"/>
          <w:sz w:val="32"/>
          <w:szCs w:val="32"/>
        </w:rPr>
        <w:t>个，评良率为</w:t>
      </w:r>
      <w:r>
        <w:rPr>
          <w:rFonts w:hint="eastAsia" w:ascii="仿宋_GB2312" w:hAnsi="仿宋_GB2312" w:eastAsia="仿宋_GB2312" w:cs="仿宋_GB2312"/>
          <w:kern w:val="0"/>
          <w:sz w:val="32"/>
          <w:szCs w:val="32"/>
          <w:lang w:val="en-US" w:eastAsia="zh-CN"/>
        </w:rPr>
        <w:t>6.9</w:t>
      </w:r>
      <w:r>
        <w:rPr>
          <w:rFonts w:hint="eastAsia" w:ascii="仿宋_GB2312" w:hAnsi="仿宋_GB2312" w:eastAsia="仿宋_GB2312" w:cs="仿宋_GB2312"/>
          <w:kern w:val="0"/>
          <w:sz w:val="32"/>
          <w:szCs w:val="32"/>
        </w:rPr>
        <w:t>%。详见下表。</w:t>
      </w:r>
    </w:p>
    <w:p>
      <w:pPr>
        <w:keepNext w:val="0"/>
        <w:keepLines w:val="0"/>
        <w:pageBreakBefore w:val="0"/>
        <w:widowControl w:val="0"/>
        <w:numPr>
          <w:ilvl w:val="0"/>
          <w:numId w:val="0"/>
        </w:numPr>
        <w:kinsoku/>
        <w:wordWrap/>
        <w:overflowPunct/>
        <w:topLinePunct w:val="0"/>
        <w:autoSpaceDE/>
        <w:autoSpaceDN/>
        <w:bidi w:val="0"/>
        <w:adjustRightInd w:val="0"/>
        <w:snapToGrid w:val="0"/>
        <w:spacing w:line="578" w:lineRule="exact"/>
        <w:ind w:left="0" w:leftChars="0" w:right="0" w:rightChars="0" w:firstLine="640" w:firstLineChars="0"/>
        <w:jc w:val="both"/>
        <w:textAlignment w:val="auto"/>
        <w:outlineLvl w:val="9"/>
        <w:rPr>
          <w:rFonts w:hint="eastAsia" w:ascii="仿宋_GB2312" w:hAnsi="仿宋_GB2312" w:eastAsia="仿宋_GB2312" w:cs="仿宋_GB2312"/>
          <w:kern w:val="0"/>
          <w:sz w:val="32"/>
          <w:szCs w:val="32"/>
        </w:rPr>
      </w:pPr>
    </w:p>
    <w:p>
      <w:pPr>
        <w:keepNext w:val="0"/>
        <w:keepLines w:val="0"/>
        <w:pageBreakBefore w:val="0"/>
        <w:widowControl w:val="0"/>
        <w:numPr>
          <w:ilvl w:val="0"/>
          <w:numId w:val="0"/>
        </w:numPr>
        <w:kinsoku/>
        <w:wordWrap/>
        <w:overflowPunct/>
        <w:topLinePunct w:val="0"/>
        <w:autoSpaceDE/>
        <w:autoSpaceDN/>
        <w:bidi w:val="0"/>
        <w:adjustRightInd w:val="0"/>
        <w:snapToGrid w:val="0"/>
        <w:spacing w:line="578" w:lineRule="exact"/>
        <w:ind w:left="0" w:leftChars="0" w:right="0" w:rightChars="0" w:firstLine="640" w:firstLineChars="0"/>
        <w:jc w:val="both"/>
        <w:textAlignment w:val="auto"/>
        <w:outlineLvl w:val="9"/>
        <w:rPr>
          <w:rFonts w:hint="eastAsia" w:ascii="仿宋_GB2312" w:hAnsi="仿宋_GB2312" w:eastAsia="仿宋_GB2312" w:cs="仿宋_GB2312"/>
          <w:kern w:val="0"/>
          <w:sz w:val="32"/>
          <w:szCs w:val="32"/>
        </w:rPr>
      </w:pPr>
    </w:p>
    <w:p>
      <w:pPr>
        <w:keepNext w:val="0"/>
        <w:keepLines w:val="0"/>
        <w:pageBreakBefore w:val="0"/>
        <w:widowControl w:val="0"/>
        <w:numPr>
          <w:ilvl w:val="0"/>
          <w:numId w:val="0"/>
        </w:numPr>
        <w:kinsoku/>
        <w:wordWrap/>
        <w:overflowPunct/>
        <w:topLinePunct w:val="0"/>
        <w:autoSpaceDE/>
        <w:autoSpaceDN/>
        <w:bidi w:val="0"/>
        <w:adjustRightInd w:val="0"/>
        <w:snapToGrid w:val="0"/>
        <w:spacing w:line="578" w:lineRule="exact"/>
        <w:ind w:right="0" w:rightChars="0"/>
        <w:jc w:val="both"/>
        <w:textAlignment w:val="auto"/>
        <w:outlineLvl w:val="9"/>
        <w:rPr>
          <w:rFonts w:hint="eastAsia" w:ascii="仿宋_GB2312" w:hAnsi="仿宋_GB2312" w:eastAsia="仿宋_GB2312" w:cs="仿宋_GB2312"/>
          <w:kern w:val="0"/>
          <w:sz w:val="32"/>
          <w:szCs w:val="32"/>
        </w:rPr>
      </w:pPr>
    </w:p>
    <w:tbl>
      <w:tblPr>
        <w:tblStyle w:val="5"/>
        <w:tblW w:w="951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703"/>
        <w:gridCol w:w="1811"/>
        <w:gridCol w:w="1529"/>
        <w:gridCol w:w="1082"/>
        <w:gridCol w:w="1210"/>
        <w:gridCol w:w="1046"/>
        <w:gridCol w:w="1089"/>
        <w:gridCol w:w="1032"/>
        <w:gridCol w:w="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gridAfter w:val="1"/>
          <w:wAfter w:w="8" w:type="dxa"/>
          <w:trHeight w:val="294" w:hRule="atLeast"/>
        </w:trPr>
        <w:tc>
          <w:tcPr>
            <w:tcW w:w="9502" w:type="dxa"/>
            <w:gridSpan w:val="8"/>
            <w:shd w:val="clear" w:color="auto" w:fill="auto"/>
            <w:vAlign w:val="center"/>
          </w:tcPr>
          <w:p>
            <w:pPr>
              <w:keepNext w:val="0"/>
              <w:keepLines w:val="0"/>
              <w:widowControl/>
              <w:suppressLineNumbers w:val="0"/>
              <w:jc w:val="both"/>
              <w:textAlignment w:val="center"/>
              <w:rPr>
                <w:rFonts w:hint="eastAsia" w:ascii="宋体" w:hAnsi="宋体" w:eastAsia="宋体" w:cs="宋体"/>
                <w:i w:val="0"/>
                <w:color w:val="000000"/>
                <w:sz w:val="44"/>
                <w:szCs w:val="44"/>
                <w:u w:val="none"/>
              </w:rPr>
            </w:pPr>
            <w:r>
              <w:rPr>
                <w:rFonts w:hint="eastAsia" w:ascii="宋体" w:hAnsi="宋体" w:eastAsia="宋体" w:cs="宋体"/>
                <w:i w:val="0"/>
                <w:color w:val="000000"/>
                <w:kern w:val="0"/>
                <w:sz w:val="44"/>
                <w:szCs w:val="44"/>
                <w:u w:val="none"/>
                <w:lang w:val="en-US" w:eastAsia="zh-CN" w:bidi="ar"/>
              </w:rPr>
              <w:t xml:space="preserve">         </w:t>
            </w:r>
            <w:r>
              <w:rPr>
                <w:rFonts w:hint="eastAsia" w:ascii="宋体" w:hAnsi="宋体" w:cs="宋体"/>
                <w:i w:val="0"/>
                <w:color w:val="000000"/>
                <w:kern w:val="0"/>
                <w:sz w:val="44"/>
                <w:szCs w:val="44"/>
                <w:u w:val="none"/>
                <w:lang w:val="en-US" w:eastAsia="zh-CN" w:bidi="ar"/>
              </w:rPr>
              <w:t>部门</w:t>
            </w:r>
            <w:r>
              <w:rPr>
                <w:rFonts w:hint="eastAsia" w:ascii="宋体" w:hAnsi="宋体" w:eastAsia="宋体" w:cs="宋体"/>
                <w:i w:val="0"/>
                <w:color w:val="000000"/>
                <w:kern w:val="0"/>
                <w:sz w:val="44"/>
                <w:szCs w:val="44"/>
                <w:u w:val="none"/>
                <w:lang w:val="en-US" w:eastAsia="zh-CN" w:bidi="ar"/>
              </w:rPr>
              <w:t>绩效自评结果公开汇总表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gridAfter w:val="1"/>
          <w:wAfter w:w="8" w:type="dxa"/>
          <w:trHeight w:val="510" w:hRule="atLeast"/>
        </w:trPr>
        <w:tc>
          <w:tcPr>
            <w:tcW w:w="6335" w:type="dxa"/>
            <w:gridSpan w:val="5"/>
            <w:tcBorders>
              <w:bottom w:val="single" w:color="000000" w:sz="4" w:space="0"/>
            </w:tcBorders>
            <w:shd w:val="clear" w:color="auto" w:fill="auto"/>
            <w:vAlign w:val="center"/>
          </w:tcPr>
          <w:p>
            <w:pPr>
              <w:jc w:val="both"/>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主管部门：石家庄市鹿泉区财政局</w:t>
            </w:r>
          </w:p>
        </w:tc>
        <w:tc>
          <w:tcPr>
            <w:tcW w:w="3167" w:type="dxa"/>
            <w:gridSpan w:val="3"/>
            <w:tcBorders>
              <w:bottom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gridAfter w:val="1"/>
          <w:wAfter w:w="8" w:type="dxa"/>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序号</w:t>
            </w:r>
          </w:p>
        </w:tc>
        <w:tc>
          <w:tcPr>
            <w:tcW w:w="18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项目名称</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项目实施单位</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预算数</w:t>
            </w:r>
            <w:r>
              <w:rPr>
                <w:rFonts w:hint="eastAsia" w:ascii="仿宋" w:hAnsi="仿宋" w:eastAsia="仿宋" w:cs="仿宋"/>
                <w:i w:val="0"/>
                <w:color w:val="000000"/>
                <w:kern w:val="0"/>
                <w:sz w:val="24"/>
                <w:szCs w:val="24"/>
                <w:u w:val="none"/>
                <w:lang w:val="en-US" w:eastAsia="zh-CN" w:bidi="ar"/>
              </w:rPr>
              <w:br w:type="textWrapping"/>
            </w:r>
            <w:r>
              <w:rPr>
                <w:rFonts w:hint="eastAsia" w:ascii="仿宋" w:hAnsi="仿宋" w:eastAsia="仿宋" w:cs="仿宋"/>
                <w:i w:val="0"/>
                <w:color w:val="000000"/>
                <w:kern w:val="0"/>
                <w:sz w:val="24"/>
                <w:szCs w:val="24"/>
                <w:u w:val="none"/>
                <w:lang w:val="en-US" w:eastAsia="zh-CN" w:bidi="ar"/>
              </w:rPr>
              <w:t>（调整后）</w:t>
            </w: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执行数</w:t>
            </w:r>
            <w:r>
              <w:rPr>
                <w:rFonts w:hint="eastAsia" w:ascii="仿宋" w:hAnsi="仿宋" w:eastAsia="仿宋" w:cs="仿宋"/>
                <w:i w:val="0"/>
                <w:color w:val="000000"/>
                <w:kern w:val="0"/>
                <w:sz w:val="24"/>
                <w:szCs w:val="24"/>
                <w:u w:val="none"/>
                <w:lang w:val="en-US" w:eastAsia="zh-CN" w:bidi="ar"/>
              </w:rPr>
              <w:br w:type="textWrapping"/>
            </w:r>
            <w:r>
              <w:rPr>
                <w:rFonts w:hint="eastAsia" w:ascii="仿宋" w:hAnsi="仿宋" w:eastAsia="仿宋" w:cs="仿宋"/>
                <w:i w:val="0"/>
                <w:color w:val="000000"/>
                <w:kern w:val="0"/>
                <w:sz w:val="24"/>
                <w:szCs w:val="24"/>
                <w:u w:val="none"/>
                <w:lang w:val="en-US" w:eastAsia="zh-CN" w:bidi="ar"/>
              </w:rPr>
              <w:t>（至2022年底）</w:t>
            </w:r>
          </w:p>
        </w:tc>
        <w:tc>
          <w:tcPr>
            <w:tcW w:w="10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结余交回财政数</w:t>
            </w: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自评得分</w:t>
            </w:r>
          </w:p>
        </w:tc>
        <w:tc>
          <w:tcPr>
            <w:tcW w:w="10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自评结果应用意见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8" w:type="dxa"/>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w:t>
            </w:r>
          </w:p>
        </w:tc>
        <w:tc>
          <w:tcPr>
            <w:tcW w:w="18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2022年财政专网运行维护费</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石家庄市鹿泉区财政局</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29.64</w:t>
            </w: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29.64</w:t>
            </w:r>
          </w:p>
        </w:tc>
        <w:tc>
          <w:tcPr>
            <w:tcW w:w="10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100</w:t>
            </w:r>
          </w:p>
        </w:tc>
        <w:tc>
          <w:tcPr>
            <w:tcW w:w="103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gridAfter w:val="1"/>
          <w:wAfter w:w="8" w:type="dxa"/>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w:t>
            </w:r>
          </w:p>
        </w:tc>
        <w:tc>
          <w:tcPr>
            <w:tcW w:w="18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财政局后院维修改造项目</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石家庄市鹿泉区财政局</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20</w:t>
            </w: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19.79</w:t>
            </w:r>
          </w:p>
        </w:tc>
        <w:tc>
          <w:tcPr>
            <w:tcW w:w="10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0.21</w:t>
            </w: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99.9</w:t>
            </w:r>
          </w:p>
        </w:tc>
        <w:tc>
          <w:tcPr>
            <w:tcW w:w="103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8" w:type="dxa"/>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w:t>
            </w:r>
          </w:p>
        </w:tc>
        <w:tc>
          <w:tcPr>
            <w:tcW w:w="18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政府财务报告及内控制度编制委托业务费</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石家庄市鹿泉区财政局</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5</w:t>
            </w: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0.85</w:t>
            </w:r>
          </w:p>
        </w:tc>
        <w:tc>
          <w:tcPr>
            <w:tcW w:w="10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4.15</w:t>
            </w: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83.4</w:t>
            </w:r>
          </w:p>
        </w:tc>
        <w:tc>
          <w:tcPr>
            <w:tcW w:w="103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gridAfter w:val="1"/>
          <w:wAfter w:w="8" w:type="dxa"/>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4</w:t>
            </w:r>
          </w:p>
        </w:tc>
        <w:tc>
          <w:tcPr>
            <w:tcW w:w="18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2022年机关服务专项经费</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石家庄市鹿泉区财政局</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25</w:t>
            </w: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24.44</w:t>
            </w:r>
          </w:p>
        </w:tc>
        <w:tc>
          <w:tcPr>
            <w:tcW w:w="10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0.56</w:t>
            </w: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99.8</w:t>
            </w:r>
          </w:p>
        </w:tc>
        <w:tc>
          <w:tcPr>
            <w:tcW w:w="103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8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5</w:t>
            </w:r>
          </w:p>
        </w:tc>
        <w:tc>
          <w:tcPr>
            <w:tcW w:w="18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2022年网络运行维护、服务费</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石家庄市鹿泉区财政局</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9.2</w:t>
            </w: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6.79</w:t>
            </w:r>
          </w:p>
        </w:tc>
        <w:tc>
          <w:tcPr>
            <w:tcW w:w="10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2.41</w:t>
            </w: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w:t>
            </w:r>
          </w:p>
        </w:tc>
        <w:tc>
          <w:tcPr>
            <w:tcW w:w="10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6</w:t>
            </w:r>
          </w:p>
        </w:tc>
        <w:tc>
          <w:tcPr>
            <w:tcW w:w="18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法律咨询、律师代理服务</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石家庄市鹿泉区财政局</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4</w:t>
            </w: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w:t>
            </w:r>
          </w:p>
        </w:tc>
        <w:tc>
          <w:tcPr>
            <w:tcW w:w="10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w:t>
            </w: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95.5</w:t>
            </w:r>
          </w:p>
        </w:tc>
        <w:tc>
          <w:tcPr>
            <w:tcW w:w="10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7</w:t>
            </w:r>
          </w:p>
        </w:tc>
        <w:tc>
          <w:tcPr>
            <w:tcW w:w="18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信息化建设</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石家庄市鹿泉区财政局</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17</w:t>
            </w: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14.94</w:t>
            </w:r>
          </w:p>
        </w:tc>
        <w:tc>
          <w:tcPr>
            <w:tcW w:w="10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2.06</w:t>
            </w: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96.8</w:t>
            </w:r>
          </w:p>
        </w:tc>
        <w:tc>
          <w:tcPr>
            <w:tcW w:w="10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8</w:t>
            </w:r>
          </w:p>
        </w:tc>
        <w:tc>
          <w:tcPr>
            <w:tcW w:w="18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信息化建设</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石家庄市鹿泉区财政局</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50</w:t>
            </w: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50</w:t>
            </w:r>
          </w:p>
        </w:tc>
        <w:tc>
          <w:tcPr>
            <w:tcW w:w="10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100</w:t>
            </w:r>
          </w:p>
        </w:tc>
        <w:tc>
          <w:tcPr>
            <w:tcW w:w="10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w:t>
            </w:r>
          </w:p>
        </w:tc>
        <w:tc>
          <w:tcPr>
            <w:tcW w:w="18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预算绩效管理业务费</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石家庄市鹿泉区财政局</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15</w:t>
            </w: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5.47</w:t>
            </w:r>
          </w:p>
        </w:tc>
        <w:tc>
          <w:tcPr>
            <w:tcW w:w="10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9.53</w:t>
            </w: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91.4</w:t>
            </w:r>
          </w:p>
        </w:tc>
        <w:tc>
          <w:tcPr>
            <w:tcW w:w="10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10</w:t>
            </w:r>
          </w:p>
        </w:tc>
        <w:tc>
          <w:tcPr>
            <w:tcW w:w="18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评估业务费</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石家庄市鹿泉区财政局</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10</w:t>
            </w: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3.85</w:t>
            </w:r>
          </w:p>
        </w:tc>
        <w:tc>
          <w:tcPr>
            <w:tcW w:w="10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6.15</w:t>
            </w: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93.9</w:t>
            </w:r>
          </w:p>
        </w:tc>
        <w:tc>
          <w:tcPr>
            <w:tcW w:w="10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11</w:t>
            </w:r>
          </w:p>
        </w:tc>
        <w:tc>
          <w:tcPr>
            <w:tcW w:w="18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2022年财政改革业务费</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石家庄市鹿泉区财政局</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40</w:t>
            </w: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21.34</w:t>
            </w:r>
          </w:p>
        </w:tc>
        <w:tc>
          <w:tcPr>
            <w:tcW w:w="10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18.66</w:t>
            </w: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90.6</w:t>
            </w:r>
          </w:p>
        </w:tc>
        <w:tc>
          <w:tcPr>
            <w:tcW w:w="10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12</w:t>
            </w:r>
          </w:p>
        </w:tc>
        <w:tc>
          <w:tcPr>
            <w:tcW w:w="18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房屋租赁收入应缴税费</w:t>
            </w:r>
          </w:p>
        </w:tc>
        <w:tc>
          <w:tcPr>
            <w:tcW w:w="1529" w:type="dxa"/>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石家庄市鹿泉区财政局</w:t>
            </w:r>
          </w:p>
        </w:tc>
        <w:tc>
          <w:tcPr>
            <w:tcW w:w="1082" w:type="dxa"/>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5.2</w:t>
            </w:r>
          </w:p>
        </w:tc>
        <w:tc>
          <w:tcPr>
            <w:tcW w:w="1210" w:type="dxa"/>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4.78</w:t>
            </w:r>
          </w:p>
        </w:tc>
        <w:tc>
          <w:tcPr>
            <w:tcW w:w="10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0.42</w:t>
            </w: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98.4</w:t>
            </w:r>
          </w:p>
        </w:tc>
        <w:tc>
          <w:tcPr>
            <w:tcW w:w="10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13</w:t>
            </w:r>
          </w:p>
        </w:tc>
        <w:tc>
          <w:tcPr>
            <w:tcW w:w="18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政府购买投资评审服务项目</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石家庄市鹿泉区财政局</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200</w:t>
            </w: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200</w:t>
            </w:r>
          </w:p>
        </w:tc>
        <w:tc>
          <w:tcPr>
            <w:tcW w:w="10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100</w:t>
            </w:r>
          </w:p>
        </w:tc>
        <w:tc>
          <w:tcPr>
            <w:tcW w:w="10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14</w:t>
            </w:r>
          </w:p>
        </w:tc>
        <w:tc>
          <w:tcPr>
            <w:tcW w:w="18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2022年会计人员培训费</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石家庄市鹿泉区财政局</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6</w:t>
            </w: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0.6</w:t>
            </w:r>
          </w:p>
        </w:tc>
        <w:tc>
          <w:tcPr>
            <w:tcW w:w="10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5.4</w:t>
            </w: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82</w:t>
            </w:r>
          </w:p>
        </w:tc>
        <w:tc>
          <w:tcPr>
            <w:tcW w:w="10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15</w:t>
            </w:r>
          </w:p>
        </w:tc>
        <w:tc>
          <w:tcPr>
            <w:tcW w:w="18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票据工本费</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石家庄市鹿泉区财政局</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w:t>
            </w: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2.08</w:t>
            </w:r>
          </w:p>
        </w:tc>
        <w:tc>
          <w:tcPr>
            <w:tcW w:w="10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6.92</w:t>
            </w: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92.3</w:t>
            </w:r>
          </w:p>
        </w:tc>
        <w:tc>
          <w:tcPr>
            <w:tcW w:w="10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16</w:t>
            </w:r>
          </w:p>
        </w:tc>
        <w:tc>
          <w:tcPr>
            <w:tcW w:w="18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水利局农村区域供水管网资产审计、评估等费用</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石家庄市鹿泉区财政局</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60</w:t>
            </w: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60</w:t>
            </w:r>
          </w:p>
        </w:tc>
        <w:tc>
          <w:tcPr>
            <w:tcW w:w="10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100</w:t>
            </w:r>
          </w:p>
        </w:tc>
        <w:tc>
          <w:tcPr>
            <w:tcW w:w="10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17</w:t>
            </w:r>
          </w:p>
        </w:tc>
        <w:tc>
          <w:tcPr>
            <w:tcW w:w="18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2022年涉农项目财政管理及农村综合改革业务费</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石家庄市鹿泉区财政局</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10</w:t>
            </w: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6.91</w:t>
            </w:r>
          </w:p>
        </w:tc>
        <w:tc>
          <w:tcPr>
            <w:tcW w:w="10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3.09</w:t>
            </w: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w:t>
            </w:r>
          </w:p>
        </w:tc>
        <w:tc>
          <w:tcPr>
            <w:tcW w:w="10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18</w:t>
            </w:r>
          </w:p>
        </w:tc>
        <w:tc>
          <w:tcPr>
            <w:tcW w:w="18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委托审计费</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石家庄市鹿泉区财政局</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8</w:t>
            </w: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8</w:t>
            </w:r>
          </w:p>
        </w:tc>
        <w:tc>
          <w:tcPr>
            <w:tcW w:w="10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100</w:t>
            </w:r>
          </w:p>
        </w:tc>
        <w:tc>
          <w:tcPr>
            <w:tcW w:w="10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19</w:t>
            </w:r>
          </w:p>
        </w:tc>
        <w:tc>
          <w:tcPr>
            <w:tcW w:w="18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财政工资代发系统“一网通办”建设费</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石家庄市鹿泉区财政局</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4</w:t>
            </w: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4</w:t>
            </w:r>
          </w:p>
        </w:tc>
        <w:tc>
          <w:tcPr>
            <w:tcW w:w="10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100</w:t>
            </w:r>
          </w:p>
        </w:tc>
        <w:tc>
          <w:tcPr>
            <w:tcW w:w="10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20</w:t>
            </w:r>
          </w:p>
        </w:tc>
        <w:tc>
          <w:tcPr>
            <w:tcW w:w="18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档案信息安全建设管理费</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石家庄市鹿泉区财政局</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10</w:t>
            </w: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10</w:t>
            </w:r>
          </w:p>
        </w:tc>
        <w:tc>
          <w:tcPr>
            <w:tcW w:w="10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100</w:t>
            </w:r>
          </w:p>
        </w:tc>
        <w:tc>
          <w:tcPr>
            <w:tcW w:w="10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21</w:t>
            </w:r>
          </w:p>
        </w:tc>
        <w:tc>
          <w:tcPr>
            <w:tcW w:w="18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资产处置应交税费</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石家庄市鹿泉区财政局</w:t>
            </w:r>
          </w:p>
        </w:tc>
        <w:tc>
          <w:tcPr>
            <w:tcW w:w="1082" w:type="dxa"/>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5991.81</w:t>
            </w:r>
          </w:p>
        </w:tc>
        <w:tc>
          <w:tcPr>
            <w:tcW w:w="1210" w:type="dxa"/>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5990.82</w:t>
            </w:r>
          </w:p>
        </w:tc>
        <w:tc>
          <w:tcPr>
            <w:tcW w:w="10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0.99</w:t>
            </w: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99.8</w:t>
            </w:r>
          </w:p>
        </w:tc>
        <w:tc>
          <w:tcPr>
            <w:tcW w:w="10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22</w:t>
            </w:r>
          </w:p>
        </w:tc>
        <w:tc>
          <w:tcPr>
            <w:tcW w:w="18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资产处置应交税费</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石家庄市鹿泉区财政局</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3563.9</w:t>
            </w: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3563.9</w:t>
            </w:r>
          </w:p>
        </w:tc>
        <w:tc>
          <w:tcPr>
            <w:tcW w:w="10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100</w:t>
            </w:r>
          </w:p>
        </w:tc>
        <w:tc>
          <w:tcPr>
            <w:tcW w:w="10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23</w:t>
            </w:r>
          </w:p>
        </w:tc>
        <w:tc>
          <w:tcPr>
            <w:tcW w:w="18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资产处置应交税费</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石家庄市鹿泉区财政局</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1318</w:t>
            </w: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1318</w:t>
            </w:r>
          </w:p>
        </w:tc>
        <w:tc>
          <w:tcPr>
            <w:tcW w:w="10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100</w:t>
            </w:r>
          </w:p>
        </w:tc>
        <w:tc>
          <w:tcPr>
            <w:tcW w:w="10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24</w:t>
            </w:r>
          </w:p>
        </w:tc>
        <w:tc>
          <w:tcPr>
            <w:tcW w:w="18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资产处置应交税费</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石家庄市鹿泉区财政局</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4067.33</w:t>
            </w: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4067.33</w:t>
            </w:r>
          </w:p>
        </w:tc>
        <w:tc>
          <w:tcPr>
            <w:tcW w:w="10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100</w:t>
            </w:r>
          </w:p>
        </w:tc>
        <w:tc>
          <w:tcPr>
            <w:tcW w:w="10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25</w:t>
            </w:r>
          </w:p>
        </w:tc>
        <w:tc>
          <w:tcPr>
            <w:tcW w:w="18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资产处置应交税费</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石家庄市鹿泉区财政局</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0.11</w:t>
            </w: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0.11</w:t>
            </w:r>
          </w:p>
        </w:tc>
        <w:tc>
          <w:tcPr>
            <w:tcW w:w="10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100</w:t>
            </w:r>
          </w:p>
        </w:tc>
        <w:tc>
          <w:tcPr>
            <w:tcW w:w="10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26</w:t>
            </w:r>
          </w:p>
        </w:tc>
        <w:tc>
          <w:tcPr>
            <w:tcW w:w="18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国有资产评估，拍卖委托业务费</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石家庄市鹿泉区财政局</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16</w:t>
            </w: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16</w:t>
            </w:r>
          </w:p>
        </w:tc>
        <w:tc>
          <w:tcPr>
            <w:tcW w:w="10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100</w:t>
            </w:r>
          </w:p>
        </w:tc>
        <w:tc>
          <w:tcPr>
            <w:tcW w:w="10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27</w:t>
            </w:r>
          </w:p>
        </w:tc>
        <w:tc>
          <w:tcPr>
            <w:tcW w:w="18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国有资产评估，拍卖委托业务费</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石家庄市鹿泉区财政局</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11.71</w:t>
            </w: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11.71</w:t>
            </w:r>
          </w:p>
        </w:tc>
        <w:tc>
          <w:tcPr>
            <w:tcW w:w="10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100</w:t>
            </w:r>
          </w:p>
        </w:tc>
        <w:tc>
          <w:tcPr>
            <w:tcW w:w="10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28</w:t>
            </w:r>
          </w:p>
        </w:tc>
        <w:tc>
          <w:tcPr>
            <w:tcW w:w="18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税收专项检查服务</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石家庄市鹿泉区财政局</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28.4</w:t>
            </w: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28.4</w:t>
            </w:r>
          </w:p>
        </w:tc>
        <w:tc>
          <w:tcPr>
            <w:tcW w:w="10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100</w:t>
            </w:r>
          </w:p>
        </w:tc>
        <w:tc>
          <w:tcPr>
            <w:tcW w:w="10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00" w:hRule="atLeast"/>
        </w:trPr>
        <w:tc>
          <w:tcPr>
            <w:tcW w:w="703" w:type="dxa"/>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29</w:t>
            </w:r>
          </w:p>
        </w:tc>
        <w:tc>
          <w:tcPr>
            <w:tcW w:w="1811" w:type="dxa"/>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国有资产评估，拍卖委托业务费</w:t>
            </w:r>
          </w:p>
        </w:tc>
        <w:tc>
          <w:tcPr>
            <w:tcW w:w="1529" w:type="dxa"/>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石家庄市鹿泉区财政局</w:t>
            </w:r>
          </w:p>
        </w:tc>
        <w:tc>
          <w:tcPr>
            <w:tcW w:w="1082" w:type="dxa"/>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0.3</w:t>
            </w:r>
          </w:p>
        </w:tc>
        <w:tc>
          <w:tcPr>
            <w:tcW w:w="1210" w:type="dxa"/>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0.3</w:t>
            </w:r>
          </w:p>
        </w:tc>
        <w:tc>
          <w:tcPr>
            <w:tcW w:w="1046" w:type="dxa"/>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p>
        </w:tc>
        <w:tc>
          <w:tcPr>
            <w:tcW w:w="1089" w:type="dxa"/>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100</w:t>
            </w:r>
          </w:p>
        </w:tc>
        <w:tc>
          <w:tcPr>
            <w:tcW w:w="1040" w:type="dxa"/>
            <w:gridSpan w:val="2"/>
            <w:tcBorders>
              <w:top w:val="single" w:color="000000" w:sz="4" w:space="0"/>
              <w:left w:val="single" w:color="000000" w:sz="4" w:space="0"/>
              <w:right w:val="single" w:color="000000" w:sz="4" w:space="0"/>
            </w:tcBorders>
            <w:shd w:val="clear" w:color="auto" w:fill="auto"/>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2"/>
                <w:szCs w:val="22"/>
                <w:u w:val="none"/>
              </w:rPr>
            </w:pPr>
          </w:p>
        </w:tc>
        <w:tc>
          <w:tcPr>
            <w:tcW w:w="18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color w:val="000000"/>
                <w:sz w:val="22"/>
                <w:szCs w:val="22"/>
                <w:u w:val="none"/>
              </w:rPr>
            </w:pP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15534.6</w:t>
            </w: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15473.05</w:t>
            </w:r>
          </w:p>
        </w:tc>
        <w:tc>
          <w:tcPr>
            <w:tcW w:w="10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61.55</w:t>
            </w: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2"/>
                <w:szCs w:val="22"/>
                <w:u w:val="none"/>
              </w:rPr>
            </w:pPr>
          </w:p>
        </w:tc>
        <w:tc>
          <w:tcPr>
            <w:tcW w:w="10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color w:val="000000"/>
                <w:sz w:val="22"/>
                <w:szCs w:val="22"/>
                <w:u w:val="none"/>
              </w:rPr>
            </w:pPr>
          </w:p>
        </w:tc>
      </w:tr>
    </w:tbl>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rightChars="0" w:firstLine="640" w:firstLineChars="200"/>
        <w:jc w:val="both"/>
        <w:textAlignment w:val="auto"/>
        <w:outlineLvl w:val="9"/>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本部门在今年单位决算公开中反映财政专网运行维护费项目及政府购买投资评审服务项目等29个项目绩效自评结果。</w:t>
      </w:r>
    </w:p>
    <w:p>
      <w:pPr>
        <w:keepNext w:val="0"/>
        <w:keepLines w:val="0"/>
        <w:pageBreakBefore w:val="0"/>
        <w:widowControl w:val="0"/>
        <w:kinsoku/>
        <w:wordWrap/>
        <w:overflowPunct/>
        <w:topLinePunct w:val="0"/>
        <w:autoSpaceDE/>
        <w:autoSpaceDN/>
        <w:bidi w:val="0"/>
        <w:adjustRightInd w:val="0"/>
        <w:snapToGrid w:val="0"/>
        <w:spacing w:line="578" w:lineRule="exact"/>
        <w:ind w:right="0" w:rightChars="0" w:firstLine="640" w:firstLineChars="200"/>
        <w:textAlignment w:val="auto"/>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（1）政府投资评审服务项目自评综述：根据年初设定的绩效目标，项目绩效自评得分为</w:t>
      </w:r>
      <w:r>
        <w:rPr>
          <w:rFonts w:hint="eastAsia" w:ascii="仿宋_GB2312" w:hAnsi="仿宋_GB2312" w:eastAsia="仿宋_GB2312" w:cs="仿宋_GB2312"/>
          <w:kern w:val="0"/>
          <w:sz w:val="32"/>
          <w:szCs w:val="32"/>
          <w:lang w:val="en-US" w:eastAsia="zh-CN"/>
        </w:rPr>
        <w:t>100</w:t>
      </w:r>
      <w:r>
        <w:rPr>
          <w:rFonts w:hint="eastAsia" w:ascii="仿宋_GB2312" w:hAnsi="仿宋_GB2312" w:eastAsia="仿宋_GB2312" w:cs="仿宋_GB2312"/>
          <w:kern w:val="0"/>
          <w:sz w:val="32"/>
          <w:szCs w:val="32"/>
        </w:rPr>
        <w:t>分。全年预算数为</w:t>
      </w:r>
      <w:r>
        <w:rPr>
          <w:rFonts w:hint="eastAsia" w:ascii="仿宋_GB2312" w:hAnsi="仿宋_GB2312" w:eastAsia="仿宋_GB2312" w:cs="仿宋_GB2312"/>
          <w:kern w:val="0"/>
          <w:sz w:val="32"/>
          <w:szCs w:val="32"/>
          <w:lang w:val="en-US" w:eastAsia="zh-CN"/>
        </w:rPr>
        <w:t>200</w:t>
      </w:r>
      <w:r>
        <w:rPr>
          <w:rFonts w:hint="eastAsia" w:ascii="仿宋_GB2312" w:hAnsi="仿宋_GB2312" w:eastAsia="仿宋_GB2312" w:cs="仿宋_GB2312"/>
          <w:kern w:val="0"/>
          <w:sz w:val="32"/>
          <w:szCs w:val="32"/>
        </w:rPr>
        <w:t>万元，执行数为</w:t>
      </w:r>
      <w:r>
        <w:rPr>
          <w:rFonts w:hint="eastAsia" w:ascii="仿宋_GB2312" w:hAnsi="仿宋_GB2312" w:eastAsia="仿宋_GB2312" w:cs="仿宋_GB2312"/>
          <w:kern w:val="0"/>
          <w:sz w:val="32"/>
          <w:szCs w:val="32"/>
          <w:lang w:val="en-US" w:eastAsia="zh-CN"/>
        </w:rPr>
        <w:t>200</w:t>
      </w:r>
      <w:r>
        <w:rPr>
          <w:rFonts w:hint="eastAsia" w:ascii="仿宋_GB2312" w:hAnsi="仿宋_GB2312" w:eastAsia="仿宋_GB2312" w:cs="仿宋_GB2312"/>
          <w:kern w:val="0"/>
          <w:sz w:val="32"/>
          <w:szCs w:val="32"/>
        </w:rPr>
        <w:t>万元，完成预算的</w:t>
      </w:r>
      <w:r>
        <w:rPr>
          <w:rFonts w:hint="eastAsia" w:ascii="仿宋_GB2312" w:hAnsi="仿宋_GB2312" w:eastAsia="仿宋_GB2312" w:cs="仿宋_GB2312"/>
          <w:kern w:val="0"/>
          <w:sz w:val="32"/>
          <w:szCs w:val="32"/>
          <w:lang w:val="en-US" w:eastAsia="zh-CN"/>
        </w:rPr>
        <w:t>100.0</w:t>
      </w:r>
      <w:r>
        <w:rPr>
          <w:rFonts w:hint="eastAsia" w:ascii="仿宋_GB2312" w:hAnsi="仿宋_GB2312" w:eastAsia="仿宋_GB2312" w:cs="仿宋_GB2312"/>
          <w:kern w:val="0"/>
          <w:sz w:val="32"/>
          <w:szCs w:val="32"/>
        </w:rPr>
        <w:t>%。项目绩效目标完成情况：一是经费使用符合国家有关制度的规定；二是拨付有完整的审批程序和手续，且已支出到位。发现的主要问题是资金支出进度缓慢，绩效监控不到位。下步完善绩效监控制度，定期对资金使用情况进行监控，严格按照绩效目标支出项目资金。</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rightChars="0" w:firstLine="643" w:firstLineChars="200"/>
        <w:jc w:val="both"/>
        <w:textAlignment w:val="auto"/>
        <w:outlineLvl w:val="9"/>
        <w:rPr>
          <w:rFonts w:hint="eastAsia" w:ascii="黑体" w:hAnsi="黑体" w:eastAsia="黑体" w:cs="黑体"/>
          <w:b/>
          <w:bCs/>
          <w:sz w:val="32"/>
          <w:szCs w:val="32"/>
        </w:rPr>
      </w:pPr>
      <w:r>
        <w:rPr>
          <w:rFonts w:hint="eastAsia" w:ascii="仿宋_GB2312" w:hAnsi="仿宋_GB2312" w:eastAsia="仿宋_GB2312" w:cs="仿宋_GB2312"/>
          <w:b/>
          <w:bCs/>
          <w:sz w:val="32"/>
          <w:szCs w:val="32"/>
        </w:rPr>
        <w:t>（三）、</w:t>
      </w:r>
      <w:r>
        <w:rPr>
          <w:rFonts w:hint="eastAsia" w:ascii="仿宋_GB2312" w:hAnsi="仿宋_GB2312" w:eastAsia="仿宋_GB2312" w:cs="仿宋_GB2312"/>
          <w:b/>
          <w:bCs/>
          <w:sz w:val="32"/>
          <w:szCs w:val="32"/>
          <w:lang w:eastAsia="zh-CN"/>
        </w:rPr>
        <w:t>部门</w:t>
      </w:r>
      <w:r>
        <w:rPr>
          <w:rFonts w:hint="eastAsia" w:ascii="黑体" w:hAnsi="黑体" w:eastAsia="黑体" w:cs="黑体"/>
          <w:b/>
          <w:bCs/>
          <w:sz w:val="32"/>
          <w:szCs w:val="32"/>
        </w:rPr>
        <w:t>评价项目绩效评价结果</w:t>
      </w:r>
    </w:p>
    <w:p>
      <w:pPr>
        <w:spacing w:line="600" w:lineRule="exact"/>
        <w:ind w:firstLine="640" w:firstLineChars="200"/>
        <w:rPr>
          <w:rFonts w:hint="eastAsia" w:ascii="仿宋_GB2312" w:hAnsi="仿宋_GB2312" w:eastAsia="仿宋_GB2312" w:cs="仿宋_GB2312"/>
          <w:sz w:val="32"/>
          <w:szCs w:val="32"/>
        </w:rPr>
      </w:pPr>
      <w:r>
        <w:rPr>
          <w:rFonts w:hint="eastAsia" w:ascii="仿宋_GB2312" w:eastAsia="仿宋_GB2312" w:cs="仿宋_GB2312"/>
          <w:kern w:val="0"/>
          <w:sz w:val="32"/>
          <w:szCs w:val="32"/>
          <w:lang w:eastAsia="zh-CN"/>
        </w:rPr>
        <w:t>总体来说</w:t>
      </w:r>
      <w:r>
        <w:rPr>
          <w:rFonts w:hint="eastAsia" w:ascii="仿宋_GB2312" w:eastAsia="仿宋_GB2312" w:cs="仿宋_GB2312"/>
          <w:kern w:val="0"/>
          <w:sz w:val="32"/>
          <w:szCs w:val="32"/>
        </w:rPr>
        <w:t>资金到位，使用合规。资金拨付程序从申请、审核、审查、审批到最后发放都按照中央、省、市相关财政政策实施，使用符合财务管理规定。</w:t>
      </w:r>
      <w:r>
        <w:rPr>
          <w:rFonts w:hint="eastAsia" w:ascii="仿宋_GB2312" w:hAnsi="仿宋_GB2312" w:eastAsia="仿宋_GB2312" w:cs="仿宋_GB2312"/>
          <w:sz w:val="32"/>
          <w:szCs w:val="32"/>
        </w:rPr>
        <w:t>我</w:t>
      </w:r>
      <w:r>
        <w:rPr>
          <w:rFonts w:hint="eastAsia" w:ascii="仿宋_GB2312" w:hAnsi="仿宋_GB2312" w:eastAsia="仿宋_GB2312" w:cs="仿宋_GB2312"/>
          <w:sz w:val="32"/>
          <w:szCs w:val="32"/>
          <w:lang w:eastAsia="zh-CN"/>
        </w:rPr>
        <w:t>部门</w:t>
      </w:r>
      <w:r>
        <w:rPr>
          <w:rFonts w:hint="eastAsia" w:ascii="仿宋_GB2312" w:hAnsi="仿宋_GB2312" w:eastAsia="仿宋_GB2312" w:cs="仿宋_GB2312"/>
          <w:sz w:val="32"/>
          <w:szCs w:val="32"/>
        </w:rPr>
        <w:t>专项资金绩效</w:t>
      </w:r>
      <w:r>
        <w:rPr>
          <w:rFonts w:hint="eastAsia" w:ascii="仿宋_GB2312" w:hAnsi="仿宋_GB2312" w:eastAsia="仿宋_GB2312" w:cs="仿宋_GB2312"/>
          <w:kern w:val="0"/>
          <w:sz w:val="32"/>
          <w:szCs w:val="32"/>
          <w:lang w:eastAsia="zh-CN"/>
        </w:rPr>
        <w:t>评优率达</w:t>
      </w:r>
      <w:r>
        <w:rPr>
          <w:rFonts w:hint="eastAsia" w:ascii="仿宋_GB2312" w:hAnsi="仿宋_GB2312" w:eastAsia="仿宋_GB2312" w:cs="仿宋_GB2312"/>
          <w:kern w:val="0"/>
          <w:sz w:val="32"/>
          <w:szCs w:val="32"/>
          <w:lang w:val="en-US" w:eastAsia="zh-CN"/>
        </w:rPr>
        <w:t>93.1%，</w:t>
      </w:r>
      <w:r>
        <w:rPr>
          <w:rFonts w:hint="eastAsia" w:ascii="仿宋_GB2312" w:hAnsi="仿宋_GB2312" w:eastAsia="仿宋_GB2312" w:cs="仿宋_GB2312"/>
          <w:sz w:val="32"/>
          <w:szCs w:val="32"/>
        </w:rPr>
        <w:t>总体得分为优秀等次。</w:t>
      </w:r>
    </w:p>
    <w:p>
      <w:pPr>
        <w:keepNext w:val="0"/>
        <w:keepLines w:val="0"/>
        <w:pageBreakBefore w:val="0"/>
        <w:widowControl w:val="0"/>
        <w:kinsoku/>
        <w:wordWrap/>
        <w:overflowPunct/>
        <w:topLinePunct w:val="0"/>
        <w:autoSpaceDE/>
        <w:autoSpaceDN/>
        <w:bidi w:val="0"/>
        <w:adjustRightInd w:val="0"/>
        <w:snapToGrid w:val="0"/>
        <w:spacing w:line="578" w:lineRule="exact"/>
        <w:ind w:right="0" w:rightChars="0" w:firstLine="640" w:firstLineChars="200"/>
        <w:textAlignment w:val="auto"/>
        <w:rPr>
          <w:rFonts w:hint="eastAsia" w:ascii="仿宋_GB2312" w:eastAsia="仿宋_GB2312" w:cs="仿宋_GB2312"/>
          <w:kern w:val="0"/>
          <w:sz w:val="32"/>
          <w:szCs w:val="32"/>
          <w:lang w:val="en-US" w:eastAsia="zh-CN"/>
        </w:rPr>
      </w:pPr>
      <w:r>
        <w:rPr>
          <w:rFonts w:hint="eastAsia" w:ascii="仿宋_GB2312" w:eastAsia="仿宋_GB2312" w:cs="仿宋_GB2312"/>
          <w:kern w:val="0"/>
          <w:sz w:val="32"/>
          <w:szCs w:val="32"/>
          <w:lang w:val="en-US" w:eastAsia="zh-CN"/>
        </w:rPr>
        <w:t>但是也存在一些问题主要是：</w:t>
      </w:r>
    </w:p>
    <w:p>
      <w:pPr>
        <w:keepNext w:val="0"/>
        <w:keepLines w:val="0"/>
        <w:pageBreakBefore w:val="0"/>
        <w:widowControl w:val="0"/>
        <w:kinsoku/>
        <w:wordWrap/>
        <w:overflowPunct/>
        <w:topLinePunct w:val="0"/>
        <w:autoSpaceDE/>
        <w:autoSpaceDN/>
        <w:bidi w:val="0"/>
        <w:adjustRightInd/>
        <w:snapToGrid/>
        <w:spacing w:line="578" w:lineRule="exact"/>
        <w:ind w:left="0" w:leftChars="0" w:right="0" w:rightChars="0" w:firstLine="640" w:firstLineChars="200"/>
        <w:jc w:val="left"/>
        <w:textAlignment w:val="auto"/>
        <w:outlineLvl w:val="9"/>
        <w:rPr>
          <w:rFonts w:hint="eastAsia" w:ascii="仿宋_GB2312" w:hAnsi="仿宋_GB2312" w:eastAsia="仿宋_GB2312" w:cs="仿宋_GB2312"/>
          <w:kern w:val="0"/>
          <w:sz w:val="32"/>
          <w:szCs w:val="32"/>
          <w:lang w:val="en-US" w:eastAsia="zh-CN"/>
        </w:rPr>
      </w:pPr>
      <w:r>
        <w:rPr>
          <w:rFonts w:hint="eastAsia" w:ascii="仿宋_GB2312" w:eastAsia="仿宋_GB2312" w:cs="仿宋_GB2312"/>
          <w:kern w:val="0"/>
          <w:sz w:val="32"/>
          <w:szCs w:val="32"/>
        </w:rPr>
        <w:t>（</w:t>
      </w:r>
      <w:r>
        <w:rPr>
          <w:rFonts w:hint="eastAsia" w:ascii="仿宋_GB2312" w:hAnsi="仿宋_GB2312" w:eastAsia="仿宋_GB2312" w:cs="仿宋_GB2312"/>
          <w:kern w:val="0"/>
          <w:sz w:val="32"/>
          <w:szCs w:val="32"/>
        </w:rPr>
        <w:t>1）</w:t>
      </w:r>
      <w:r>
        <w:rPr>
          <w:rFonts w:hint="eastAsia" w:ascii="仿宋_GB2312" w:hAnsi="仿宋_GB2312" w:eastAsia="仿宋_GB2312" w:cs="仿宋_GB2312"/>
          <w:kern w:val="0"/>
          <w:sz w:val="32"/>
          <w:szCs w:val="32"/>
          <w:lang w:eastAsia="zh-CN"/>
        </w:rPr>
        <w:t>项目资金支付力度有待加强。本部门</w:t>
      </w:r>
      <w:r>
        <w:rPr>
          <w:rFonts w:hint="eastAsia" w:ascii="仿宋_GB2312" w:hAnsi="仿宋_GB2312" w:eastAsia="仿宋_GB2312" w:cs="仿宋_GB2312"/>
          <w:kern w:val="0"/>
          <w:sz w:val="32"/>
          <w:szCs w:val="32"/>
          <w:lang w:val="en-US" w:eastAsia="zh-CN"/>
        </w:rPr>
        <w:t>2022年本年支出</w:t>
      </w:r>
      <w:r>
        <w:rPr>
          <w:rFonts w:hint="eastAsia" w:ascii="仿宋_GB2312" w:hAnsi="仿宋_GB2312" w:eastAsia="仿宋_GB2312" w:cs="仿宋_GB2312"/>
          <w:kern w:val="0"/>
          <w:sz w:val="32"/>
          <w:szCs w:val="32"/>
        </w:rPr>
        <w:t>本年支出</w:t>
      </w:r>
      <w:r>
        <w:rPr>
          <w:rFonts w:hint="eastAsia" w:ascii="仿宋_GB2312" w:hAnsi="仿宋_GB2312" w:eastAsia="仿宋_GB2312" w:cs="仿宋_GB2312"/>
          <w:kern w:val="0"/>
          <w:sz w:val="32"/>
          <w:szCs w:val="32"/>
          <w:lang w:val="en-US" w:eastAsia="zh-CN"/>
        </w:rPr>
        <w:t>13538.55</w:t>
      </w:r>
      <w:r>
        <w:rPr>
          <w:rFonts w:hint="eastAsia" w:ascii="仿宋_GB2312" w:hAnsi="仿宋_GB2312" w:eastAsia="仿宋_GB2312" w:cs="仿宋_GB2312"/>
          <w:kern w:val="0"/>
          <w:sz w:val="32"/>
          <w:szCs w:val="32"/>
        </w:rPr>
        <w:t>万元，完成年初预算的</w:t>
      </w:r>
      <w:r>
        <w:rPr>
          <w:rFonts w:hint="eastAsia" w:ascii="仿宋_GB2312" w:hAnsi="仿宋_GB2312" w:eastAsia="仿宋_GB2312" w:cs="仿宋_GB2312"/>
          <w:kern w:val="0"/>
          <w:sz w:val="32"/>
          <w:szCs w:val="32"/>
          <w:lang w:val="en-US" w:eastAsia="zh-CN"/>
        </w:rPr>
        <w:t>703.8</w:t>
      </w:r>
      <w:r>
        <w:rPr>
          <w:rFonts w:hint="eastAsia" w:ascii="仿宋_GB2312" w:hAnsi="仿宋_GB2312" w:eastAsia="仿宋_GB2312" w:cs="仿宋_GB2312"/>
          <w:kern w:val="0"/>
          <w:sz w:val="32"/>
          <w:szCs w:val="32"/>
        </w:rPr>
        <w:t>%,比年初预算</w:t>
      </w:r>
      <w:r>
        <w:rPr>
          <w:rFonts w:hint="eastAsia" w:ascii="仿宋_GB2312" w:hAnsi="仿宋_GB2312" w:eastAsia="仿宋_GB2312" w:cs="仿宋_GB2312"/>
          <w:kern w:val="0"/>
          <w:sz w:val="32"/>
          <w:szCs w:val="32"/>
          <w:lang w:eastAsia="zh-CN"/>
        </w:rPr>
        <w:t>增加</w:t>
      </w:r>
      <w:r>
        <w:rPr>
          <w:rFonts w:hint="eastAsia" w:ascii="仿宋_GB2312" w:hAnsi="仿宋_GB2312" w:eastAsia="仿宋_GB2312" w:cs="仿宋_GB2312"/>
          <w:kern w:val="0"/>
          <w:sz w:val="32"/>
          <w:szCs w:val="32"/>
          <w:lang w:val="en-US" w:eastAsia="zh-CN"/>
        </w:rPr>
        <w:t>11614.98</w:t>
      </w:r>
      <w:r>
        <w:rPr>
          <w:rFonts w:hint="eastAsia" w:ascii="仿宋_GB2312" w:hAnsi="仿宋_GB2312" w:eastAsia="仿宋_GB2312" w:cs="仿宋_GB2312"/>
          <w:kern w:val="0"/>
          <w:sz w:val="32"/>
          <w:szCs w:val="32"/>
        </w:rPr>
        <w:t>万元。主要</w:t>
      </w:r>
      <w:r>
        <w:rPr>
          <w:rFonts w:hint="eastAsia" w:ascii="仿宋_GB2312" w:hAnsi="仿宋_GB2312" w:eastAsia="仿宋_GB2312" w:cs="仿宋_GB2312"/>
          <w:kern w:val="0"/>
          <w:sz w:val="32"/>
          <w:szCs w:val="32"/>
          <w:lang w:eastAsia="zh-CN"/>
        </w:rPr>
        <w:t>是项目支出严重超预算，</w:t>
      </w:r>
      <w:r>
        <w:rPr>
          <w:rFonts w:hint="eastAsia" w:ascii="仿宋_GB2312" w:hAnsi="仿宋_GB2312" w:eastAsia="仿宋_GB2312" w:cs="仿宋_GB2312"/>
          <w:kern w:val="0"/>
          <w:sz w:val="32"/>
          <w:szCs w:val="32"/>
        </w:rPr>
        <w:t>原因</w:t>
      </w:r>
      <w:r>
        <w:rPr>
          <w:rFonts w:hint="eastAsia" w:ascii="仿宋_GB2312" w:hAnsi="仿宋_GB2312" w:eastAsia="仿宋_GB2312" w:cs="仿宋_GB2312"/>
          <w:kern w:val="0"/>
          <w:sz w:val="32"/>
          <w:szCs w:val="32"/>
          <w:lang w:eastAsia="zh-CN"/>
        </w:rPr>
        <w:t>是根据区委区政府安排，今年我局新增了缴纳土增税及资产处置应缴税费等大额资金项目，</w:t>
      </w:r>
      <w:r>
        <w:rPr>
          <w:rFonts w:hint="eastAsia" w:ascii="仿宋_GB2312" w:hAnsi="仿宋_GB2312" w:eastAsia="仿宋_GB2312" w:cs="仿宋_GB2312"/>
          <w:kern w:val="0"/>
          <w:sz w:val="32"/>
          <w:szCs w:val="32"/>
        </w:rPr>
        <w:t>使项目支出较预算</w:t>
      </w:r>
      <w:r>
        <w:rPr>
          <w:rFonts w:hint="eastAsia" w:ascii="仿宋_GB2312" w:hAnsi="仿宋_GB2312" w:eastAsia="仿宋_GB2312" w:cs="仿宋_GB2312"/>
          <w:kern w:val="0"/>
          <w:sz w:val="32"/>
          <w:szCs w:val="32"/>
          <w:lang w:eastAsia="zh-CN"/>
        </w:rPr>
        <w:t>增加</w:t>
      </w:r>
      <w:r>
        <w:rPr>
          <w:rFonts w:hint="eastAsia" w:ascii="仿宋_GB2312" w:hAnsi="仿宋_GB2312" w:eastAsia="仿宋_GB2312" w:cs="仿宋_GB2312"/>
          <w:kern w:val="0"/>
          <w:sz w:val="32"/>
          <w:szCs w:val="32"/>
          <w:lang w:val="en-US" w:eastAsia="zh-CN"/>
        </w:rPr>
        <w:t>11365.3</w:t>
      </w:r>
      <w:r>
        <w:rPr>
          <w:rFonts w:hint="eastAsia" w:ascii="仿宋_GB2312" w:hAnsi="仿宋_GB2312" w:eastAsia="仿宋_GB2312" w:cs="仿宋_GB2312"/>
          <w:kern w:val="0"/>
          <w:sz w:val="32"/>
          <w:szCs w:val="32"/>
        </w:rPr>
        <w:t>万元</w:t>
      </w:r>
      <w:r>
        <w:rPr>
          <w:rFonts w:hint="eastAsia" w:ascii="仿宋_GB2312" w:hAnsi="仿宋_GB2312" w:eastAsia="仿宋_GB2312" w:cs="仿宋_GB2312"/>
          <w:kern w:val="0"/>
          <w:sz w:val="32"/>
          <w:szCs w:val="32"/>
          <w:lang w:eastAsia="zh-CN"/>
        </w:rPr>
        <w:t>。</w:t>
      </w:r>
    </w:p>
    <w:p>
      <w:pPr>
        <w:keepNext w:val="0"/>
        <w:keepLines w:val="0"/>
        <w:pageBreakBefore w:val="0"/>
        <w:widowControl w:val="0"/>
        <w:numPr>
          <w:ilvl w:val="0"/>
          <w:numId w:val="5"/>
        </w:numPr>
        <w:kinsoku/>
        <w:wordWrap/>
        <w:overflowPunct/>
        <w:topLinePunct w:val="0"/>
        <w:autoSpaceDE/>
        <w:autoSpaceDN/>
        <w:bidi w:val="0"/>
        <w:adjustRightInd w:val="0"/>
        <w:snapToGrid w:val="0"/>
        <w:spacing w:line="578" w:lineRule="exact"/>
        <w:ind w:right="0" w:rightChars="0" w:firstLine="64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预算支出细目科目编制不够规范，预算实际使用过程中产生偏差，无法准确预计全年经济活动。</w:t>
      </w:r>
    </w:p>
    <w:p>
      <w:pPr>
        <w:keepNext w:val="0"/>
        <w:keepLines w:val="0"/>
        <w:pageBreakBefore w:val="0"/>
        <w:widowControl w:val="0"/>
        <w:numPr>
          <w:ilvl w:val="0"/>
          <w:numId w:val="5"/>
        </w:numPr>
        <w:kinsoku/>
        <w:wordWrap/>
        <w:overflowPunct/>
        <w:topLinePunct w:val="0"/>
        <w:autoSpaceDE/>
        <w:autoSpaceDN/>
        <w:bidi w:val="0"/>
        <w:adjustRightInd w:val="0"/>
        <w:snapToGrid w:val="0"/>
        <w:spacing w:line="578" w:lineRule="exact"/>
        <w:ind w:right="0" w:rightChars="0" w:firstLine="64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年初预算不够准确，年中追加预算没有及时拨付到位，导致统计工作开展艰难。</w:t>
      </w:r>
    </w:p>
    <w:p>
      <w:pPr>
        <w:keepNext w:val="0"/>
        <w:keepLines w:val="0"/>
        <w:pageBreakBefore w:val="0"/>
        <w:widowControl w:val="0"/>
        <w:numPr>
          <w:ilvl w:val="0"/>
          <w:numId w:val="0"/>
        </w:numPr>
        <w:kinsoku/>
        <w:wordWrap/>
        <w:overflowPunct/>
        <w:topLinePunct w:val="0"/>
        <w:autoSpaceDE/>
        <w:autoSpaceDN/>
        <w:bidi w:val="0"/>
        <w:adjustRightInd w:val="0"/>
        <w:snapToGrid w:val="0"/>
        <w:spacing w:line="578" w:lineRule="exact"/>
        <w:ind w:right="0" w:rightChars="0" w:firstLine="64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lang w:eastAsia="zh-CN"/>
        </w:rPr>
        <w:t>绩效监控质量不达标，填报内容简单，对绩效目标偏差问题缺乏有效分析，无法监控绩效目标的实现程度，还有待进一步提升项目科室整体绩效管理理念。</w:t>
      </w:r>
    </w:p>
    <w:p>
      <w:pPr>
        <w:keepNext w:val="0"/>
        <w:keepLines w:val="0"/>
        <w:pageBreakBefore w:val="0"/>
        <w:widowControl w:val="0"/>
        <w:numPr>
          <w:ilvl w:val="0"/>
          <w:numId w:val="0"/>
        </w:numPr>
        <w:kinsoku/>
        <w:wordWrap/>
        <w:overflowPunct/>
        <w:topLinePunct w:val="0"/>
        <w:autoSpaceDE/>
        <w:autoSpaceDN/>
        <w:bidi w:val="0"/>
        <w:adjustRightInd w:val="0"/>
        <w:snapToGrid w:val="0"/>
        <w:spacing w:line="578" w:lineRule="exact"/>
        <w:ind w:right="0" w:rightChars="0" w:firstLine="64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2、改进措施</w:t>
      </w:r>
    </w:p>
    <w:p>
      <w:pPr>
        <w:keepNext w:val="0"/>
        <w:keepLines w:val="0"/>
        <w:pageBreakBefore w:val="0"/>
        <w:widowControl w:val="0"/>
        <w:numPr>
          <w:ilvl w:val="0"/>
          <w:numId w:val="0"/>
        </w:numPr>
        <w:kinsoku/>
        <w:wordWrap/>
        <w:overflowPunct/>
        <w:topLinePunct w:val="0"/>
        <w:autoSpaceDE/>
        <w:autoSpaceDN/>
        <w:bidi w:val="0"/>
        <w:adjustRightInd w:val="0"/>
        <w:snapToGrid w:val="0"/>
        <w:spacing w:line="578" w:lineRule="exact"/>
        <w:ind w:right="0" w:rightChars="0" w:firstLine="64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（1）、结合上一年度预算执行和本年度预算收支因素，科学、合理地编制本年预算支出，根据项目资金下达时间及项目工作开展情况，及时拨付项目资金。</w:t>
      </w:r>
    </w:p>
    <w:p>
      <w:pPr>
        <w:keepNext w:val="0"/>
        <w:keepLines w:val="0"/>
        <w:pageBreakBefore w:val="0"/>
        <w:widowControl w:val="0"/>
        <w:numPr>
          <w:ilvl w:val="0"/>
          <w:numId w:val="0"/>
        </w:numPr>
        <w:kinsoku/>
        <w:wordWrap/>
        <w:overflowPunct/>
        <w:topLinePunct w:val="0"/>
        <w:autoSpaceDE/>
        <w:autoSpaceDN/>
        <w:bidi w:val="0"/>
        <w:adjustRightInd w:val="0"/>
        <w:snapToGrid w:val="0"/>
        <w:spacing w:line="578" w:lineRule="exact"/>
        <w:ind w:right="0" w:rightChars="0" w:firstLine="64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（2）、科学严谨编制本年度部门预算，细化部门预算内容，强化绩效目标、绩效指标的合理性、合规性，保证预算的准确性。 </w:t>
      </w:r>
    </w:p>
    <w:p>
      <w:pPr>
        <w:keepNext w:val="0"/>
        <w:keepLines w:val="0"/>
        <w:pageBreakBefore w:val="0"/>
        <w:widowControl w:val="0"/>
        <w:numPr>
          <w:ilvl w:val="0"/>
          <w:numId w:val="0"/>
        </w:numPr>
        <w:kinsoku/>
        <w:wordWrap/>
        <w:overflowPunct/>
        <w:topLinePunct w:val="0"/>
        <w:autoSpaceDE/>
        <w:autoSpaceDN/>
        <w:bidi w:val="0"/>
        <w:adjustRightInd w:val="0"/>
        <w:snapToGrid w:val="0"/>
        <w:spacing w:line="578" w:lineRule="exact"/>
        <w:ind w:right="0" w:rightChars="0" w:firstLine="64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（3）、加强绩效监控，根据监控结果通过中期合理调配资金，增强与各业务股室协调合作，提高项目执行率，提高资金支付效率。</w:t>
      </w:r>
    </w:p>
    <w:p>
      <w:pPr>
        <w:keepNext w:val="0"/>
        <w:keepLines w:val="0"/>
        <w:pageBreakBefore w:val="0"/>
        <w:widowControl w:val="0"/>
        <w:kinsoku/>
        <w:wordWrap/>
        <w:overflowPunct/>
        <w:topLinePunct w:val="0"/>
        <w:autoSpaceDE/>
        <w:autoSpaceDN/>
        <w:bidi w:val="0"/>
        <w:adjustRightInd w:val="0"/>
        <w:snapToGrid w:val="0"/>
        <w:spacing w:line="578" w:lineRule="exact"/>
        <w:ind w:right="0" w:rightChars="0" w:firstLine="640" w:firstLineChars="200"/>
        <w:textAlignment w:val="auto"/>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w:t>
      </w:r>
      <w:r>
        <w:rPr>
          <w:rFonts w:hint="eastAsia" w:ascii="仿宋_GB2312" w:hAnsi="仿宋_GB2312" w:eastAsia="仿宋_GB2312" w:cs="仿宋_GB2312"/>
          <w:kern w:val="0"/>
          <w:sz w:val="32"/>
          <w:szCs w:val="32"/>
          <w:lang w:val="en-US" w:eastAsia="zh-CN"/>
        </w:rPr>
        <w:t>4）</w:t>
      </w:r>
      <w:r>
        <w:rPr>
          <w:rFonts w:hint="eastAsia" w:ascii="仿宋_GB2312" w:hAnsi="仿宋_GB2312" w:eastAsia="仿宋_GB2312" w:cs="仿宋_GB2312"/>
          <w:kern w:val="0"/>
          <w:sz w:val="32"/>
          <w:szCs w:val="32"/>
        </w:rPr>
        <w:t>管理规范，监督有效。为进一步规范财务管理，我局制定并印发《财政局财务管理规定》，严格资金使用程序，健全资金管理制度，定期对资金使用情况进行检查，严格确保项目质量。</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rightChars="0" w:firstLine="640" w:firstLineChars="200"/>
        <w:jc w:val="both"/>
        <w:textAlignment w:val="auto"/>
        <w:rPr>
          <w:rFonts w:ascii="楷体_GB2312" w:hAnsi="Times New Roman" w:eastAsia="楷体_GB2312" w:cs="Times New Roman"/>
          <w:b/>
          <w:bCs/>
          <w:sz w:val="32"/>
          <w:szCs w:val="32"/>
        </w:rPr>
      </w:pPr>
      <w:r>
        <w:rPr>
          <w:rFonts w:hint="eastAsia" w:ascii="黑体" w:eastAsia="黑体" w:cs="黑体"/>
          <w:sz w:val="32"/>
          <w:szCs w:val="32"/>
        </w:rPr>
        <w:t>十、其他需要说明的情况</w:t>
      </w:r>
    </w:p>
    <w:p>
      <w:pPr>
        <w:keepNext w:val="0"/>
        <w:keepLines w:val="0"/>
        <w:pageBreakBefore w:val="0"/>
        <w:widowControl w:val="0"/>
        <w:kinsoku/>
        <w:wordWrap/>
        <w:overflowPunct/>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仿宋_GB2312" w:eastAsia="仿宋_GB2312" w:cs="仿宋_GB2312"/>
          <w:kern w:val="0"/>
          <w:sz w:val="32"/>
          <w:szCs w:val="32"/>
        </w:rPr>
      </w:pPr>
      <w:r>
        <w:rPr>
          <w:rFonts w:hint="eastAsia" w:ascii="仿宋_GB2312" w:eastAsia="仿宋_GB2312" w:cs="仿宋_GB2312"/>
          <w:kern w:val="0"/>
          <w:sz w:val="32"/>
          <w:szCs w:val="32"/>
        </w:rPr>
        <w:t>1. 本</w:t>
      </w:r>
      <w:r>
        <w:rPr>
          <w:rFonts w:hint="eastAsia" w:ascii="仿宋_GB2312" w:eastAsia="仿宋_GB2312" w:cs="仿宋_GB2312"/>
          <w:kern w:val="0"/>
          <w:sz w:val="32"/>
          <w:szCs w:val="32"/>
          <w:lang w:eastAsia="zh-CN"/>
        </w:rPr>
        <w:t>部门</w:t>
      </w:r>
      <w:r>
        <w:rPr>
          <w:rFonts w:hint="eastAsia" w:ascii="仿宋_GB2312" w:eastAsia="仿宋_GB2312" w:cs="仿宋_GB2312"/>
          <w:kern w:val="0"/>
          <w:sz w:val="32"/>
          <w:szCs w:val="32"/>
        </w:rPr>
        <w:t>202</w:t>
      </w:r>
      <w:r>
        <w:rPr>
          <w:rFonts w:hint="eastAsia" w:ascii="仿宋_GB2312" w:eastAsia="仿宋_GB2312" w:cs="仿宋_GB2312"/>
          <w:kern w:val="0"/>
          <w:sz w:val="32"/>
          <w:szCs w:val="32"/>
          <w:lang w:val="en-US" w:eastAsia="zh-CN"/>
        </w:rPr>
        <w:t>2</w:t>
      </w:r>
      <w:r>
        <w:rPr>
          <w:rFonts w:hint="eastAsia" w:ascii="仿宋_GB2312" w:eastAsia="仿宋_GB2312" w:cs="仿宋_GB2312"/>
          <w:kern w:val="0"/>
          <w:sz w:val="32"/>
          <w:szCs w:val="32"/>
        </w:rPr>
        <w:t>年度未发生政府性基金预算、国有资金经营预算收支及结转结余情况，故政府性基金预算（08表）、国有资金经营预算支出表（09表）两张表以空表列示。</w:t>
      </w:r>
    </w:p>
    <w:p>
      <w:pPr>
        <w:keepNext w:val="0"/>
        <w:keepLines w:val="0"/>
        <w:pageBreakBefore w:val="0"/>
        <w:widowControl w:val="0"/>
        <w:kinsoku/>
        <w:wordWrap/>
        <w:overflowPunct/>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仿宋_GB2312" w:eastAsia="仿宋_GB2312" w:cs="仿宋_GB2312"/>
          <w:kern w:val="0"/>
          <w:sz w:val="32"/>
          <w:szCs w:val="32"/>
        </w:rPr>
      </w:pPr>
      <w:r>
        <w:rPr>
          <w:rFonts w:hint="eastAsia" w:ascii="仿宋_GB2312" w:eastAsia="仿宋_GB2312" w:cs="仿宋_GB2312"/>
          <w:kern w:val="0"/>
          <w:sz w:val="32"/>
          <w:szCs w:val="32"/>
        </w:rPr>
        <w:t>2. 由于决算公开表格中金额数值应当保留两位小数，公开数据为四舍五入计算结果，个别数据合计项与分项之和存在小数点后差额，特此说明。</w:t>
      </w:r>
    </w:p>
    <w:p>
      <w:pPr>
        <w:keepNext w:val="0"/>
        <w:keepLines w:val="0"/>
        <w:pageBreakBefore w:val="0"/>
        <w:widowControl w:val="0"/>
        <w:kinsoku/>
        <w:wordWrap/>
        <w:overflowPunct/>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仿宋_GB2312" w:eastAsia="仿宋_GB2312" w:cs="仿宋_GB2312"/>
          <w:kern w:val="0"/>
          <w:sz w:val="32"/>
          <w:szCs w:val="32"/>
        </w:rPr>
      </w:pPr>
    </w:p>
    <w:p>
      <w:pPr>
        <w:keepNext w:val="0"/>
        <w:keepLines w:val="0"/>
        <w:pageBreakBefore w:val="0"/>
        <w:widowControl w:val="0"/>
        <w:kinsoku/>
        <w:wordWrap/>
        <w:overflowPunct/>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仿宋_GB2312" w:eastAsia="仿宋_GB2312" w:cs="仿宋_GB2312"/>
          <w:kern w:val="0"/>
          <w:sz w:val="32"/>
          <w:szCs w:val="32"/>
        </w:rPr>
      </w:pPr>
    </w:p>
    <w:p>
      <w:pPr>
        <w:widowControl/>
        <w:spacing w:line="580" w:lineRule="exact"/>
        <w:ind w:firstLine="883" w:firstLineChars="200"/>
        <w:jc w:val="left"/>
        <w:rPr>
          <w:rFonts w:ascii="宋体" w:cs="Times New Roman"/>
          <w:b/>
          <w:bCs/>
          <w:kern w:val="0"/>
          <w:sz w:val="44"/>
          <w:szCs w:val="44"/>
        </w:rPr>
      </w:pPr>
    </w:p>
    <w:p>
      <w:pPr>
        <w:rPr>
          <w:rFonts w:ascii="仿宋_GB2312" w:hAnsi="宋体" w:eastAsia="仿宋_GB2312" w:cs="Times New Roman"/>
          <w:sz w:val="32"/>
          <w:szCs w:val="32"/>
        </w:rPr>
      </w:pPr>
    </w:p>
    <w:p>
      <w:pPr>
        <w:rPr>
          <w:rFonts w:ascii="仿宋_GB2312" w:hAnsi="宋体" w:eastAsia="仿宋_GB2312" w:cs="Times New Roman"/>
          <w:sz w:val="32"/>
          <w:szCs w:val="32"/>
        </w:rPr>
      </w:pPr>
    </w:p>
    <w:p>
      <w:pPr>
        <w:rPr>
          <w:rFonts w:ascii="仿宋_GB2312" w:hAnsi="宋体" w:eastAsia="仿宋_GB2312" w:cs="Times New Roman"/>
          <w:sz w:val="32"/>
          <w:szCs w:val="32"/>
        </w:rPr>
      </w:pPr>
    </w:p>
    <w:p>
      <w:pPr>
        <w:rPr>
          <w:rFonts w:ascii="仿宋_GB2312" w:hAnsi="宋体" w:eastAsia="仿宋_GB2312" w:cs="Times New Roman"/>
          <w:sz w:val="32"/>
          <w:szCs w:val="32"/>
        </w:rPr>
      </w:pPr>
    </w:p>
    <w:p>
      <w:pPr>
        <w:rPr>
          <w:rFonts w:ascii="仿宋_GB2312" w:hAnsi="宋体" w:eastAsia="仿宋_GB2312" w:cs="Times New Roman"/>
          <w:sz w:val="32"/>
          <w:szCs w:val="32"/>
        </w:rPr>
      </w:pPr>
    </w:p>
    <w:p>
      <w:pPr>
        <w:widowControl/>
        <w:jc w:val="center"/>
        <w:rPr>
          <w:rFonts w:ascii="黑体" w:hAnsi="黑体" w:eastAsia="黑体" w:cs="Times New Roman"/>
          <w:color w:val="000000"/>
          <w:sz w:val="44"/>
          <w:szCs w:val="44"/>
        </w:rPr>
      </w:pPr>
    </w:p>
    <w:p>
      <w:pPr>
        <w:widowControl/>
        <w:rPr>
          <w:rFonts w:ascii="黑体" w:hAnsi="黑体" w:eastAsia="黑体" w:cs="黑体"/>
          <w:color w:val="000000"/>
          <w:sz w:val="44"/>
          <w:szCs w:val="44"/>
        </w:rPr>
      </w:pPr>
    </w:p>
    <w:p>
      <w:pPr>
        <w:widowControl/>
        <w:rPr>
          <w:rFonts w:ascii="黑体" w:hAnsi="黑体" w:eastAsia="黑体" w:cs="黑体"/>
          <w:color w:val="000000"/>
          <w:sz w:val="44"/>
          <w:szCs w:val="44"/>
        </w:rPr>
      </w:pPr>
    </w:p>
    <w:p>
      <w:pPr>
        <w:widowControl/>
        <w:rPr>
          <w:rFonts w:ascii="黑体" w:hAnsi="黑体" w:eastAsia="黑体" w:cs="黑体"/>
          <w:color w:val="000000"/>
          <w:sz w:val="44"/>
          <w:szCs w:val="44"/>
        </w:rPr>
      </w:pPr>
    </w:p>
    <w:p>
      <w:pPr>
        <w:widowControl/>
        <w:rPr>
          <w:rFonts w:ascii="黑体" w:hAnsi="黑体" w:eastAsia="黑体" w:cs="黑体"/>
          <w:color w:val="000000"/>
          <w:sz w:val="44"/>
          <w:szCs w:val="44"/>
        </w:rPr>
      </w:pPr>
    </w:p>
    <w:p>
      <w:pPr>
        <w:widowControl/>
        <w:jc w:val="center"/>
        <w:rPr>
          <w:rFonts w:ascii="黑体" w:hAnsi="黑体" w:eastAsia="黑体" w:cs="黑体"/>
          <w:color w:val="000000"/>
          <w:sz w:val="44"/>
          <w:szCs w:val="44"/>
        </w:rPr>
      </w:pPr>
    </w:p>
    <w:p>
      <w:pPr>
        <w:widowControl/>
        <w:rPr>
          <w:rFonts w:ascii="黑体" w:hAnsi="黑体" w:eastAsia="黑体" w:cs="黑体"/>
          <w:color w:val="000000"/>
          <w:sz w:val="44"/>
          <w:szCs w:val="44"/>
        </w:rPr>
      </w:pPr>
      <w:r>
        <w:rPr>
          <w:rFonts w:hint="eastAsia" w:ascii="黑体" w:hAnsi="黑体" w:eastAsia="黑体" w:cs="黑体"/>
          <w:color w:val="000000"/>
          <w:sz w:val="44"/>
          <w:szCs w:val="44"/>
          <w:lang w:val="en-US" w:eastAsia="zh-CN"/>
        </w:rPr>
        <w:t xml:space="preserve">          </w:t>
      </w:r>
    </w:p>
    <w:p>
      <w:pPr>
        <w:widowControl/>
        <w:jc w:val="center"/>
        <w:rPr>
          <w:rFonts w:ascii="黑体" w:hAnsi="黑体" w:eastAsia="黑体" w:cs="黑体"/>
          <w:color w:val="000000"/>
          <w:sz w:val="44"/>
          <w:szCs w:val="44"/>
        </w:rPr>
      </w:pPr>
    </w:p>
    <w:p>
      <w:pPr>
        <w:widowControl/>
        <w:jc w:val="center"/>
        <w:rPr>
          <w:rFonts w:ascii="黑体" w:hAnsi="黑体" w:eastAsia="黑体" w:cs="黑体"/>
          <w:color w:val="000000"/>
          <w:sz w:val="44"/>
          <w:szCs w:val="44"/>
        </w:rPr>
      </w:pPr>
    </w:p>
    <w:p>
      <w:pPr>
        <w:widowControl/>
        <w:jc w:val="center"/>
        <w:rPr>
          <w:rFonts w:ascii="黑体" w:hAnsi="黑体" w:eastAsia="黑体" w:cs="黑体"/>
          <w:color w:val="000000"/>
          <w:sz w:val="44"/>
          <w:szCs w:val="44"/>
        </w:rPr>
      </w:pPr>
      <w:bookmarkStart w:id="14" w:name="_GoBack"/>
      <w:r>
        <w:pict>
          <v:shape id="图片 76" o:spid="_x0000_s1043" o:spt="75" alt="32313535383135393b32313535383230393bcbb5c3f7cae9" type="#_x0000_t75" style="position:absolute;left:0pt;margin-left:47.2pt;margin-top:121.55pt;height:50.4pt;width:50.4pt;mso-position-vertical-relative:margin;z-index:251659264;mso-width-relative:page;mso-height-relative:page;" filled="f" o:preferrelative="t" stroked="f" coordsize="21600,21600">
            <v:path/>
            <v:fill on="f" focussize="0,0"/>
            <v:stroke on="f" joinstyle="miter"/>
            <v:imagedata r:id="rId20" o:title=""/>
            <o:lock v:ext="edit" aspectratio="t"/>
          </v:shape>
        </w:pict>
      </w:r>
      <w:bookmarkEnd w:id="14"/>
    </w:p>
    <w:p>
      <w:pPr>
        <w:widowControl/>
        <w:jc w:val="center"/>
        <w:rPr>
          <w:rFonts w:ascii="黑体" w:hAnsi="黑体" w:eastAsia="黑体" w:cs="黑体"/>
          <w:color w:val="000000"/>
          <w:sz w:val="44"/>
          <w:szCs w:val="44"/>
        </w:rPr>
      </w:pPr>
      <w:r>
        <w:rPr>
          <w:rFonts w:hint="eastAsia" w:ascii="黑体" w:hAnsi="黑体" w:eastAsia="黑体" w:cs="黑体"/>
          <w:color w:val="000000"/>
          <w:sz w:val="44"/>
          <w:szCs w:val="44"/>
        </w:rPr>
        <w:t>第四部分相关名词解释</w:t>
      </w:r>
    </w:p>
    <w:p>
      <w:pPr>
        <w:widowControl/>
        <w:jc w:val="center"/>
        <w:rPr>
          <w:rFonts w:ascii="黑体" w:hAnsi="黑体" w:eastAsia="黑体" w:cs="黑体"/>
          <w:color w:val="000000"/>
          <w:sz w:val="44"/>
          <w:szCs w:val="44"/>
        </w:rPr>
      </w:pPr>
    </w:p>
    <w:p>
      <w:pPr>
        <w:widowControl/>
        <w:jc w:val="center"/>
        <w:rPr>
          <w:rFonts w:ascii="黑体" w:hAnsi="黑体" w:eastAsia="黑体" w:cs="黑体"/>
          <w:color w:val="000000"/>
          <w:sz w:val="44"/>
          <w:szCs w:val="44"/>
        </w:rPr>
      </w:pPr>
    </w:p>
    <w:p>
      <w:pPr>
        <w:widowControl/>
        <w:jc w:val="center"/>
        <w:rPr>
          <w:rFonts w:ascii="黑体" w:hAnsi="黑体" w:eastAsia="黑体" w:cs="黑体"/>
          <w:color w:val="000000"/>
          <w:sz w:val="44"/>
          <w:szCs w:val="44"/>
        </w:rPr>
      </w:pPr>
    </w:p>
    <w:p>
      <w:pPr>
        <w:widowControl/>
        <w:jc w:val="center"/>
        <w:rPr>
          <w:rFonts w:ascii="黑体" w:hAnsi="黑体" w:eastAsia="黑体" w:cs="黑体"/>
          <w:color w:val="000000"/>
          <w:sz w:val="44"/>
          <w:szCs w:val="44"/>
        </w:rPr>
      </w:pPr>
    </w:p>
    <w:p>
      <w:pPr>
        <w:widowControl/>
        <w:jc w:val="center"/>
        <w:rPr>
          <w:rFonts w:ascii="黑体" w:hAnsi="黑体" w:eastAsia="黑体" w:cs="黑体"/>
          <w:color w:val="000000"/>
          <w:sz w:val="44"/>
          <w:szCs w:val="44"/>
        </w:rPr>
      </w:pPr>
    </w:p>
    <w:p>
      <w:pPr>
        <w:widowControl/>
        <w:jc w:val="center"/>
        <w:rPr>
          <w:rFonts w:ascii="黑体" w:hAnsi="黑体" w:eastAsia="黑体" w:cs="黑体"/>
          <w:color w:val="000000"/>
          <w:sz w:val="44"/>
          <w:szCs w:val="44"/>
        </w:rPr>
      </w:pPr>
    </w:p>
    <w:p>
      <w:pPr>
        <w:widowControl/>
        <w:jc w:val="center"/>
        <w:rPr>
          <w:rFonts w:ascii="黑体" w:hAnsi="黑体" w:eastAsia="黑体" w:cs="黑体"/>
          <w:color w:val="000000"/>
          <w:sz w:val="44"/>
          <w:szCs w:val="44"/>
        </w:rPr>
      </w:pPr>
    </w:p>
    <w:p>
      <w:pPr>
        <w:widowControl/>
        <w:jc w:val="both"/>
        <w:rPr>
          <w:rFonts w:ascii="黑体" w:hAnsi="黑体" w:eastAsia="黑体" w:cs="黑体"/>
          <w:color w:val="000000"/>
          <w:sz w:val="44"/>
          <w:szCs w:val="44"/>
        </w:rPr>
      </w:pPr>
    </w:p>
    <w:p>
      <w:pPr>
        <w:keepNext w:val="0"/>
        <w:keepLines w:val="0"/>
        <w:pageBreakBefore w:val="0"/>
        <w:widowControl w:val="0"/>
        <w:kinsoku/>
        <w:wordWrap/>
        <w:overflowPunct/>
        <w:topLinePunct w:val="0"/>
        <w:autoSpaceDE/>
        <w:autoSpaceDN/>
        <w:bidi w:val="0"/>
        <w:adjustRightInd/>
        <w:snapToGrid/>
        <w:spacing w:line="578" w:lineRule="exact"/>
        <w:ind w:left="0" w:leftChars="0" w:right="0" w:rightChars="0" w:firstLine="643" w:firstLineChars="200"/>
        <w:jc w:val="left"/>
        <w:textAlignment w:val="auto"/>
        <w:outlineLvl w:val="9"/>
        <w:rPr>
          <w:rFonts w:hint="eastAsia" w:ascii="仿宋_GB2312" w:eastAsia="仿宋_GB2312" w:cs="仿宋_GB2312"/>
          <w:kern w:val="0"/>
          <w:sz w:val="32"/>
          <w:szCs w:val="32"/>
        </w:rPr>
      </w:pPr>
      <w:r>
        <w:rPr>
          <w:rFonts w:hint="eastAsia" w:ascii="仿宋_GB2312" w:hAnsi="宋体" w:eastAsia="仿宋_GB2312" w:cs="仿宋_GB2312"/>
          <w:b/>
          <w:bCs/>
          <w:color w:val="000000"/>
          <w:kern w:val="0"/>
          <w:sz w:val="32"/>
          <w:szCs w:val="32"/>
        </w:rPr>
        <w:t>（一）财政拨款收入：</w:t>
      </w:r>
      <w:r>
        <w:rPr>
          <w:rFonts w:hint="eastAsia" w:ascii="仿宋_GB2312" w:eastAsia="仿宋_GB2312" w:cs="仿宋_GB2312"/>
          <w:kern w:val="0"/>
          <w:sz w:val="32"/>
          <w:szCs w:val="32"/>
        </w:rPr>
        <w:t>本年度从本级财政部门取得的财政拨款，包括一般公共预算财政拨款和政府性基金预算财政拨款。</w:t>
      </w:r>
    </w:p>
    <w:p>
      <w:pPr>
        <w:keepNext w:val="0"/>
        <w:keepLines w:val="0"/>
        <w:pageBreakBefore w:val="0"/>
        <w:widowControl/>
        <w:kinsoku/>
        <w:wordWrap/>
        <w:overflowPunct/>
        <w:topLinePunct w:val="0"/>
        <w:autoSpaceDE/>
        <w:autoSpaceDN/>
        <w:bidi w:val="0"/>
        <w:adjustRightInd/>
        <w:spacing w:line="578" w:lineRule="exact"/>
        <w:ind w:left="0" w:leftChars="0" w:right="0" w:rightChars="0" w:firstLine="643" w:firstLineChars="200"/>
        <w:textAlignment w:val="auto"/>
        <w:outlineLvl w:val="9"/>
        <w:rPr>
          <w:rFonts w:hint="eastAsia" w:ascii="仿宋_GB2312" w:eastAsia="仿宋_GB2312" w:cs="仿宋_GB2312"/>
          <w:kern w:val="0"/>
          <w:sz w:val="32"/>
          <w:szCs w:val="32"/>
        </w:rPr>
      </w:pPr>
      <w:r>
        <w:rPr>
          <w:rFonts w:hint="eastAsia" w:ascii="仿宋_GB2312" w:hAnsi="宋体" w:eastAsia="仿宋_GB2312" w:cs="仿宋_GB2312"/>
          <w:b/>
          <w:bCs/>
          <w:color w:val="000000"/>
          <w:kern w:val="0"/>
          <w:sz w:val="32"/>
          <w:szCs w:val="32"/>
        </w:rPr>
        <w:t>（二）事业收入：</w:t>
      </w:r>
      <w:r>
        <w:rPr>
          <w:rFonts w:hint="eastAsia" w:ascii="仿宋_GB2312" w:eastAsia="仿宋_GB2312" w:cs="仿宋_GB2312"/>
          <w:kern w:val="0"/>
          <w:sz w:val="32"/>
          <w:szCs w:val="32"/>
        </w:rPr>
        <w:t>指事业单位开展专业业务活动及辅助活动所取得的收入。</w:t>
      </w:r>
    </w:p>
    <w:p>
      <w:pPr>
        <w:keepNext w:val="0"/>
        <w:keepLines w:val="0"/>
        <w:pageBreakBefore w:val="0"/>
        <w:widowControl/>
        <w:kinsoku/>
        <w:wordWrap/>
        <w:overflowPunct/>
        <w:topLinePunct w:val="0"/>
        <w:autoSpaceDE/>
        <w:autoSpaceDN/>
        <w:bidi w:val="0"/>
        <w:adjustRightInd/>
        <w:spacing w:line="578" w:lineRule="exact"/>
        <w:ind w:left="0" w:leftChars="0" w:right="0" w:rightChars="0" w:firstLine="643" w:firstLineChars="200"/>
        <w:textAlignment w:val="auto"/>
        <w:outlineLvl w:val="9"/>
        <w:rPr>
          <w:rFonts w:hint="eastAsia" w:ascii="仿宋_GB2312" w:eastAsia="仿宋_GB2312" w:cs="仿宋_GB2312"/>
          <w:kern w:val="0"/>
          <w:sz w:val="32"/>
          <w:szCs w:val="32"/>
        </w:rPr>
      </w:pPr>
      <w:r>
        <w:rPr>
          <w:rFonts w:hint="eastAsia" w:ascii="仿宋_GB2312" w:hAnsi="宋体" w:eastAsia="仿宋_GB2312" w:cs="仿宋_GB2312"/>
          <w:b/>
          <w:bCs/>
          <w:color w:val="000000"/>
          <w:kern w:val="0"/>
          <w:sz w:val="32"/>
          <w:szCs w:val="32"/>
        </w:rPr>
        <w:t>（三）其他收入：</w:t>
      </w:r>
      <w:r>
        <w:rPr>
          <w:rFonts w:hint="eastAsia" w:ascii="仿宋_GB2312" w:eastAsia="仿宋_GB2312" w:cs="仿宋_GB2312"/>
          <w:kern w:val="0"/>
          <w:sz w:val="32"/>
          <w:szCs w:val="32"/>
        </w:rPr>
        <w:t>指除上述“财政拨款收入”“事业收入”“经营收入”等以外的收入。</w:t>
      </w:r>
    </w:p>
    <w:p>
      <w:pPr>
        <w:keepNext w:val="0"/>
        <w:keepLines w:val="0"/>
        <w:pageBreakBefore w:val="0"/>
        <w:widowControl/>
        <w:kinsoku/>
        <w:wordWrap/>
        <w:overflowPunct/>
        <w:topLinePunct w:val="0"/>
        <w:autoSpaceDE/>
        <w:autoSpaceDN/>
        <w:bidi w:val="0"/>
        <w:adjustRightInd/>
        <w:spacing w:line="578" w:lineRule="exact"/>
        <w:ind w:left="0" w:leftChars="0" w:right="0" w:rightChars="0" w:firstLine="643" w:firstLineChars="200"/>
        <w:textAlignment w:val="auto"/>
        <w:outlineLvl w:val="9"/>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（四）用事业基金弥补收支差额：</w:t>
      </w:r>
      <w:r>
        <w:rPr>
          <w:rFonts w:hint="eastAsia" w:ascii="仿宋_GB2312" w:hAnsi="宋体" w:eastAsia="仿宋_GB2312" w:cs="仿宋_GB2312"/>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keepNext w:val="0"/>
        <w:keepLines w:val="0"/>
        <w:pageBreakBefore w:val="0"/>
        <w:widowControl/>
        <w:kinsoku/>
        <w:wordWrap/>
        <w:overflowPunct/>
        <w:topLinePunct w:val="0"/>
        <w:autoSpaceDE/>
        <w:autoSpaceDN/>
        <w:bidi w:val="0"/>
        <w:adjustRightInd/>
        <w:spacing w:line="578" w:lineRule="exact"/>
        <w:ind w:left="0" w:leftChars="0" w:right="0" w:rightChars="0" w:firstLine="643" w:firstLineChars="200"/>
        <w:textAlignment w:val="auto"/>
        <w:outlineLvl w:val="9"/>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（五）年初结转和结余：</w:t>
      </w:r>
      <w:r>
        <w:rPr>
          <w:rFonts w:hint="eastAsia" w:ascii="仿宋_GB2312" w:hAnsi="宋体" w:eastAsia="仿宋_GB2312" w:cs="仿宋_GB2312"/>
          <w:color w:val="000000"/>
          <w:kern w:val="0"/>
          <w:sz w:val="32"/>
          <w:szCs w:val="32"/>
        </w:rPr>
        <w:t>指以前年度尚未完成、结转到本年仍按原规定用途继续使用的资金，或项目已完成等产生的结余资金。</w:t>
      </w:r>
    </w:p>
    <w:p>
      <w:pPr>
        <w:keepNext w:val="0"/>
        <w:keepLines w:val="0"/>
        <w:pageBreakBefore w:val="0"/>
        <w:widowControl/>
        <w:kinsoku/>
        <w:wordWrap/>
        <w:overflowPunct/>
        <w:topLinePunct w:val="0"/>
        <w:autoSpaceDE/>
        <w:autoSpaceDN/>
        <w:bidi w:val="0"/>
        <w:adjustRightInd/>
        <w:spacing w:line="578" w:lineRule="exact"/>
        <w:ind w:left="0" w:leftChars="0" w:right="0" w:rightChars="0" w:firstLine="643" w:firstLineChars="200"/>
        <w:textAlignment w:val="auto"/>
        <w:outlineLvl w:val="9"/>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（六）结余分配：</w:t>
      </w:r>
      <w:r>
        <w:rPr>
          <w:rFonts w:hint="eastAsia" w:ascii="仿宋_GB2312" w:hAnsi="宋体" w:eastAsia="仿宋_GB2312" w:cs="仿宋_GB2312"/>
          <w:color w:val="000000"/>
          <w:kern w:val="0"/>
          <w:sz w:val="32"/>
          <w:szCs w:val="32"/>
        </w:rPr>
        <w:t>指事业单位按照事业单位会计制度的规定从非财政补助结余中分配的事业基金和职工福利基金等。</w:t>
      </w:r>
    </w:p>
    <w:p>
      <w:pPr>
        <w:keepNext w:val="0"/>
        <w:keepLines w:val="0"/>
        <w:pageBreakBefore w:val="0"/>
        <w:widowControl/>
        <w:kinsoku/>
        <w:wordWrap/>
        <w:overflowPunct/>
        <w:topLinePunct w:val="0"/>
        <w:autoSpaceDE/>
        <w:autoSpaceDN/>
        <w:bidi w:val="0"/>
        <w:adjustRightInd/>
        <w:spacing w:line="578" w:lineRule="exact"/>
        <w:ind w:left="0" w:leftChars="0" w:right="0" w:rightChars="0" w:firstLine="643" w:firstLineChars="200"/>
        <w:textAlignment w:val="auto"/>
        <w:outlineLvl w:val="9"/>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（七）年末结转和结余：</w:t>
      </w:r>
      <w:r>
        <w:rPr>
          <w:rFonts w:hint="eastAsia" w:ascii="仿宋_GB2312" w:hAnsi="宋体" w:eastAsia="仿宋_GB2312" w:cs="仿宋_GB2312"/>
          <w:color w:val="000000"/>
          <w:kern w:val="0"/>
          <w:sz w:val="32"/>
          <w:szCs w:val="32"/>
        </w:rPr>
        <w:t>指单位按有关规定结转到下年或以后年度继续使用的资金，或项目已完成等产生的结余资金。</w:t>
      </w:r>
    </w:p>
    <w:p>
      <w:pPr>
        <w:keepNext w:val="0"/>
        <w:keepLines w:val="0"/>
        <w:pageBreakBefore w:val="0"/>
        <w:widowControl/>
        <w:kinsoku/>
        <w:wordWrap/>
        <w:overflowPunct/>
        <w:topLinePunct w:val="0"/>
        <w:autoSpaceDE/>
        <w:autoSpaceDN/>
        <w:bidi w:val="0"/>
        <w:adjustRightInd/>
        <w:spacing w:line="578" w:lineRule="exact"/>
        <w:ind w:left="0" w:leftChars="0" w:right="0" w:rightChars="0" w:firstLine="643" w:firstLineChars="200"/>
        <w:textAlignment w:val="auto"/>
        <w:outlineLvl w:val="9"/>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（八）基本支出：</w:t>
      </w:r>
      <w:r>
        <w:rPr>
          <w:rFonts w:hint="eastAsia" w:ascii="仿宋_GB2312" w:hAnsi="宋体" w:eastAsia="仿宋_GB2312" w:cs="仿宋_GB2312"/>
          <w:color w:val="000000"/>
          <w:kern w:val="0"/>
          <w:sz w:val="32"/>
          <w:szCs w:val="32"/>
        </w:rPr>
        <w:t>填列单位为保障机构正常运转、完成日常工作任务而发生的各项支出。</w:t>
      </w:r>
    </w:p>
    <w:p>
      <w:pPr>
        <w:keepNext w:val="0"/>
        <w:keepLines w:val="0"/>
        <w:pageBreakBefore w:val="0"/>
        <w:widowControl/>
        <w:kinsoku/>
        <w:wordWrap/>
        <w:overflowPunct/>
        <w:topLinePunct w:val="0"/>
        <w:autoSpaceDE/>
        <w:autoSpaceDN/>
        <w:bidi w:val="0"/>
        <w:adjustRightInd/>
        <w:spacing w:line="578" w:lineRule="exact"/>
        <w:ind w:left="0" w:leftChars="0" w:right="0" w:rightChars="0" w:firstLine="643" w:firstLineChars="200"/>
        <w:textAlignment w:val="auto"/>
        <w:outlineLvl w:val="9"/>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（九）项目支出：</w:t>
      </w:r>
      <w:r>
        <w:rPr>
          <w:rFonts w:hint="eastAsia" w:ascii="仿宋_GB2312" w:hAnsi="宋体" w:eastAsia="仿宋_GB2312" w:cs="仿宋_GB2312"/>
          <w:color w:val="000000"/>
          <w:kern w:val="0"/>
          <w:sz w:val="32"/>
          <w:szCs w:val="32"/>
        </w:rPr>
        <w:t>填列单位为完成特定的行政工作任务或事业发展目标，在基本支出之外发生的各项支出</w:t>
      </w:r>
    </w:p>
    <w:p>
      <w:pPr>
        <w:keepNext w:val="0"/>
        <w:keepLines w:val="0"/>
        <w:pageBreakBefore w:val="0"/>
        <w:widowControl/>
        <w:kinsoku/>
        <w:wordWrap/>
        <w:overflowPunct/>
        <w:topLinePunct w:val="0"/>
        <w:autoSpaceDE/>
        <w:autoSpaceDN/>
        <w:bidi w:val="0"/>
        <w:adjustRightInd/>
        <w:spacing w:line="578" w:lineRule="exact"/>
        <w:ind w:left="0" w:leftChars="0" w:right="0" w:rightChars="0" w:firstLine="643" w:firstLineChars="200"/>
        <w:textAlignment w:val="auto"/>
        <w:outlineLvl w:val="9"/>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（十）基本建设支出：</w:t>
      </w:r>
      <w:r>
        <w:rPr>
          <w:rFonts w:hint="eastAsia" w:ascii="仿宋_GB2312" w:hAnsi="宋体" w:eastAsia="仿宋_GB2312" w:cs="仿宋_GB2312"/>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keepNext w:val="0"/>
        <w:keepLines w:val="0"/>
        <w:pageBreakBefore w:val="0"/>
        <w:widowControl/>
        <w:kinsoku/>
        <w:wordWrap/>
        <w:overflowPunct/>
        <w:topLinePunct w:val="0"/>
        <w:autoSpaceDE/>
        <w:autoSpaceDN/>
        <w:bidi w:val="0"/>
        <w:adjustRightInd/>
        <w:spacing w:line="578" w:lineRule="exact"/>
        <w:ind w:left="0" w:leftChars="0" w:right="0" w:rightChars="0" w:firstLine="643" w:firstLineChars="200"/>
        <w:textAlignment w:val="auto"/>
        <w:outlineLvl w:val="9"/>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（十一）其他资本性支出：</w:t>
      </w:r>
      <w:r>
        <w:rPr>
          <w:rFonts w:hint="eastAsia" w:ascii="仿宋_GB2312" w:hAnsi="宋体" w:eastAsia="仿宋_GB2312" w:cs="仿宋_GB2312"/>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keepNext w:val="0"/>
        <w:keepLines w:val="0"/>
        <w:pageBreakBefore w:val="0"/>
        <w:kinsoku/>
        <w:wordWrap/>
        <w:overflowPunct/>
        <w:topLinePunct w:val="0"/>
        <w:autoSpaceDE/>
        <w:autoSpaceDN/>
        <w:bidi w:val="0"/>
        <w:adjustRightInd/>
        <w:snapToGrid w:val="0"/>
        <w:spacing w:line="578" w:lineRule="exact"/>
        <w:ind w:left="0" w:leftChars="0" w:right="0" w:rightChars="0" w:firstLine="643" w:firstLineChars="200"/>
        <w:textAlignment w:val="auto"/>
        <w:outlineLvl w:val="9"/>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（十二）“三公”经费：</w:t>
      </w:r>
      <w:r>
        <w:rPr>
          <w:rFonts w:hint="eastAsia" w:ascii="仿宋_GB2312" w:hAnsi="宋体" w:eastAsia="仿宋_GB2312" w:cs="仿宋_GB2312"/>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keepNext w:val="0"/>
        <w:keepLines w:val="0"/>
        <w:pageBreakBefore w:val="0"/>
        <w:kinsoku/>
        <w:wordWrap/>
        <w:overflowPunct/>
        <w:topLinePunct w:val="0"/>
        <w:autoSpaceDE/>
        <w:autoSpaceDN/>
        <w:bidi w:val="0"/>
        <w:adjustRightInd/>
        <w:snapToGrid w:val="0"/>
        <w:spacing w:line="578" w:lineRule="exact"/>
        <w:ind w:left="0" w:leftChars="0" w:right="0" w:rightChars="0" w:firstLine="643" w:firstLineChars="200"/>
        <w:textAlignment w:val="auto"/>
        <w:outlineLvl w:val="9"/>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（十三）其他交通费用：</w:t>
      </w:r>
      <w:r>
        <w:rPr>
          <w:rFonts w:hint="eastAsia" w:ascii="仿宋_GB2312" w:hAnsi="宋体" w:eastAsia="仿宋_GB2312" w:cs="仿宋_GB2312"/>
          <w:color w:val="000000"/>
          <w:kern w:val="0"/>
          <w:sz w:val="32"/>
          <w:szCs w:val="32"/>
        </w:rPr>
        <w:t>填列单位除公务用车运行维护费以外的其他交通费用。如公务交通补贴、租车费用、出租车费用，飞机、船舶等燃料费、维修费、保险费等。</w:t>
      </w:r>
    </w:p>
    <w:p>
      <w:pPr>
        <w:keepNext w:val="0"/>
        <w:keepLines w:val="0"/>
        <w:pageBreakBefore w:val="0"/>
        <w:widowControl/>
        <w:kinsoku/>
        <w:wordWrap/>
        <w:overflowPunct/>
        <w:topLinePunct w:val="0"/>
        <w:autoSpaceDE/>
        <w:autoSpaceDN/>
        <w:bidi w:val="0"/>
        <w:adjustRightInd/>
        <w:spacing w:line="578" w:lineRule="exact"/>
        <w:ind w:left="0" w:leftChars="0" w:right="0" w:rightChars="0" w:firstLine="643" w:firstLineChars="200"/>
        <w:textAlignment w:val="auto"/>
        <w:outlineLvl w:val="9"/>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（十四）公务用车购置：</w:t>
      </w:r>
      <w:r>
        <w:rPr>
          <w:rFonts w:hint="eastAsia" w:ascii="仿宋_GB2312" w:hAnsi="宋体" w:eastAsia="仿宋_GB2312" w:cs="仿宋_GB2312"/>
          <w:color w:val="000000"/>
          <w:kern w:val="0"/>
          <w:sz w:val="32"/>
          <w:szCs w:val="32"/>
        </w:rPr>
        <w:t>填列单位公务用车车辆购置支出（含车辆购置税、牌照费）。</w:t>
      </w:r>
    </w:p>
    <w:p>
      <w:pPr>
        <w:keepNext w:val="0"/>
        <w:keepLines w:val="0"/>
        <w:pageBreakBefore w:val="0"/>
        <w:widowControl/>
        <w:kinsoku/>
        <w:wordWrap/>
        <w:overflowPunct/>
        <w:topLinePunct w:val="0"/>
        <w:autoSpaceDE/>
        <w:autoSpaceDN/>
        <w:bidi w:val="0"/>
        <w:adjustRightInd/>
        <w:spacing w:line="578" w:lineRule="exact"/>
        <w:ind w:left="0" w:leftChars="0" w:right="0" w:rightChars="0" w:firstLine="643" w:firstLineChars="200"/>
        <w:textAlignment w:val="auto"/>
        <w:outlineLvl w:val="9"/>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（十五）其他交通工具购置：</w:t>
      </w:r>
      <w:r>
        <w:rPr>
          <w:rFonts w:hint="eastAsia" w:ascii="仿宋_GB2312" w:hAnsi="宋体" w:eastAsia="仿宋_GB2312" w:cs="仿宋_GB2312"/>
          <w:color w:val="000000"/>
          <w:kern w:val="0"/>
          <w:sz w:val="32"/>
          <w:szCs w:val="32"/>
        </w:rPr>
        <w:t>填列单位除公务用车外的其他各类交通工具（如船舶、飞机等）购置支出（含车辆购置税、牌照费）。</w:t>
      </w:r>
    </w:p>
    <w:p>
      <w:pPr>
        <w:keepNext w:val="0"/>
        <w:keepLines w:val="0"/>
        <w:pageBreakBefore w:val="0"/>
        <w:widowControl/>
        <w:kinsoku/>
        <w:wordWrap/>
        <w:overflowPunct/>
        <w:topLinePunct w:val="0"/>
        <w:autoSpaceDE/>
        <w:autoSpaceDN/>
        <w:bidi w:val="0"/>
        <w:adjustRightInd/>
        <w:spacing w:line="578" w:lineRule="exact"/>
        <w:ind w:left="0" w:leftChars="0" w:right="0" w:rightChars="0" w:firstLine="643" w:firstLineChars="200"/>
        <w:textAlignment w:val="auto"/>
        <w:outlineLvl w:val="9"/>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（十六）机关运行经费：</w:t>
      </w:r>
      <w:r>
        <w:rPr>
          <w:rFonts w:hint="eastAsia" w:ascii="仿宋_GB2312" w:hAnsi="宋体" w:eastAsia="仿宋_GB2312" w:cs="仿宋_GB2312"/>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keepNext w:val="0"/>
        <w:keepLines w:val="0"/>
        <w:pageBreakBefore w:val="0"/>
        <w:tabs>
          <w:tab w:val="left" w:pos="235"/>
        </w:tabs>
        <w:kinsoku/>
        <w:wordWrap/>
        <w:overflowPunct/>
        <w:topLinePunct w:val="0"/>
        <w:autoSpaceDE/>
        <w:autoSpaceDN/>
        <w:bidi w:val="0"/>
        <w:adjustRightInd/>
        <w:spacing w:line="578" w:lineRule="exact"/>
        <w:ind w:left="0" w:leftChars="0" w:right="0" w:rightChars="0" w:firstLine="643" w:firstLineChars="200"/>
        <w:jc w:val="left"/>
        <w:textAlignment w:val="auto"/>
        <w:outlineLvl w:val="9"/>
        <w:rPr>
          <w:rFonts w:hint="eastAsia" w:ascii="仿宋_GB2312" w:hAnsi="Cambria" w:eastAsia="仿宋_GB2312" w:cs="Times New Roman"/>
          <w:kern w:val="0"/>
          <w:sz w:val="32"/>
          <w:szCs w:val="32"/>
          <w:lang w:eastAsia="zh-CN"/>
        </w:rPr>
      </w:pPr>
      <w:r>
        <w:rPr>
          <w:rFonts w:hint="eastAsia" w:ascii="仿宋_GB2312" w:hAnsi="宋体" w:eastAsia="仿宋_GB2312" w:cs="仿宋_GB2312"/>
          <w:b/>
          <w:bCs/>
          <w:color w:val="000000"/>
          <w:kern w:val="0"/>
          <w:sz w:val="32"/>
          <w:szCs w:val="32"/>
        </w:rPr>
        <w:t>（十七）经费形式</w:t>
      </w:r>
      <w:r>
        <w:rPr>
          <w:rFonts w:ascii="仿宋_GB2312" w:hAnsi="宋体" w:eastAsia="仿宋_GB2312" w:cs="仿宋_GB2312"/>
          <w:b/>
          <w:bCs/>
          <w:color w:val="000000"/>
          <w:kern w:val="0"/>
          <w:sz w:val="32"/>
          <w:szCs w:val="32"/>
        </w:rPr>
        <w:t>:</w:t>
      </w:r>
      <w:r>
        <w:rPr>
          <w:rFonts w:hint="eastAsia" w:ascii="仿宋_GB2312" w:hAnsi="宋体" w:eastAsia="仿宋_GB2312" w:cs="仿宋_GB2312"/>
          <w:color w:val="000000"/>
          <w:kern w:val="0"/>
          <w:sz w:val="32"/>
          <w:szCs w:val="32"/>
        </w:rPr>
        <w:t>按照经费来源，</w:t>
      </w:r>
      <w:r>
        <w:rPr>
          <w:rFonts w:hint="eastAsia" w:ascii="仿宋_GB2312" w:hAnsi="Cambria" w:eastAsia="仿宋_GB2312" w:cs="仿宋_GB2312"/>
          <w:kern w:val="0"/>
          <w:sz w:val="32"/>
          <w:szCs w:val="32"/>
        </w:rPr>
        <w:t>可分为财政拨款、财政性资金基本保证、财政性资金定额或定项补助、财政性资金零补助四类</w:t>
      </w:r>
      <w:r>
        <w:rPr>
          <w:rFonts w:hint="eastAsia" w:ascii="仿宋_GB2312" w:hAnsi="Cambria" w:eastAsia="仿宋_GB2312" w:cs="仿宋_GB2312"/>
          <w:kern w:val="0"/>
          <w:sz w:val="32"/>
          <w:szCs w:val="32"/>
          <w:lang w:eastAsia="zh-CN"/>
        </w:rPr>
        <w:t>。</w:t>
      </w:r>
    </w:p>
    <w:p>
      <w:pPr>
        <w:rPr>
          <w:rFonts w:cs="Times New Roman"/>
        </w:rPr>
      </w:pPr>
    </w:p>
    <w:p>
      <w:pPr>
        <w:rPr>
          <w:rFonts w:cs="Times New Roman"/>
        </w:rPr>
      </w:pPr>
    </w:p>
    <w:p>
      <w:pPr>
        <w:rPr>
          <w:rFonts w:cs="Times New Roman"/>
        </w:rPr>
      </w:pPr>
    </w:p>
    <w:p>
      <w:pPr>
        <w:rPr>
          <w:rFonts w:cs="Times New Roman"/>
        </w:rPr>
      </w:pPr>
    </w:p>
    <w:p>
      <w:pPr>
        <w:rPr>
          <w:rFonts w:cs="Times New Roman"/>
        </w:rPr>
      </w:pPr>
    </w:p>
    <w:p>
      <w:pPr>
        <w:rPr>
          <w:rFonts w:cs="Times New Roman"/>
        </w:rPr>
      </w:pPr>
    </w:p>
    <w:p>
      <w:pPr>
        <w:rPr>
          <w:rFonts w:cs="Times New Roman"/>
        </w:rPr>
      </w:pPr>
    </w:p>
    <w:p>
      <w:pPr>
        <w:rPr>
          <w:rFonts w:cs="Times New Roman"/>
        </w:rPr>
      </w:pPr>
    </w:p>
    <w:p>
      <w:pPr>
        <w:rPr>
          <w:rFonts w:cs="Times New Roman"/>
        </w:rPr>
      </w:pPr>
    </w:p>
    <w:p>
      <w:pPr>
        <w:rPr>
          <w:rFonts w:cs="Times New Roman"/>
        </w:rPr>
      </w:pPr>
    </w:p>
    <w:p>
      <w:pPr>
        <w:rPr>
          <w:rFonts w:cs="Times New Roman"/>
        </w:rPr>
      </w:pPr>
    </w:p>
    <w:sectPr>
      <w:pgSz w:w="11906" w:h="16838"/>
      <w:pgMar w:top="2041" w:right="1531" w:bottom="2041"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_GB2312">
    <w:panose1 w:val="02010609030101010101"/>
    <w:charset w:val="86"/>
    <w:family w:val="modern"/>
    <w:pitch w:val="default"/>
    <w:sig w:usb0="00000001" w:usb1="080E0000" w:usb2="00000000" w:usb3="00000000" w:csb0="00040000" w:csb1="00000000"/>
  </w:font>
  <w:font w:name="思源黑体 CN Bold">
    <w:altName w:val="黑体"/>
    <w:panose1 w:val="00000000000000000000"/>
    <w:charset w:val="86"/>
    <w:family w:val="swiss"/>
    <w:pitch w:val="default"/>
    <w:sig w:usb0="00000000" w:usb1="00000000" w:usb2="00000010" w:usb3="00000000" w:csb0="00040000" w:csb1="00000000"/>
  </w:font>
  <w:font w:name="思源黑体 CN Heavy">
    <w:altName w:val="黑体"/>
    <w:panose1 w:val="00000000000000000000"/>
    <w:charset w:val="86"/>
    <w:family w:val="swiss"/>
    <w:pitch w:val="default"/>
    <w:sig w:usb0="00000000" w:usb1="00000000" w:usb2="00000010" w:usb3="00000000" w:csb0="00040000" w:csb1="00000000"/>
  </w:font>
  <w:font w:name="方正魏碑简体">
    <w:altName w:val="微软雅黑"/>
    <w:panose1 w:val="00000000000000000000"/>
    <w:charset w:val="86"/>
    <w:family w:val="auto"/>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Arial Black">
    <w:panose1 w:val="020B0A04020102020204"/>
    <w:charset w:val="00"/>
    <w:family w:val="swiss"/>
    <w:pitch w:val="default"/>
    <w:sig w:usb0="00000287" w:usb1="00000000" w:usb2="00000000" w:usb3="00000000" w:csb0="2000009F" w:csb1="DFD70000"/>
  </w:font>
  <w:font w:name="Cambria">
    <w:panose1 w:val="02040503050406030204"/>
    <w:charset w:val="00"/>
    <w:family w:val="roman"/>
    <w:pitch w:val="default"/>
    <w:sig w:usb0="E00002FF" w:usb1="400004FF" w:usb2="00000000" w:usb3="00000000" w:csb0="2000019F" w:csb1="00000000"/>
  </w:font>
  <w:font w:name="Mongolian Baiti">
    <w:panose1 w:val="03000500000000000000"/>
    <w:charset w:val="00"/>
    <w:family w:val="script"/>
    <w:pitch w:val="default"/>
    <w:sig w:usb0="80000023" w:usb1="00000000" w:usb2="00020000" w:usb3="00000000" w:csb0="00000001" w:csb1="00000000"/>
  </w:font>
  <w:font w:name="微软雅黑">
    <w:panose1 w:val="020B0503020204020204"/>
    <w:charset w:val="86"/>
    <w:family w:val="auto"/>
    <w:pitch w:val="default"/>
    <w:sig w:usb0="80000287" w:usb1="280F3C52" w:usb2="00000016" w:usb3="00000000" w:csb0="0004001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top w:val="none" w:color="auto" w:sz="0" w:space="0"/>
        <w:left w:val="none" w:color="auto" w:sz="0" w:space="0"/>
        <w:bottom w:val="none" w:color="auto" w:sz="0" w:space="0"/>
        <w:right w:val="none" w:color="auto" w:sz="0" w:space="0"/>
      </w:pBdr>
      <w:rPr>
        <w:rFonts w:cs="Times New Roman"/>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top w:val="none" w:color="auto" w:sz="0" w:space="0"/>
        <w:left w:val="none" w:color="auto" w:sz="0" w:space="0"/>
        <w:bottom w:val="none" w:color="auto" w:sz="0" w:space="0"/>
        <w:right w:val="none" w:color="auto" w:sz="0" w:space="0"/>
      </w:pBdr>
      <w:rPr>
        <w:rFonts w:cs="Times New Roman"/>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top w:val="none" w:color="auto" w:sz="0" w:space="0"/>
        <w:left w:val="none" w:color="auto" w:sz="0" w:space="0"/>
        <w:bottom w:val="none" w:color="auto" w:sz="0" w:space="0"/>
        <w:right w:val="none" w:color="auto" w:sz="0" w:space="0"/>
      </w:pBdr>
      <w:rPr>
        <w:rFonts w:cs="Times New Roman"/>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3426351"/>
    <w:multiLevelType w:val="singleLevel"/>
    <w:tmpl w:val="63426351"/>
    <w:lvl w:ilvl="0" w:tentative="0">
      <w:start w:val="3"/>
      <w:numFmt w:val="chineseCounting"/>
      <w:suff w:val="nothing"/>
      <w:lvlText w:val="（%1）"/>
      <w:lvlJc w:val="left"/>
      <w:rPr>
        <w:rFonts w:hint="eastAsia"/>
      </w:rPr>
    </w:lvl>
  </w:abstractNum>
  <w:abstractNum w:abstractNumId="1">
    <w:nsid w:val="63426558"/>
    <w:multiLevelType w:val="singleLevel"/>
    <w:tmpl w:val="63426558"/>
    <w:lvl w:ilvl="0" w:tentative="0">
      <w:start w:val="2"/>
      <w:numFmt w:val="chineseCounting"/>
      <w:suff w:val="nothing"/>
      <w:lvlText w:val="%1、"/>
      <w:lvlJc w:val="left"/>
    </w:lvl>
  </w:abstractNum>
  <w:abstractNum w:abstractNumId="2">
    <w:nsid w:val="650168FD"/>
    <w:multiLevelType w:val="singleLevel"/>
    <w:tmpl w:val="650168FD"/>
    <w:lvl w:ilvl="0" w:tentative="0">
      <w:start w:val="3"/>
      <w:numFmt w:val="decimal"/>
      <w:suff w:val="nothing"/>
      <w:lvlText w:val="%1."/>
      <w:lvlJc w:val="left"/>
    </w:lvl>
  </w:abstractNum>
  <w:abstractNum w:abstractNumId="3">
    <w:nsid w:val="65040977"/>
    <w:multiLevelType w:val="singleLevel"/>
    <w:tmpl w:val="65040977"/>
    <w:lvl w:ilvl="0" w:tentative="0">
      <w:start w:val="2"/>
      <w:numFmt w:val="decimal"/>
      <w:suff w:val="nothing"/>
      <w:lvlText w:val="（%1）"/>
      <w:lvlJc w:val="left"/>
    </w:lvl>
  </w:abstractNum>
  <w:abstractNum w:abstractNumId="4">
    <w:nsid w:val="6507B31F"/>
    <w:multiLevelType w:val="singleLevel"/>
    <w:tmpl w:val="6507B31F"/>
    <w:lvl w:ilvl="0" w:tentative="0">
      <w:start w:val="2"/>
      <w:numFmt w:val="chineseCounting"/>
      <w:suff w:val="space"/>
      <w:lvlText w:val="（%1）"/>
      <w:lvlJc w:val="left"/>
    </w:lvl>
  </w:abstractNum>
  <w:num w:numId="1">
    <w:abstractNumId w:val="1"/>
  </w:num>
  <w:num w:numId="2">
    <w:abstractNumId w:val="0"/>
  </w:num>
  <w:num w:numId="3">
    <w:abstractNumId w:val="2"/>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bordersDoNotSurroundHeader w:val="0"/>
  <w:bordersDoNotSurroundFooter w:val="0"/>
  <w:doNotTrackMoves/>
  <w:documentProtection w:enforcement="0"/>
  <w:defaultTabStop w:val="420"/>
  <w:doNotHyphenateCaps/>
  <w:drawingGridVerticalSpacing w:val="156"/>
  <w:displayHorizontalDrawingGridEvery w:val="1"/>
  <w:displayVerticalDrawingGridEvery w:val="1"/>
  <w:noPunctuationKerning w:val="1"/>
  <w:characterSpacingControl w:val="compressPunctuation"/>
  <w:noLineBreaksAfter w:lang="zh-CN" w:val="$([{£¥·‘“〈《「『【〔〖〝﹙﹛﹝＄（．［｛￡￥"/>
  <w:noLineBreaksBefore w:lang="zh-CN" w:val="!%),.:;&gt;?]}¢¨°·ˇˉ―‖’”…‰′″›℃∶、。〃〉》」』】〕〗〞︶︺︾﹀﹄﹚﹜﹞！＂％＇），．：；？］｀｜｝～￠"/>
  <w:doNotValidateAgainstSchema/>
  <w:doNotDemarcateInvalidXml/>
  <w:compat>
    <w:spaceForUL/>
    <w:balanceSingleByteDoubleByteWidth/>
    <w:doNotLeaveBackslashAlon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A56CD0"/>
    <w:rsid w:val="000B5E11"/>
    <w:rsid w:val="006F3CD2"/>
    <w:rsid w:val="0071527E"/>
    <w:rsid w:val="007C34EC"/>
    <w:rsid w:val="0099157D"/>
    <w:rsid w:val="00A56CD0"/>
    <w:rsid w:val="00F50156"/>
    <w:rsid w:val="00F62130"/>
    <w:rsid w:val="00FC441B"/>
    <w:rsid w:val="01D75F5D"/>
    <w:rsid w:val="028D570E"/>
    <w:rsid w:val="030160B4"/>
    <w:rsid w:val="032376C2"/>
    <w:rsid w:val="044C226C"/>
    <w:rsid w:val="044F5253"/>
    <w:rsid w:val="04837716"/>
    <w:rsid w:val="04F62134"/>
    <w:rsid w:val="05657AA4"/>
    <w:rsid w:val="07B02D59"/>
    <w:rsid w:val="07BF3F06"/>
    <w:rsid w:val="07EC3DAE"/>
    <w:rsid w:val="099F78C0"/>
    <w:rsid w:val="09FF216E"/>
    <w:rsid w:val="0AEC613D"/>
    <w:rsid w:val="0BB10786"/>
    <w:rsid w:val="0C1E062A"/>
    <w:rsid w:val="0C8E53BC"/>
    <w:rsid w:val="0CBD2024"/>
    <w:rsid w:val="0D180A0C"/>
    <w:rsid w:val="0ED832E4"/>
    <w:rsid w:val="0FD273F6"/>
    <w:rsid w:val="0FFD2AA6"/>
    <w:rsid w:val="10162726"/>
    <w:rsid w:val="10E125E7"/>
    <w:rsid w:val="121A6290"/>
    <w:rsid w:val="124042D5"/>
    <w:rsid w:val="136C12AF"/>
    <w:rsid w:val="13C57540"/>
    <w:rsid w:val="140A3CCC"/>
    <w:rsid w:val="14132681"/>
    <w:rsid w:val="145C521C"/>
    <w:rsid w:val="14E2213A"/>
    <w:rsid w:val="151A11AA"/>
    <w:rsid w:val="168176B4"/>
    <w:rsid w:val="169207E0"/>
    <w:rsid w:val="17782136"/>
    <w:rsid w:val="17E81FC9"/>
    <w:rsid w:val="18E56533"/>
    <w:rsid w:val="1A1C0B59"/>
    <w:rsid w:val="1A5B638F"/>
    <w:rsid w:val="1A656DCC"/>
    <w:rsid w:val="1ADC0033"/>
    <w:rsid w:val="1B637395"/>
    <w:rsid w:val="1B9E5182"/>
    <w:rsid w:val="1C09199F"/>
    <w:rsid w:val="1C226707"/>
    <w:rsid w:val="1C3B4D5B"/>
    <w:rsid w:val="1C545A91"/>
    <w:rsid w:val="1CCE13CA"/>
    <w:rsid w:val="1D4F07FB"/>
    <w:rsid w:val="1DBF0BF8"/>
    <w:rsid w:val="1E7C2519"/>
    <w:rsid w:val="1EA77E6D"/>
    <w:rsid w:val="1EC14C3C"/>
    <w:rsid w:val="1FD61FB0"/>
    <w:rsid w:val="21C53F8E"/>
    <w:rsid w:val="22363572"/>
    <w:rsid w:val="22BD3EFE"/>
    <w:rsid w:val="22CC391F"/>
    <w:rsid w:val="23772D33"/>
    <w:rsid w:val="23CB4A14"/>
    <w:rsid w:val="23D80CB9"/>
    <w:rsid w:val="244A6B60"/>
    <w:rsid w:val="24660D36"/>
    <w:rsid w:val="247673E6"/>
    <w:rsid w:val="24B94098"/>
    <w:rsid w:val="24FE53C4"/>
    <w:rsid w:val="25022F28"/>
    <w:rsid w:val="251977B4"/>
    <w:rsid w:val="27F6180F"/>
    <w:rsid w:val="28DD0D2D"/>
    <w:rsid w:val="28E52D4D"/>
    <w:rsid w:val="2907618F"/>
    <w:rsid w:val="2A0F0E88"/>
    <w:rsid w:val="2AA709DB"/>
    <w:rsid w:val="2ABA0028"/>
    <w:rsid w:val="2C801B92"/>
    <w:rsid w:val="2D575DB4"/>
    <w:rsid w:val="2DAE6FFF"/>
    <w:rsid w:val="2DB857B5"/>
    <w:rsid w:val="2DF43C32"/>
    <w:rsid w:val="2ED57B0D"/>
    <w:rsid w:val="2ED66E2F"/>
    <w:rsid w:val="30642921"/>
    <w:rsid w:val="30A75500"/>
    <w:rsid w:val="31663DB6"/>
    <w:rsid w:val="3197564F"/>
    <w:rsid w:val="32D477E2"/>
    <w:rsid w:val="34DD1550"/>
    <w:rsid w:val="352E1A77"/>
    <w:rsid w:val="35E025D7"/>
    <w:rsid w:val="38006C47"/>
    <w:rsid w:val="386E162C"/>
    <w:rsid w:val="39AA6DE6"/>
    <w:rsid w:val="39CF3BA1"/>
    <w:rsid w:val="39D96878"/>
    <w:rsid w:val="3B7200CC"/>
    <w:rsid w:val="3C8B54BF"/>
    <w:rsid w:val="3CAA30FF"/>
    <w:rsid w:val="3CE66DA8"/>
    <w:rsid w:val="3D44168A"/>
    <w:rsid w:val="3D620A24"/>
    <w:rsid w:val="3D7E6CB6"/>
    <w:rsid w:val="3E133645"/>
    <w:rsid w:val="3E58618A"/>
    <w:rsid w:val="3F085E5D"/>
    <w:rsid w:val="3FD922E1"/>
    <w:rsid w:val="3FE83928"/>
    <w:rsid w:val="40FB4D9E"/>
    <w:rsid w:val="413D6AA5"/>
    <w:rsid w:val="419C2B26"/>
    <w:rsid w:val="42274E97"/>
    <w:rsid w:val="426A2D11"/>
    <w:rsid w:val="428A239A"/>
    <w:rsid w:val="43000FD8"/>
    <w:rsid w:val="43077B42"/>
    <w:rsid w:val="430E4587"/>
    <w:rsid w:val="432D42B9"/>
    <w:rsid w:val="43386765"/>
    <w:rsid w:val="43EC7992"/>
    <w:rsid w:val="447656DC"/>
    <w:rsid w:val="44FF2CB4"/>
    <w:rsid w:val="45E22835"/>
    <w:rsid w:val="45F516FA"/>
    <w:rsid w:val="46A83EC4"/>
    <w:rsid w:val="47936C07"/>
    <w:rsid w:val="47F54BA7"/>
    <w:rsid w:val="482C06E6"/>
    <w:rsid w:val="48363DC9"/>
    <w:rsid w:val="488E6072"/>
    <w:rsid w:val="48EA7A3F"/>
    <w:rsid w:val="492E5E32"/>
    <w:rsid w:val="49A13C08"/>
    <w:rsid w:val="49B639F8"/>
    <w:rsid w:val="49D02B57"/>
    <w:rsid w:val="4AFF38B9"/>
    <w:rsid w:val="4C155EC3"/>
    <w:rsid w:val="4D441F51"/>
    <w:rsid w:val="4D9D0862"/>
    <w:rsid w:val="4DB35F0C"/>
    <w:rsid w:val="4DDD7E6B"/>
    <w:rsid w:val="4E924C50"/>
    <w:rsid w:val="4E9A277D"/>
    <w:rsid w:val="4EC531CA"/>
    <w:rsid w:val="4EDC6099"/>
    <w:rsid w:val="4F6602C7"/>
    <w:rsid w:val="500A71F6"/>
    <w:rsid w:val="53B20978"/>
    <w:rsid w:val="540470A3"/>
    <w:rsid w:val="54923AEA"/>
    <w:rsid w:val="549C5002"/>
    <w:rsid w:val="54E066C1"/>
    <w:rsid w:val="5625117B"/>
    <w:rsid w:val="56341D00"/>
    <w:rsid w:val="568D38AD"/>
    <w:rsid w:val="571F5C5D"/>
    <w:rsid w:val="57244CCA"/>
    <w:rsid w:val="57901E42"/>
    <w:rsid w:val="57912706"/>
    <w:rsid w:val="57F0178D"/>
    <w:rsid w:val="58C343C7"/>
    <w:rsid w:val="5A2344DE"/>
    <w:rsid w:val="5AC5457A"/>
    <w:rsid w:val="5AEE5D13"/>
    <w:rsid w:val="5BA267C0"/>
    <w:rsid w:val="5C5C690C"/>
    <w:rsid w:val="5D077737"/>
    <w:rsid w:val="5D355AD0"/>
    <w:rsid w:val="5D4F73BC"/>
    <w:rsid w:val="5DB50869"/>
    <w:rsid w:val="5E8A66C4"/>
    <w:rsid w:val="5F7E0D4F"/>
    <w:rsid w:val="604168C6"/>
    <w:rsid w:val="608E4B93"/>
    <w:rsid w:val="616D1761"/>
    <w:rsid w:val="61A86601"/>
    <w:rsid w:val="620C54D3"/>
    <w:rsid w:val="624A5737"/>
    <w:rsid w:val="63DE6DE8"/>
    <w:rsid w:val="63E551BA"/>
    <w:rsid w:val="658D6E93"/>
    <w:rsid w:val="65BC31F8"/>
    <w:rsid w:val="65CB73FA"/>
    <w:rsid w:val="65EA7527"/>
    <w:rsid w:val="67182916"/>
    <w:rsid w:val="67526935"/>
    <w:rsid w:val="676149FF"/>
    <w:rsid w:val="682374EA"/>
    <w:rsid w:val="68EA5751"/>
    <w:rsid w:val="694C31EC"/>
    <w:rsid w:val="69DB12D7"/>
    <w:rsid w:val="6A8464C3"/>
    <w:rsid w:val="6AD11D6E"/>
    <w:rsid w:val="6BA32064"/>
    <w:rsid w:val="6C0A39B8"/>
    <w:rsid w:val="6C420A99"/>
    <w:rsid w:val="6C9B5A61"/>
    <w:rsid w:val="6CC06AA7"/>
    <w:rsid w:val="6DBD2A7E"/>
    <w:rsid w:val="6DD61CF6"/>
    <w:rsid w:val="6DEE5620"/>
    <w:rsid w:val="6EC071FD"/>
    <w:rsid w:val="6EEA4E48"/>
    <w:rsid w:val="705A1C06"/>
    <w:rsid w:val="70B966AA"/>
    <w:rsid w:val="717F6F31"/>
    <w:rsid w:val="71EC76F6"/>
    <w:rsid w:val="721E037F"/>
    <w:rsid w:val="721E0A51"/>
    <w:rsid w:val="72BF5BF4"/>
    <w:rsid w:val="73345D1D"/>
    <w:rsid w:val="73EE1E43"/>
    <w:rsid w:val="74DF39D5"/>
    <w:rsid w:val="74F6706D"/>
    <w:rsid w:val="75D868E2"/>
    <w:rsid w:val="75DA5574"/>
    <w:rsid w:val="770B1F92"/>
    <w:rsid w:val="7869499D"/>
    <w:rsid w:val="791B6E19"/>
    <w:rsid w:val="7931325C"/>
    <w:rsid w:val="7ADF1219"/>
    <w:rsid w:val="7B8E7A09"/>
    <w:rsid w:val="7B912143"/>
    <w:rsid w:val="7BB81853"/>
    <w:rsid w:val="7C190443"/>
    <w:rsid w:val="7C4A6FCE"/>
    <w:rsid w:val="7C4D11B0"/>
    <w:rsid w:val="7D414D1C"/>
    <w:rsid w:val="7DDC6D1A"/>
    <w:rsid w:val="7EFA3AEF"/>
    <w:rsid w:val="7F2A03CE"/>
    <w:rsid w:val="7F341264"/>
    <w:rsid w:val="7FB46E68"/>
  </w:rsids>
  <m:mathPr>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paragraph" w:styleId="2">
    <w:name w:val="heading 1"/>
    <w:basedOn w:val="1"/>
    <w:next w:val="1"/>
    <w:link w:val="8"/>
    <w:qFormat/>
    <w:uiPriority w:val="99"/>
    <w:pPr>
      <w:keepNext/>
      <w:keepLines/>
      <w:spacing w:before="340" w:after="330" w:line="578" w:lineRule="auto"/>
      <w:outlineLvl w:val="0"/>
    </w:pPr>
    <w:rPr>
      <w:b/>
      <w:bCs/>
      <w:kern w:val="44"/>
      <w:sz w:val="44"/>
      <w:szCs w:val="44"/>
    </w:rPr>
  </w:style>
  <w:style w:type="character" w:default="1" w:styleId="7">
    <w:name w:val="Default Paragraph Font"/>
    <w:unhideWhenUsed/>
    <w:qFormat/>
    <w:uiPriority w:val="1"/>
  </w:style>
  <w:style w:type="table" w:default="1" w:styleId="5">
    <w:name w:val="Normal Table"/>
    <w:unhideWhenUsed/>
    <w:qFormat/>
    <w:uiPriority w:val="99"/>
    <w:tblPr>
      <w:tblCellMar>
        <w:top w:w="0" w:type="dxa"/>
        <w:left w:w="108" w:type="dxa"/>
        <w:bottom w:w="0" w:type="dxa"/>
        <w:right w:w="108" w:type="dxa"/>
      </w:tblCellMar>
    </w:tblPr>
  </w:style>
  <w:style w:type="paragraph" w:styleId="3">
    <w:name w:val="footer"/>
    <w:basedOn w:val="1"/>
    <w:link w:val="9"/>
    <w:qFormat/>
    <w:uiPriority w:val="99"/>
    <w:pPr>
      <w:tabs>
        <w:tab w:val="center" w:pos="4153"/>
        <w:tab w:val="right" w:pos="8306"/>
      </w:tabs>
      <w:snapToGrid w:val="0"/>
      <w:jc w:val="left"/>
    </w:pPr>
    <w:rPr>
      <w:sz w:val="18"/>
      <w:szCs w:val="18"/>
    </w:rPr>
  </w:style>
  <w:style w:type="paragraph" w:styleId="4">
    <w:name w:val="header"/>
    <w:basedOn w:val="1"/>
    <w:link w:val="10"/>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6">
    <w:name w:val="Table Grid"/>
    <w:basedOn w:val="5"/>
    <w:qFormat/>
    <w:uiPriority w:val="99"/>
    <w:rPr>
      <w:rFonts w:cs="Calibri"/>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8">
    <w:name w:val="标题 1 Char"/>
    <w:basedOn w:val="7"/>
    <w:link w:val="2"/>
    <w:qFormat/>
    <w:uiPriority w:val="9"/>
    <w:rPr>
      <w:rFonts w:cs="Calibri"/>
      <w:b/>
      <w:bCs/>
      <w:kern w:val="44"/>
      <w:sz w:val="44"/>
      <w:szCs w:val="44"/>
    </w:rPr>
  </w:style>
  <w:style w:type="character" w:customStyle="1" w:styleId="9">
    <w:name w:val="页脚 Char"/>
    <w:basedOn w:val="7"/>
    <w:link w:val="3"/>
    <w:semiHidden/>
    <w:qFormat/>
    <w:uiPriority w:val="99"/>
    <w:rPr>
      <w:rFonts w:cs="Calibri"/>
      <w:sz w:val="18"/>
      <w:szCs w:val="18"/>
    </w:rPr>
  </w:style>
  <w:style w:type="character" w:customStyle="1" w:styleId="10">
    <w:name w:val="页眉 Char"/>
    <w:basedOn w:val="7"/>
    <w:link w:val="4"/>
    <w:semiHidden/>
    <w:qFormat/>
    <w:uiPriority w:val="99"/>
    <w:rPr>
      <w:rFonts w:cs="Calibri"/>
      <w:sz w:val="18"/>
      <w:szCs w:val="18"/>
    </w:rPr>
  </w:style>
</w:styles>
</file>

<file path=word/_rels/document.xml.rels><?xml version="1.0" encoding="UTF-8" standalone="yes"?>
<Relationships xmlns="http://schemas.openxmlformats.org/package/2006/relationships"><Relationship Id="rId9" Type="http://schemas.openxmlformats.org/officeDocument/2006/relationships/image" Target="media/image3.png"/><Relationship Id="rId8" Type="http://schemas.openxmlformats.org/officeDocument/2006/relationships/image" Target="media/image2.jpeg"/><Relationship Id="rId7" Type="http://schemas.openxmlformats.org/officeDocument/2006/relationships/image" Target="media/image1.jpeg"/><Relationship Id="rId6" Type="http://schemas.openxmlformats.org/officeDocument/2006/relationships/theme" Target="theme/theme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3" Type="http://schemas.openxmlformats.org/officeDocument/2006/relationships/fontTable" Target="fontTable.xml"/><Relationship Id="rId22" Type="http://schemas.openxmlformats.org/officeDocument/2006/relationships/numbering" Target="numbering.xml"/><Relationship Id="rId21" Type="http://schemas.openxmlformats.org/officeDocument/2006/relationships/customXml" Target="../customXml/item1.xml"/><Relationship Id="rId20" Type="http://schemas.openxmlformats.org/officeDocument/2006/relationships/image" Target="media/image14.png"/><Relationship Id="rId2" Type="http://schemas.openxmlformats.org/officeDocument/2006/relationships/settings" Target="settings.xml"/><Relationship Id="rId19" Type="http://schemas.openxmlformats.org/officeDocument/2006/relationships/image" Target="media/image13.png"/><Relationship Id="rId18" Type="http://schemas.openxmlformats.org/officeDocument/2006/relationships/image" Target="media/image12.png"/><Relationship Id="rId17" Type="http://schemas.openxmlformats.org/officeDocument/2006/relationships/image" Target="media/image11.png"/><Relationship Id="rId16" Type="http://schemas.openxmlformats.org/officeDocument/2006/relationships/image" Target="media/image10.png"/><Relationship Id="rId15" Type="http://schemas.openxmlformats.org/officeDocument/2006/relationships/image" Target="media/image9.png"/><Relationship Id="rId14" Type="http://schemas.openxmlformats.org/officeDocument/2006/relationships/image" Target="media/image8.png"/><Relationship Id="rId13" Type="http://schemas.openxmlformats.org/officeDocument/2006/relationships/image" Target="media/image7.png"/><Relationship Id="rId12" Type="http://schemas.openxmlformats.org/officeDocument/2006/relationships/image" Target="media/image6.png"/><Relationship Id="rId11" Type="http://schemas.openxmlformats.org/officeDocument/2006/relationships/image" Target="media/image5.png"/><Relationship Id="rId10" Type="http://schemas.openxmlformats.org/officeDocument/2006/relationships/image" Target="media/image4.png"/><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37"/>
    <customShpInfo spid="_x0000_s1028"/>
    <customShpInfo spid="_x0000_s1086"/>
    <customShpInfo spid="_x0000_s1087"/>
    <customShpInfo spid="_x0000_s1085"/>
    <customShpInfo spid="_x0000_s1089"/>
    <customShpInfo spid="_x0000_s1090"/>
    <customShpInfo spid="_x0000_s1088"/>
    <customShpInfo spid="_x0000_s1032"/>
    <customShpInfo spid="_x0000_s1026"/>
    <customShpInfo spid="_x0000_s1027"/>
    <customShpInfo spid="_x0000_s1030"/>
    <customShpInfo spid="_x0000_s1031"/>
    <customShpInfo spid="_x0000_s1029"/>
    <customShpInfo spid="_x0000_s1036"/>
    <customShpInfo spid="_x0000_s1038"/>
    <customShpInfo spid="_x0000_s1039"/>
    <customShpInfo spid="_x0000_s1040"/>
    <customShpInfo spid="_x0000_s1042"/>
    <customShpInfo spid="_x0000_s1079"/>
    <customShpInfo spid="_x0000_s1080"/>
    <customShpInfo spid="_x0000_s1081"/>
    <customShpInfo spid="_x0000_s1082"/>
    <customShpInfo spid="_x0000_s1084"/>
    <customShpInfo spid="_x0000_s1083"/>
    <customShpInfo spid="_x0000_s1043"/>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神州网信技术有限公司</Company>
  <Pages>35</Pages>
  <Words>2170</Words>
  <Characters>12370</Characters>
  <Lines>103</Lines>
  <Paragraphs>29</Paragraphs>
  <TotalTime>52</TotalTime>
  <ScaleCrop>false</ScaleCrop>
  <LinksUpToDate>false</LinksUpToDate>
  <CharactersWithSpaces>14511</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2022-08-11T02:40:00Z</dcterms:created>
  <dc:creator>王明新TIAD</dc:creator>
  <cp:lastModifiedBy>小绵羊</cp:lastModifiedBy>
  <dcterms:modified xsi:type="dcterms:W3CDTF">2024-09-02T02:04:01Z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y fmtid="{D5CDD505-2E9C-101B-9397-08002B2CF9AE}" pid="3" name="KSOTemplateUUID">
    <vt:lpwstr>v1.0_mb_S7ajbG3IpAnL1wSthNCxfw==</vt:lpwstr>
  </property>
  <property fmtid="{D5CDD505-2E9C-101B-9397-08002B2CF9AE}" pid="4" name="ICV">
    <vt:lpwstr>1515CEFC20754C3380B382230295B456</vt:lpwstr>
  </property>
</Properties>
</file>