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2"/>
        <w:tabs>
          <w:tab w:val="right" w:leader="dot" w:pos="14562"/>
        </w:tabs>
      </w:pPr>
      <w:r>
        <w:fldChar w:fldCharType="begin"/>
      </w:r>
      <w:r>
        <w:instrText xml:space="preserve">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2"/>
        <w:tabs>
          <w:tab w:val="right" w:leader="dot" w:pos="14562"/>
        </w:tabs>
      </w:pPr>
      <w:r>
        <w:fldChar w:fldCharType="begin"/>
      </w:r>
      <w:r>
        <w:instrText xml:space="preserve">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2"/>
        <w:tabs>
          <w:tab w:val="right" w:leader="dot" w:pos="14562"/>
        </w:tabs>
      </w:pPr>
      <w:r>
        <w:fldChar w:fldCharType="begin"/>
      </w:r>
      <w:r>
        <w:instrText xml:space="preserve">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2"/>
        <w:tabs>
          <w:tab w:val="right" w:leader="dot" w:pos="14562"/>
        </w:tabs>
      </w:pPr>
      <w:r>
        <w:fldChar w:fldCharType="begin"/>
      </w:r>
      <w:r>
        <w:instrText xml:space="preserve">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2"/>
        <w:tabs>
          <w:tab w:val="right" w:leader="dot" w:pos="14562"/>
        </w:tabs>
      </w:pPr>
      <w:r>
        <w:fldChar w:fldCharType="begin"/>
      </w:r>
      <w:r>
        <w:instrText xml:space="preserve">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2"/>
        <w:tabs>
          <w:tab w:val="right" w:leader="dot" w:pos="14562"/>
        </w:tabs>
      </w:pPr>
      <w:r>
        <w:fldChar w:fldCharType="begin"/>
      </w:r>
      <w:r>
        <w:instrText xml:space="preserve">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2"/>
        <w:tabs>
          <w:tab w:val="right" w:leader="dot" w:pos="14562"/>
        </w:tabs>
      </w:pPr>
      <w:r>
        <w:fldChar w:fldCharType="begin"/>
      </w:r>
      <w:r>
        <w:instrText xml:space="preserve">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2"/>
        <w:tabs>
          <w:tab w:val="right" w:leader="dot" w:pos="14562"/>
        </w:tabs>
      </w:pPr>
      <w:r>
        <w:fldChar w:fldCharType="begin"/>
      </w:r>
      <w:r>
        <w:instrText xml:space="preserve">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2"/>
        <w:tabs>
          <w:tab w:val="right" w:leader="dot" w:pos="14562"/>
        </w:tabs>
      </w:pPr>
      <w:r>
        <w:fldChar w:fldCharType="begin"/>
      </w:r>
      <w:r>
        <w:instrText xml:space="preserve">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2"/>
        <w:tabs>
          <w:tab w:val="right" w:leader="dot" w:pos="14562"/>
        </w:tabs>
      </w:pPr>
      <w:r>
        <w:fldChar w:fldCharType="begin"/>
      </w:r>
      <w:r>
        <w:instrText xml:space="preserve">HYPERLINK  \l "_Toc_3_3_0000000014" </w:instrText>
      </w:r>
      <w:r>
        <w:fldChar w:fldCharType="separate"/>
      </w:r>
      <w:r>
        <w:t>五、预算绩效信息</w:t>
      </w:r>
      <w:r>
        <w:tab/>
      </w:r>
      <w:r>
        <w:fldChar w:fldCharType="begin"/>
      </w:r>
      <w:r>
        <w:instrText xml:space="preserve">PAGEREF _Toc_3_3_0000000014 \h</w:instrText>
      </w:r>
      <w:r>
        <w:fldChar w:fldCharType="separate"/>
      </w:r>
      <w:r>
        <w:t>24</w:t>
      </w:r>
      <w:r>
        <w:fldChar w:fldCharType="end"/>
      </w:r>
      <w:r>
        <w:fldChar w:fldCharType="end"/>
      </w:r>
    </w:p>
    <w:p>
      <w:pPr>
        <w:pStyle w:val="32"/>
        <w:tabs>
          <w:tab w:val="right" w:leader="dot" w:pos="14562"/>
        </w:tabs>
      </w:pPr>
      <w:r>
        <w:fldChar w:fldCharType="begin"/>
      </w:r>
      <w:r>
        <w:instrText xml:space="preserve">HYPERLINK  \l "_Toc_3_3_0000000015" </w:instrText>
      </w:r>
      <w:r>
        <w:fldChar w:fldCharType="separate"/>
      </w:r>
      <w:r>
        <w:t>六、政府采购预算情况</w:t>
      </w:r>
      <w:r>
        <w:tab/>
      </w:r>
      <w:r>
        <w:fldChar w:fldCharType="begin"/>
      </w:r>
      <w:r>
        <w:instrText xml:space="preserve">PAGEREF _Toc_3_3_0000000015 \h</w:instrText>
      </w:r>
      <w:r>
        <w:fldChar w:fldCharType="separate"/>
      </w:r>
      <w:r>
        <w:t>175</w:t>
      </w:r>
      <w:r>
        <w:fldChar w:fldCharType="end"/>
      </w:r>
      <w:r>
        <w:fldChar w:fldCharType="end"/>
      </w:r>
    </w:p>
    <w:p>
      <w:pPr>
        <w:pStyle w:val="32"/>
        <w:tabs>
          <w:tab w:val="right" w:leader="dot" w:pos="14562"/>
        </w:tabs>
      </w:pPr>
      <w:r>
        <w:fldChar w:fldCharType="begin"/>
      </w:r>
      <w:r>
        <w:instrText xml:space="preserve">HYPERLINK  \l "_Toc_3_3_0000000016" </w:instrText>
      </w:r>
      <w:r>
        <w:fldChar w:fldCharType="separate"/>
      </w:r>
      <w:r>
        <w:t>七、国有资产信息</w:t>
      </w:r>
      <w:r>
        <w:tab/>
      </w:r>
      <w:r>
        <w:fldChar w:fldCharType="begin"/>
      </w:r>
      <w:r>
        <w:instrText xml:space="preserve">PAGEREF _Toc_3_3_0000000016 \h</w:instrText>
      </w:r>
      <w:r>
        <w:fldChar w:fldCharType="separate"/>
      </w:r>
      <w:r>
        <w:t>176</w:t>
      </w:r>
      <w:r>
        <w:fldChar w:fldCharType="end"/>
      </w:r>
      <w:r>
        <w:fldChar w:fldCharType="end"/>
      </w:r>
    </w:p>
    <w:p>
      <w:pPr>
        <w:pStyle w:val="32"/>
        <w:tabs>
          <w:tab w:val="right" w:leader="dot" w:pos="14562"/>
        </w:tabs>
      </w:pPr>
      <w:r>
        <w:fldChar w:fldCharType="begin"/>
      </w:r>
      <w:r>
        <w:instrText xml:space="preserve">HYPERLINK  \l "_Toc_3_3_0000000017" </w:instrText>
      </w:r>
      <w:r>
        <w:fldChar w:fldCharType="separate"/>
      </w:r>
      <w:r>
        <w:t>八、名词解释</w:t>
      </w:r>
      <w:r>
        <w:tab/>
      </w:r>
      <w:r>
        <w:fldChar w:fldCharType="begin"/>
      </w:r>
      <w:r>
        <w:instrText xml:space="preserve">PAGEREF _Toc_3_3_0000000017 \h</w:instrText>
      </w:r>
      <w:r>
        <w:fldChar w:fldCharType="separate"/>
      </w:r>
      <w:r>
        <w:t>176</w:t>
      </w:r>
      <w:r>
        <w:fldChar w:fldCharType="end"/>
      </w:r>
      <w:r>
        <w:fldChar w:fldCharType="end"/>
      </w:r>
    </w:p>
    <w:p>
      <w:pPr>
        <w:pStyle w:val="32"/>
        <w:tabs>
          <w:tab w:val="right" w:leader="dot" w:pos="14562"/>
        </w:tabs>
      </w:pPr>
      <w:r>
        <w:fldChar w:fldCharType="begin"/>
      </w:r>
      <w:r>
        <w:instrText xml:space="preserve">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177</w:t>
      </w:r>
      <w:r>
        <w:fldChar w:fldCharType="end"/>
      </w:r>
      <w:r>
        <w:fldChar w:fldCharType="end"/>
      </w:r>
    </w:p>
    <w:p>
      <w:r>
        <w:fldChar w:fldCharType="end"/>
      </w:r>
    </w:p>
    <w:p>
      <w:pPr>
        <w:sectPr>
          <w:pgSz w:w="16840" w:h="11900" w:orient="landscape"/>
          <w:pgMar w:top="1587" w:right="1134" w:bottom="1361" w:left="1134" w:header="720" w:footer="720" w:gutter="0"/>
          <w:pgBorders>
            <w:top w:val="none" w:sz="0" w:space="0"/>
            <w:left w:val="none" w:sz="0" w:space="0"/>
            <w:bottom w:val="none" w:sz="0" w:space="0"/>
            <w:right w:val="none" w:sz="0" w:space="0"/>
          </w:pgBorders>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03"/>
        <w:gridCol w:w="3003"/>
        <w:gridCol w:w="3004"/>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006" w:type="dxa"/>
            <w:gridSpan w:val="2"/>
            <w:tcBorders>
              <w:top w:val="single" w:color="FFFFFF" w:sz="6" w:space="0"/>
              <w:left w:val="single" w:color="FFFFFF" w:sz="6" w:space="0"/>
              <w:bottom w:val="single" w:color="auto" w:sz="4"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326石家庄市鹿泉区农业农村局</w:t>
            </w:r>
          </w:p>
        </w:tc>
        <w:tc>
          <w:tcPr>
            <w:tcW w:w="9010" w:type="dxa"/>
            <w:gridSpan w:val="3"/>
            <w:tcBorders>
              <w:top w:val="single" w:color="FFFFFF" w:sz="6" w:space="0"/>
              <w:left w:val="single" w:color="FFFFFF" w:sz="6" w:space="0"/>
              <w:bottom w:val="single" w:color="auto" w:sz="4"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Merge w:val="restart"/>
            <w:tcBorders>
              <w:top w:val="single" w:color="auto" w:sz="4" w:space="0"/>
            </w:tcBorders>
            <w:vAlign w:val="center"/>
          </w:tcPr>
          <w:p>
            <w:pPr>
              <w:widowControl/>
              <w:spacing w:before="0" w:beforeAutospacing="0" w:after="0" w:afterAutospacing="0"/>
              <w:ind w:left="0" w:right="0"/>
              <w:jc w:val="center"/>
              <w:rPr>
                <w:rFonts w:hint="eastAsia" w:ascii="Times New Roman" w:hAnsi="Times New Roman" w:eastAsia="宋体" w:cs="Times New Roman"/>
                <w:sz w:val="20"/>
                <w:szCs w:val="20"/>
                <w:lang w:eastAsia="zh-CN"/>
              </w:rPr>
            </w:pPr>
            <w:r>
              <w:rPr>
                <w:rFonts w:hint="eastAsia" w:eastAsia="宋体" w:cs="Times New Roman"/>
                <w:b/>
                <w:bCs/>
                <w:sz w:val="20"/>
                <w:szCs w:val="20"/>
                <w:lang w:eastAsia="zh-CN"/>
              </w:rPr>
              <w:t>序号</w:t>
            </w:r>
          </w:p>
        </w:tc>
        <w:tc>
          <w:tcPr>
            <w:tcW w:w="6007" w:type="dxa"/>
            <w:gridSpan w:val="2"/>
            <w:tcBorders>
              <w:top w:val="single" w:color="auto" w:sz="4" w:space="0"/>
              <w:bottom w:val="single" w:color="auto" w:sz="4" w:space="0"/>
            </w:tcBorders>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收入</w:t>
            </w:r>
          </w:p>
        </w:tc>
        <w:tc>
          <w:tcPr>
            <w:tcW w:w="6006" w:type="dxa"/>
            <w:gridSpan w:val="2"/>
            <w:tcBorders>
              <w:top w:val="single" w:color="auto" w:sz="4" w:space="0"/>
              <w:bottom w:val="single" w:color="auto" w:sz="4" w:space="0"/>
            </w:tcBorders>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vMerge w:val="continue"/>
            <w:tcBorders>
              <w:bottom w:val="single" w:color="auto" w:sz="4" w:space="0"/>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3003" w:type="dxa"/>
            <w:tcBorders>
              <w:top w:val="single" w:color="auto" w:sz="4" w:space="0"/>
              <w:bottom w:val="single" w:color="auto" w:sz="4"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3004" w:type="dxa"/>
            <w:tcBorders>
              <w:top w:val="single" w:color="auto" w:sz="4" w:space="0"/>
              <w:bottom w:val="single" w:color="auto" w:sz="4"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c>
          <w:tcPr>
            <w:tcW w:w="3003" w:type="dxa"/>
            <w:tcBorders>
              <w:top w:val="single" w:color="auto" w:sz="4" w:space="0"/>
              <w:bottom w:val="single" w:color="auto" w:sz="4"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3003" w:type="dxa"/>
            <w:tcBorders>
              <w:top w:val="single" w:color="auto" w:sz="4" w:space="0"/>
              <w:bottom w:val="single" w:color="auto" w:sz="4"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003" w:type="dxa"/>
            <w:tcBorders>
              <w:top w:val="single" w:color="auto" w:sz="4"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3003" w:type="dxa"/>
            <w:tcBorders>
              <w:top w:val="single" w:color="auto" w:sz="4"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004" w:type="dxa"/>
            <w:tcBorders>
              <w:top w:val="single" w:color="auto" w:sz="4"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003" w:type="dxa"/>
            <w:tcBorders>
              <w:top w:val="single" w:color="auto" w:sz="4"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003" w:type="dxa"/>
            <w:tcBorders>
              <w:top w:val="single" w:color="auto" w:sz="4"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一、一般公共预算拨款收入</w:t>
            </w:r>
          </w:p>
        </w:tc>
        <w:tc>
          <w:tcPr>
            <w:tcW w:w="300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13683.02</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二、政府性基金预算拨款收入</w:t>
            </w:r>
          </w:p>
        </w:tc>
        <w:tc>
          <w:tcPr>
            <w:tcW w:w="300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3840.43</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四、财政专户管理资金收入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五、事业收入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六、事业单位经营收入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七、上级补助收入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八、附属单位上缴收入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九、其他收入</w:t>
            </w: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15028.70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30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3003" w:type="dxa"/>
            <w:vAlign w:val="center"/>
          </w:tcPr>
          <w:p>
            <w:pPr>
              <w:pStyle w:val="12"/>
              <w:widowControl/>
              <w:spacing w:beforeAutospacing="0" w:afterAutospacing="0"/>
              <w:ind w:left="0" w:right="0"/>
              <w:rPr>
                <w:rFonts w:hint="default"/>
              </w:rPr>
            </w:pPr>
          </w:p>
        </w:tc>
        <w:tc>
          <w:tcPr>
            <w:tcW w:w="3004" w:type="dxa"/>
            <w:vAlign w:val="center"/>
          </w:tcPr>
          <w:p>
            <w:pPr>
              <w:pStyle w:val="11"/>
              <w:widowControl/>
              <w:spacing w:beforeAutospacing="0" w:afterAutospacing="0"/>
              <w:ind w:left="0" w:right="0"/>
              <w:rPr>
                <w:rFonts w:hint="default"/>
              </w:rPr>
            </w:pP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30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300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17523.45</w:t>
            </w:r>
          </w:p>
        </w:tc>
        <w:tc>
          <w:tcPr>
            <w:tcW w:w="30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30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20615.04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上年结转结余</w:t>
            </w:r>
          </w:p>
        </w:tc>
        <w:tc>
          <w:tcPr>
            <w:tcW w:w="300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3091.58</w:t>
            </w:r>
          </w:p>
        </w:tc>
        <w:tc>
          <w:tcPr>
            <w:tcW w:w="30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年终结转结余</w:t>
            </w:r>
          </w:p>
        </w:tc>
        <w:tc>
          <w:tcPr>
            <w:tcW w:w="30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0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30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3004" w:type="dxa"/>
            <w:vAlign w:val="center"/>
          </w:tcPr>
          <w:p>
            <w:pPr>
              <w:pStyle w:val="15"/>
              <w:widowControl/>
              <w:spacing w:beforeAutospacing="0" w:afterAutospacing="0"/>
              <w:ind w:left="0" w:right="0"/>
              <w:rPr>
                <w:rFonts w:hint="eastAsia" w:eastAsia="方正书宋_GBK"/>
                <w:lang w:val="en-US" w:eastAsia="zh-CN"/>
              </w:rPr>
            </w:pPr>
            <w:r>
              <w:rPr>
                <w:rFonts w:hint="eastAsia" w:ascii="Times New Roman" w:hAnsi="Times New Roman" w:eastAsia="Times New Roman" w:cs="Times New Roman"/>
                <w:sz w:val="20"/>
                <w:szCs w:val="20"/>
                <w:lang w:val="en-US" w:eastAsia="zh-CN"/>
              </w:rPr>
              <w:t>20615.04</w:t>
            </w:r>
          </w:p>
        </w:tc>
        <w:tc>
          <w:tcPr>
            <w:tcW w:w="30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3003" w:type="dxa"/>
            <w:vAlign w:val="center"/>
          </w:tcPr>
          <w:p>
            <w:pPr>
              <w:pStyle w:val="15"/>
              <w:widowControl/>
              <w:spacing w:beforeAutospacing="0" w:afterAutospacing="0"/>
              <w:ind w:left="0" w:right="0"/>
              <w:rPr>
                <w:rFonts w:hint="eastAsia" w:eastAsia="方正书宋_GBK"/>
                <w:lang w:val="en-US" w:eastAsia="zh-CN"/>
              </w:rPr>
            </w:pPr>
            <w:r>
              <w:rPr>
                <w:rFonts w:hint="eastAsia" w:ascii="Times New Roman" w:hAnsi="Times New Roman" w:eastAsia="Times New Roman" w:cs="Times New Roman"/>
                <w:sz w:val="20"/>
                <w:szCs w:val="20"/>
                <w:lang w:val="en-US" w:eastAsia="zh-CN"/>
              </w:rPr>
              <w:t>20615.04</w:t>
            </w:r>
          </w:p>
        </w:tc>
      </w:tr>
    </w:tbl>
    <w:p>
      <w:pPr>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1139"/>
        <w:gridCol w:w="1171"/>
        <w:gridCol w:w="1155"/>
        <w:gridCol w:w="1155"/>
        <w:gridCol w:w="1155"/>
        <w:gridCol w:w="1155"/>
        <w:gridCol w:w="1156"/>
        <w:gridCol w:w="1155"/>
        <w:gridCol w:w="1155"/>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1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326石家庄市鹿泉区农业农村局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90" w:hRule="atLeast"/>
          <w:tblHeader/>
          <w:jc w:val="center"/>
        </w:trPr>
        <w:tc>
          <w:tcPr>
            <w:tcW w:w="1155" w:type="dxa"/>
            <w:vMerge w:val="restart"/>
            <w:vAlign w:val="center"/>
          </w:tcPr>
          <w:p>
            <w:pPr>
              <w:widowControl/>
              <w:spacing w:before="0" w:beforeAutospacing="0" w:after="0" w:afterAutospacing="0"/>
              <w:ind w:left="0" w:right="0"/>
              <w:jc w:val="center"/>
              <w:rPr>
                <w:rFonts w:hint="eastAsia" w:ascii="Times New Roman" w:hAnsi="Times New Roman" w:eastAsia="宋体" w:cs="Times New Roman"/>
                <w:sz w:val="20"/>
                <w:szCs w:val="20"/>
                <w:lang w:eastAsia="zh-CN"/>
              </w:rPr>
            </w:pPr>
            <w:r>
              <w:rPr>
                <w:rFonts w:hint="eastAsia" w:ascii="方正书宋_GBK" w:hAnsi="方正书宋_GBK" w:eastAsia="方正书宋_GBK" w:cs="方正书宋_GBK"/>
                <w:b/>
                <w:sz w:val="21"/>
                <w:szCs w:val="24"/>
                <w:lang w:val="en-US" w:eastAsia="zh-CN" w:bidi="ar-SA"/>
              </w:rPr>
              <w:t>序号</w:t>
            </w:r>
          </w:p>
        </w:tc>
        <w:tc>
          <w:tcPr>
            <w:tcW w:w="2310" w:type="dxa"/>
            <w:gridSpan w:val="2"/>
            <w:vAlign w:val="center"/>
          </w:tcPr>
          <w:p>
            <w:pPr>
              <w:pStyle w:val="10"/>
              <w:widowControl/>
              <w:spacing w:beforeAutospacing="0" w:afterAutospacing="0"/>
              <w:ind w:left="0" w:right="0"/>
              <w:jc w:val="center"/>
              <w:rPr>
                <w:rFonts w:hint="default" w:ascii="Times New Roman" w:hAnsi="Times New Roman" w:eastAsia="Times New Roman" w:cs="Times New Roman"/>
                <w:sz w:val="20"/>
                <w:szCs w:val="20"/>
              </w:rPr>
            </w:pPr>
            <w:r>
              <w:t>功能分类科目</w:t>
            </w:r>
          </w:p>
        </w:tc>
        <w:tc>
          <w:tcPr>
            <w:tcW w:w="1155" w:type="dxa"/>
            <w:vMerge w:val="restart"/>
            <w:vAlign w:val="center"/>
          </w:tcPr>
          <w:p>
            <w:pPr>
              <w:widowControl/>
              <w:spacing w:before="0" w:beforeAutospacing="0" w:after="0" w:afterAutospacing="0"/>
              <w:ind w:left="0" w:right="0"/>
              <w:jc w:val="center"/>
              <w:rPr>
                <w:rFonts w:hint="default" w:ascii="Times New Roman" w:hAnsi="Times New Roman" w:eastAsia="Times New Roman" w:cs="Times New Roman"/>
                <w:sz w:val="20"/>
                <w:szCs w:val="20"/>
              </w:rPr>
            </w:pPr>
            <w:r>
              <w:rPr>
                <w:rFonts w:ascii="方正书宋_GBK" w:hAnsi="方正书宋_GBK" w:eastAsia="方正书宋_GBK" w:cs="方正书宋_GBK"/>
                <w:b/>
                <w:sz w:val="21"/>
                <w:szCs w:val="24"/>
                <w:lang w:val="en-US" w:eastAsia="zh-CN" w:bidi="ar-SA"/>
              </w:rPr>
              <w:t>合计</w:t>
            </w:r>
          </w:p>
        </w:tc>
        <w:tc>
          <w:tcPr>
            <w:tcW w:w="9241" w:type="dxa"/>
            <w:gridSpan w:val="8"/>
            <w:vAlign w:val="center"/>
          </w:tcPr>
          <w:p>
            <w:pPr>
              <w:pStyle w:val="10"/>
              <w:widowControl/>
              <w:spacing w:beforeAutospacing="0" w:afterAutospacing="0"/>
              <w:ind w:left="0" w:right="0"/>
              <w:jc w:val="center"/>
              <w:rPr>
                <w:rFonts w:hint="default" w:ascii="Times New Roman" w:hAnsi="Times New Roman" w:eastAsia="Times New Roman" w:cs="Times New Roman"/>
                <w:sz w:val="20"/>
                <w:szCs w:val="20"/>
              </w:rPr>
            </w:pPr>
            <w:r>
              <w:t>本年收入</w:t>
            </w:r>
          </w:p>
        </w:tc>
        <w:tc>
          <w:tcPr>
            <w:tcW w:w="1155" w:type="dxa"/>
            <w:vMerge w:val="restart"/>
            <w:vAlign w:val="center"/>
          </w:tcPr>
          <w:p>
            <w:pPr>
              <w:widowControl/>
              <w:spacing w:before="0" w:beforeAutospacing="0" w:after="0" w:afterAutospacing="0"/>
              <w:ind w:left="0" w:right="0"/>
              <w:jc w:val="center"/>
              <w:rPr>
                <w:rFonts w:hint="default" w:ascii="Times New Roman" w:hAnsi="Times New Roman" w:eastAsia="Times New Roman" w:cs="Times New Roman"/>
                <w:sz w:val="20"/>
                <w:szCs w:val="20"/>
              </w:rPr>
            </w:pPr>
            <w:r>
              <w:rPr>
                <w:rFonts w:ascii="方正书宋_GBK" w:hAnsi="方正书宋_GBK" w:eastAsia="方正书宋_GBK" w:cs="方正书宋_GBK"/>
                <w:b/>
                <w:sz w:val="21"/>
                <w:szCs w:val="24"/>
                <w:lang w:val="en-US" w:eastAsia="zh-CN" w:bidi="ar-S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90" w:hRule="atLeast"/>
          <w:tblHeader/>
          <w:jc w:val="center"/>
        </w:trPr>
        <w:tc>
          <w:tcPr>
            <w:tcW w:w="1155"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117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155"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小计</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财政拨款 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 收入</w:t>
            </w:r>
          </w:p>
        </w:tc>
        <w:tc>
          <w:tcPr>
            <w:tcW w:w="115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事业收入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上级补助收入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附属单位上缴收入</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其他收入</w:t>
            </w:r>
          </w:p>
        </w:tc>
        <w:tc>
          <w:tcPr>
            <w:tcW w:w="1155"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13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7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5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5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139" w:type="dxa"/>
            <w:vAlign w:val="center"/>
          </w:tcPr>
          <w:p>
            <w:pPr>
              <w:pStyle w:val="16"/>
              <w:widowControl/>
              <w:spacing w:beforeAutospacing="0" w:afterAutospacing="0"/>
              <w:ind w:left="0" w:right="0"/>
              <w:rPr>
                <w:rFonts w:hint="default"/>
              </w:rPr>
            </w:pPr>
          </w:p>
        </w:tc>
        <w:tc>
          <w:tcPr>
            <w:tcW w:w="1171"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1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20615.04</w:t>
            </w:r>
          </w:p>
        </w:tc>
        <w:tc>
          <w:tcPr>
            <w:tcW w:w="11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17523.45</w:t>
            </w:r>
          </w:p>
        </w:tc>
        <w:tc>
          <w:tcPr>
            <w:tcW w:w="11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17523.45</w:t>
            </w:r>
          </w:p>
        </w:tc>
        <w:tc>
          <w:tcPr>
            <w:tcW w:w="1155" w:type="dxa"/>
            <w:vAlign w:val="center"/>
          </w:tcPr>
          <w:p>
            <w:pPr>
              <w:pStyle w:val="15"/>
              <w:widowControl/>
              <w:spacing w:beforeAutospacing="0" w:afterAutospacing="0"/>
              <w:ind w:left="0" w:right="0"/>
              <w:rPr>
                <w:rFonts w:hint="default"/>
              </w:rPr>
            </w:pPr>
          </w:p>
        </w:tc>
        <w:tc>
          <w:tcPr>
            <w:tcW w:w="1156"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p>
        </w:tc>
        <w:tc>
          <w:tcPr>
            <w:tcW w:w="1155"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3091.58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教育支出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20508</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进修及培训</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2050802</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干部教育</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698.47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698.47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698.47</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681.74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681.74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681.74</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2080501</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行政单位离退休</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184.79</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184.79</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184.79</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244.78</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20809</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退役安置</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2080901</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退役士兵安置</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2101101</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行政单位医疗</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111.90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111.90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111.90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节能环保支出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21103</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污染防治</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2110301</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大气</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城乡社区支出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3840.43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3840.43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国有土地使用权出让收入安排的支出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3840.43</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3840.43</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2120804</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农村基础设施建设支出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1885.96</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1593.14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1593.14</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2120814</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2120816</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农业农村生态环境支出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2120899</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其他国有土地使用权出让收入安排的支出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15028.70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12235.94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12235.94</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2792.76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14427.60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11674.84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11674.84</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2752.76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2130101</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行政运行</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1072.50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1072.50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1072.50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2130106</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科技转化与推广服务</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74.76</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74.76</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74.76</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2130108</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病虫害控制</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239.52</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142.81</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142.81</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2130109</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农产品质量安全</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276.41</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235.60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235.60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2130110</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执法监管</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2130119</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防灾救灾</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54.00</w:t>
            </w: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5555.82</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3738.54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3738.54</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1817.28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2130126</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农村社会事业</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2130135</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农业资源保护修复与利用</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37</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2130148</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渔业发展</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280.00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200.00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38</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2130153</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农田建设</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4111.47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3465.00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3465.00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646.47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39</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344.42</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331.94</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331.94</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40</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21305</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巩固脱贫衔接乡村振兴</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41</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2130599</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其他巩固脱贫衔接乡村振兴支出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42</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21307</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农村综合改革</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43</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2130799</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其他农村综合改革支出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44</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45</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5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46</w:t>
            </w:r>
          </w:p>
        </w:tc>
        <w:tc>
          <w:tcPr>
            <w:tcW w:w="113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117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155"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155" w:type="dxa"/>
            <w:vAlign w:val="center"/>
          </w:tcPr>
          <w:p>
            <w:pPr>
              <w:pStyle w:val="11"/>
              <w:widowControl/>
              <w:spacing w:beforeAutospacing="0" w:afterAutospacing="0"/>
              <w:ind w:left="0" w:right="0"/>
              <w:rPr>
                <w:rFonts w:hint="default"/>
              </w:rPr>
            </w:pPr>
          </w:p>
        </w:tc>
        <w:tc>
          <w:tcPr>
            <w:tcW w:w="1156"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c>
          <w:tcPr>
            <w:tcW w:w="1155"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9"/>
        <w:gridCol w:w="1668"/>
        <w:gridCol w:w="1669"/>
        <w:gridCol w:w="1668"/>
        <w:gridCol w:w="1669"/>
        <w:gridCol w:w="1668"/>
        <w:gridCol w:w="1669"/>
        <w:gridCol w:w="16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5016" w:type="dxa"/>
            <w:gridSpan w:val="9"/>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326石家庄市鹿泉区农业农村局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3337" w:type="dxa"/>
            <w:gridSpan w:val="2"/>
            <w:vAlign w:val="center"/>
          </w:tcPr>
          <w:p>
            <w:pPr>
              <w:pStyle w:val="10"/>
              <w:widowControl/>
              <w:spacing w:beforeAutospacing="0" w:afterAutospacing="0"/>
              <w:ind w:left="0" w:right="0"/>
              <w:rPr>
                <w:rFonts w:hint="default"/>
              </w:rPr>
            </w:pPr>
            <w:r>
              <w:t>功能分类科目</w:t>
            </w:r>
          </w:p>
        </w:tc>
        <w:tc>
          <w:tcPr>
            <w:tcW w:w="166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166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c>
          <w:tcPr>
            <w:tcW w:w="166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经营支出</w:t>
            </w:r>
          </w:p>
        </w:tc>
        <w:tc>
          <w:tcPr>
            <w:tcW w:w="1669"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上解上级     支出</w:t>
            </w:r>
          </w:p>
        </w:tc>
        <w:tc>
          <w:tcPr>
            <w:tcW w:w="1668"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    编码</w:t>
            </w:r>
          </w:p>
        </w:tc>
        <w:tc>
          <w:tcPr>
            <w:tcW w:w="16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166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8"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8"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9"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668"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6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6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69"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68"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8"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669" w:type="dxa"/>
            <w:vAlign w:val="center"/>
          </w:tcPr>
          <w:p>
            <w:pPr>
              <w:pStyle w:val="16"/>
              <w:widowControl/>
              <w:spacing w:beforeAutospacing="0" w:afterAutospacing="0"/>
              <w:ind w:left="0" w:right="0"/>
              <w:rPr>
                <w:rFonts w:hint="default"/>
              </w:rPr>
            </w:pPr>
          </w:p>
        </w:tc>
        <w:tc>
          <w:tcPr>
            <w:tcW w:w="1668"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66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20615.04</w:t>
            </w:r>
          </w:p>
        </w:tc>
        <w:tc>
          <w:tcPr>
            <w:tcW w:w="1668"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4181.53</w:t>
            </w:r>
          </w:p>
        </w:tc>
        <w:tc>
          <w:tcPr>
            <w:tcW w:w="1669"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16433.50</w:t>
            </w:r>
          </w:p>
        </w:tc>
        <w:tc>
          <w:tcPr>
            <w:tcW w:w="1668" w:type="dxa"/>
            <w:vAlign w:val="center"/>
          </w:tcPr>
          <w:p>
            <w:pPr>
              <w:pStyle w:val="15"/>
              <w:widowControl/>
              <w:spacing w:beforeAutospacing="0" w:afterAutospacing="0"/>
              <w:ind w:left="0" w:right="0"/>
              <w:rPr>
                <w:rFonts w:hint="default"/>
              </w:rPr>
            </w:pPr>
          </w:p>
        </w:tc>
        <w:tc>
          <w:tcPr>
            <w:tcW w:w="1669" w:type="dxa"/>
            <w:vAlign w:val="center"/>
          </w:tcPr>
          <w:p>
            <w:pPr>
              <w:pStyle w:val="15"/>
              <w:widowControl/>
              <w:spacing w:beforeAutospacing="0" w:afterAutospacing="0"/>
              <w:ind w:left="0" w:right="0"/>
              <w:rPr>
                <w:rFonts w:hint="default"/>
              </w:rPr>
            </w:pPr>
          </w:p>
        </w:tc>
        <w:tc>
          <w:tcPr>
            <w:tcW w:w="1668"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教育支出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20508</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进修及培训</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2050802</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干部教育</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698.47</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681.74</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681.74</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681.74</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行政单位离退休</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184.79</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184.79</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244.78</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244.78</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退役安置</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2080901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退役士兵安置</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行政单位医疗</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111.90</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111.90</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节能环保支出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21103</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污染防治</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2110301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大气</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城乡社区支出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国有土地使用权出让收入安排的支出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2120804</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农村基础设施建设支出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1885.96</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1885.96</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2120814</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2120816</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农业农村生态环境支出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2120899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其他国有土地使用权出让收入安排的支出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15028.70</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2751.18</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12277.52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14427.60</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2751.18</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11676.42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行政运行</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1072.50</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1072.50</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2130106</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科技转化与推广服务</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74.76</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74.76</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2130108</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病虫害控制</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239.52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239.52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农产品质量安全</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276.41</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276.41</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2130110</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执法监管</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2130119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防灾救灾</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5555.82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5555.82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2130126</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农村社会事业</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2130135</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农业资源保护修复与利用</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37</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2130148</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渔业发展</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280.00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280.00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38</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2130153</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农田建设</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4111.47</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4111.47</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39</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344.42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344.42</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40</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21305</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巩固脱贫衔接乡村振兴</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41</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2130599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其他巩固脱贫衔接乡村振兴支出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42</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21307</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农村综合改革</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43</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2130799</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其他农村综合改革支出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44</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45</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68"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46</w:t>
            </w:r>
          </w:p>
        </w:tc>
        <w:tc>
          <w:tcPr>
            <w:tcW w:w="1669"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1668"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1669"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668"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c>
          <w:tcPr>
            <w:tcW w:w="1669" w:type="dxa"/>
            <w:vAlign w:val="center"/>
          </w:tcPr>
          <w:p>
            <w:pPr>
              <w:pStyle w:val="11"/>
              <w:widowControl/>
              <w:spacing w:beforeAutospacing="0" w:afterAutospacing="0"/>
              <w:ind w:left="0" w:right="0"/>
              <w:rPr>
                <w:rFonts w:hint="default"/>
              </w:rPr>
            </w:pPr>
          </w:p>
        </w:tc>
        <w:tc>
          <w:tcPr>
            <w:tcW w:w="1668"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326石家庄市鹿泉区农业农村局</w:t>
            </w:r>
          </w:p>
        </w:tc>
        <w:tc>
          <w:tcPr>
            <w:tcW w:w="9385" w:type="dxa"/>
            <w:gridSpan w:val="5"/>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restart"/>
            <w:vAlign w:val="center"/>
          </w:tcPr>
          <w:p>
            <w:pPr>
              <w:widowControl/>
              <w:spacing w:before="0" w:beforeAutospacing="0" w:after="0" w:afterAutospacing="0"/>
              <w:ind w:left="0" w:right="0"/>
              <w:jc w:val="center"/>
              <w:rPr>
                <w:rFonts w:hint="default" w:ascii="Times New Roman" w:hAnsi="Times New Roman" w:eastAsia="Times New Roman" w:cs="Times New Roman"/>
                <w:b/>
                <w:bCs/>
                <w:sz w:val="20"/>
                <w:szCs w:val="20"/>
              </w:rPr>
            </w:pPr>
            <w:r>
              <w:rPr>
                <w:rFonts w:hint="default" w:ascii="Times New Roman" w:hAnsi="Times New Roman" w:eastAsia="Times New Roman" w:cs="Times New Roman"/>
                <w:b/>
                <w:bCs/>
                <w:sz w:val="20"/>
                <w:szCs w:val="20"/>
              </w:rPr>
              <w:t>序号</w:t>
            </w:r>
          </w:p>
        </w:tc>
        <w:tc>
          <w:tcPr>
            <w:tcW w:w="3754" w:type="dxa"/>
            <w:gridSpan w:val="2"/>
            <w:vAlign w:val="center"/>
          </w:tcPr>
          <w:p>
            <w:pPr>
              <w:pStyle w:val="10"/>
              <w:widowControl/>
              <w:spacing w:beforeAutospacing="0" w:afterAutospacing="0"/>
              <w:ind w:left="0" w:right="0"/>
              <w:rPr>
                <w:rFonts w:hint="default"/>
              </w:rPr>
            </w:pPr>
            <w:r>
              <w:t>收入</w:t>
            </w:r>
          </w:p>
        </w:tc>
        <w:tc>
          <w:tcPr>
            <w:tcW w:w="9385" w:type="dxa"/>
            <w:gridSpan w:val="5"/>
            <w:vAlign w:val="center"/>
          </w:tcPr>
          <w:p>
            <w:pPr>
              <w:pStyle w:val="10"/>
              <w:widowControl/>
              <w:spacing w:beforeAutospacing="0" w:afterAutospacing="0"/>
              <w:ind w:left="0" w:right="0"/>
              <w:rPr>
                <w:rFonts w:hint="default"/>
              </w:rPr>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金额</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一般公共预算财政拨款</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政府性基金预算财政    拨款</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877"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13683.02</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一、一般公共服务支出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3840.43</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二、外交支出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三、国防支出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四、公共安全支出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五、教育支出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六、科学技术支出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七、文化旅游体育与传媒支出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八、社会保障和就业支出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698.47</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698.47</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九、社会保险基金支出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十、卫生健康支出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十一、节能环保支出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十二、城乡社区支出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十三、农林水支出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15028.70</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15028.70</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十四、交通运输支出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十五、资源勘探工业信息等支出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十六、商业服务业等支出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十七、金融支出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十八、援助其他地区支出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十九、自然资源海洋气象等支出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二十、住房保障支出</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二十一、粮油物资储备支出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二十二、国有资本经营预算支出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二十三、灾害防治及应急管理支出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二十四、预备费</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二十五、其他支出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二十六、转移性支出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二十七、债务还本支出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二十八、债务付息支出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二十九、债务发行费用支出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三十、抗疫特别国债安排的支出</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187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本年收入合计</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17523.45</w:t>
            </w:r>
          </w:p>
        </w:tc>
        <w:tc>
          <w:tcPr>
            <w:tcW w:w="187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本年支出合计</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20615.04</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16481.78</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1877"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年初财政拨款结转和结余</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3091.58</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年末财政拨款结转和结余</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一、一般公共预算拨款</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2798.76</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二、政府性基金预算拨款</w:t>
            </w:r>
          </w:p>
        </w:tc>
        <w:tc>
          <w:tcPr>
            <w:tcW w:w="1877"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292.82</w:t>
            </w: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1877"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三、国有资本经营预算拨款</w:t>
            </w: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2"/>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c>
          <w:tcPr>
            <w:tcW w:w="1877"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77"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187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收入总计</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20615.04</w:t>
            </w:r>
          </w:p>
        </w:tc>
        <w:tc>
          <w:tcPr>
            <w:tcW w:w="1877"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支出总计</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20615.04</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16481.78</w:t>
            </w:r>
          </w:p>
        </w:tc>
        <w:tc>
          <w:tcPr>
            <w:tcW w:w="1877"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1877" w:type="dxa"/>
            <w:vAlign w:val="center"/>
          </w:tcPr>
          <w:p>
            <w:pPr>
              <w:pStyle w:val="15"/>
              <w:widowControl/>
              <w:spacing w:beforeAutospacing="0" w:afterAutospacing="0"/>
              <w:ind w:left="0" w:right="0"/>
              <w:rPr>
                <w:rFonts w:hint="default"/>
              </w:rPr>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35"/>
        <w:gridCol w:w="2970"/>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326石家庄市鹿泉区农业农村局</w:t>
            </w:r>
          </w:p>
        </w:tc>
        <w:tc>
          <w:tcPr>
            <w:tcW w:w="7508"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35" w:type="dxa"/>
            <w:vMerge w:val="restart"/>
            <w:vAlign w:val="center"/>
          </w:tcPr>
          <w:p>
            <w:pPr>
              <w:widowControl/>
              <w:spacing w:before="0" w:beforeAutospacing="0" w:after="0" w:afterAutospacing="0"/>
              <w:ind w:left="0" w:right="0"/>
              <w:jc w:val="center"/>
              <w:rPr>
                <w:rFonts w:hint="default" w:ascii="Times New Roman" w:hAnsi="Times New Roman" w:eastAsia="Times New Roman" w:cs="Times New Roman"/>
                <w:sz w:val="20"/>
                <w:szCs w:val="20"/>
              </w:rPr>
            </w:pPr>
            <w:r>
              <w:rPr>
                <w:rFonts w:hint="default" w:ascii="Times New Roman" w:hAnsi="Times New Roman" w:eastAsia="Times New Roman" w:cs="Times New Roman"/>
                <w:b/>
                <w:bCs/>
                <w:sz w:val="20"/>
                <w:szCs w:val="20"/>
              </w:rPr>
              <w:t>序号</w:t>
            </w:r>
          </w:p>
        </w:tc>
        <w:tc>
          <w:tcPr>
            <w:tcW w:w="5473" w:type="dxa"/>
            <w:gridSpan w:val="2"/>
            <w:vAlign w:val="center"/>
          </w:tcPr>
          <w:p>
            <w:pPr>
              <w:pStyle w:val="10"/>
              <w:widowControl/>
              <w:spacing w:beforeAutospacing="0" w:afterAutospacing="0"/>
              <w:ind w:left="0" w:right="0"/>
              <w:rPr>
                <w:rFonts w:hint="default"/>
              </w:rPr>
            </w:pPr>
            <w:r>
              <w:t>功能分类科目</w:t>
            </w:r>
          </w:p>
        </w:tc>
        <w:tc>
          <w:tcPr>
            <w:tcW w:w="250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35" w:type="dxa"/>
            <w:vMerge w:val="continue"/>
            <w:tcBorders/>
            <w:vAlign w:val="center"/>
          </w:tcPr>
          <w:p>
            <w:pPr>
              <w:widowControl/>
              <w:spacing w:before="0" w:beforeAutospacing="0" w:after="0" w:afterAutospacing="0"/>
              <w:ind w:left="0" w:right="0"/>
              <w:jc w:val="center"/>
              <w:rPr>
                <w:rFonts w:hint="default" w:ascii="Times New Roman" w:hAnsi="Times New Roman" w:eastAsia="Times New Roman" w:cs="Times New Roman"/>
                <w:sz w:val="20"/>
                <w:szCs w:val="20"/>
              </w:rPr>
            </w:pPr>
          </w:p>
        </w:tc>
        <w:tc>
          <w:tcPr>
            <w:tcW w:w="29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035"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97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970" w:type="dxa"/>
            <w:vAlign w:val="center"/>
          </w:tcPr>
          <w:p>
            <w:pPr>
              <w:pStyle w:val="16"/>
              <w:widowControl/>
              <w:spacing w:beforeAutospacing="0" w:afterAutospacing="0"/>
              <w:ind w:left="0" w:right="0"/>
              <w:rPr>
                <w:rFonts w:hint="default"/>
              </w:rPr>
            </w:pPr>
          </w:p>
        </w:tc>
        <w:tc>
          <w:tcPr>
            <w:tcW w:w="25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16481.78</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4181.53</w:t>
            </w:r>
          </w:p>
        </w:tc>
        <w:tc>
          <w:tcPr>
            <w:tcW w:w="25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12300.25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教育支出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20508</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进修及培训</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2050802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干部教育</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211.30</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社会保障和就业支出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698.47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681.74</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行政事业单位养老支出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681.74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681.74</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行政单位离退休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252.17</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事业单位离退休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184.79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184.79</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2080505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244.78</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退役安置</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2080901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退役士兵安置</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卫生健康支出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行政事业单位医疗</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233.03</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行政单位医疗</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121.13</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2101102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事业单位医疗</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111.90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111.90</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节能环保支出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21103</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污染防治</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2110301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大气</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农林水支出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15028.70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2751.18</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12277.52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14427.60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2751.18</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11676.42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行政运行</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1678.68</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2130104</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事业运行</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1072.50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1072.50</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2130106</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科技转化与推广服务</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74.76</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2130108</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病虫害控制</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239.52</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2130109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农产品质量安全</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276.41</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276.41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2130110</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执法监管</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2130119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防灾救灾</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5555.82</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5555.82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2130126</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农村社会事业</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2130135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农业资源保护修复与利用</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2130148</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渔业发展</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280.00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2130153</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农田建设</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4111.47</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4111.47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2130199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其他农业农村支出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344.42</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344.42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巩固脱贫衔接乡村振兴</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2130599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其他巩固脱贫衔接乡村振兴支出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21307</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农村综合改革</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37</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2130799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其他农村综合改革支出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38</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住房保障支出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39</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住房改革支出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035"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40</w:t>
            </w:r>
          </w:p>
        </w:tc>
        <w:tc>
          <w:tcPr>
            <w:tcW w:w="297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2210201</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2503" w:type="dxa"/>
            <w:vAlign w:val="center"/>
          </w:tcPr>
          <w:p>
            <w:pPr>
              <w:pStyle w:val="11"/>
              <w:widowControl/>
              <w:spacing w:beforeAutospacing="0" w:afterAutospacing="0"/>
              <w:ind w:left="0" w:right="0"/>
              <w:rPr>
                <w:rFonts w:hint="default"/>
              </w:rPr>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21"/>
        <w:gridCol w:w="2884"/>
        <w:gridCol w:w="2501"/>
        <w:gridCol w:w="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4"/>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326石家庄市鹿泉区农业农村局</w:t>
            </w:r>
          </w:p>
        </w:tc>
        <w:tc>
          <w:tcPr>
            <w:tcW w:w="7508"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21" w:type="dxa"/>
            <w:vMerge w:val="restart"/>
            <w:vAlign w:val="center"/>
          </w:tcPr>
          <w:p>
            <w:pPr>
              <w:pStyle w:val="10"/>
              <w:widowControl/>
              <w:spacing w:beforeAutospacing="0" w:afterAutospacing="0"/>
              <w:ind w:left="0" w:right="0"/>
              <w:jc w:val="center"/>
              <w:rPr>
                <w:rFonts w:hint="eastAsia" w:eastAsia="方正书宋_GBK"/>
                <w:lang w:eastAsia="zh-CN"/>
              </w:rPr>
            </w:pPr>
            <w:r>
              <w:rPr>
                <w:rFonts w:hint="eastAsia"/>
                <w:lang w:eastAsia="zh-CN"/>
              </w:rPr>
              <w:t>序号</w:t>
            </w:r>
          </w:p>
        </w:tc>
        <w:tc>
          <w:tcPr>
            <w:tcW w:w="5385" w:type="dxa"/>
            <w:gridSpan w:val="2"/>
            <w:vAlign w:val="center"/>
          </w:tcPr>
          <w:p>
            <w:pPr>
              <w:pStyle w:val="10"/>
              <w:widowControl/>
              <w:spacing w:beforeAutospacing="0" w:afterAutospacing="0"/>
              <w:ind w:left="0" w:right="0"/>
              <w:jc w:val="center"/>
              <w:rPr>
                <w:rFonts w:hint="default"/>
              </w:rPr>
            </w:pPr>
            <w:r>
              <w:t>支出部门经济分类科目</w:t>
            </w:r>
          </w:p>
        </w:tc>
        <w:tc>
          <w:tcPr>
            <w:tcW w:w="7510" w:type="dxa"/>
            <w:gridSpan w:val="4"/>
            <w:vAlign w:val="center"/>
          </w:tcPr>
          <w:p>
            <w:pPr>
              <w:pStyle w:val="10"/>
              <w:widowControl/>
              <w:spacing w:beforeAutospacing="0" w:afterAutospacing="0"/>
              <w:ind w:left="0" w:right="0"/>
              <w:jc w:val="center"/>
              <w:rPr>
                <w:rFonts w:hint="default"/>
              </w:rPr>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21"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88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3"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人员经费</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2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88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3"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884" w:type="dxa"/>
            <w:vAlign w:val="center"/>
          </w:tcPr>
          <w:p>
            <w:pPr>
              <w:pStyle w:val="16"/>
              <w:widowControl/>
              <w:spacing w:beforeAutospacing="0" w:afterAutospacing="0"/>
              <w:ind w:left="0" w:right="0"/>
              <w:rPr>
                <w:rFonts w:hint="default"/>
              </w:rPr>
            </w:pPr>
          </w:p>
        </w:tc>
        <w:tc>
          <w:tcPr>
            <w:tcW w:w="2503" w:type="dxa"/>
            <w:gridSpan w:val="2"/>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4181.53</w:t>
            </w:r>
          </w:p>
        </w:tc>
        <w:tc>
          <w:tcPr>
            <w:tcW w:w="2502"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3683.39</w:t>
            </w:r>
          </w:p>
        </w:tc>
        <w:tc>
          <w:tcPr>
            <w:tcW w:w="25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498.14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工资福利支出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3234.11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3234.11</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30101</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基本工资</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879.80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879.80</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30102</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津贴补贴</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315.78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315.78</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30103</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10.80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10.80</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30107</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绩效工资</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551.21</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551.21</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30108</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机关事业单位基本养老保险缴费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244.78</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30110</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职工基本医疗保险缴费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131.37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131.37</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30111</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公务员医疗补助缴费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101.66</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101.66</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30112</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其他社会保障缴费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16.75</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16.75</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11</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30113</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住房公积金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304.27</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12</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30199</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其他工资福利支出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677.68</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677.68</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13</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商品和服务支出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493.14</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493.14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14</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30201</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58.60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15</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30205</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30206</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电费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10.95</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17</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30207</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邮电费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17.91</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18</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30208</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取暖费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20.35</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30209</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物业管理费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30211</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差旅费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30213</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维修(护)费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6.50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22</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30215</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23</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30216</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24</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30217</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公务接待费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25</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30226</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劳务费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26</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30227</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委托业务费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231.74</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231.74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27</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30228</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工会经费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18.35</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28</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30229</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福利费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21.97</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29</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30231</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公务用车运行维护费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29.70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30239</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其他交通费用</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25.38</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31</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30299</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其他商品和服务支出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15.68</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32</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对个人和家庭的补助</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449.29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449.29</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33</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30301</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离休费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18.64</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18.64</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34</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30302</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退休费</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95.89</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95.89</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35</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30305</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生活补助</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14.43</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14.43</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36</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30309</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奖励金</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0.40</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0.40</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37</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30399</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其他对个人和家庭的补助</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319.92</w:t>
            </w:r>
          </w:p>
        </w:tc>
        <w:tc>
          <w:tcPr>
            <w:tcW w:w="2502"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319.92</w:t>
            </w:r>
          </w:p>
        </w:tc>
        <w:tc>
          <w:tcPr>
            <w:tcW w:w="2503"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38</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310</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资本性支出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21"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39</w:t>
            </w:r>
          </w:p>
        </w:tc>
        <w:tc>
          <w:tcPr>
            <w:tcW w:w="288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31002</w:t>
            </w:r>
          </w:p>
        </w:tc>
        <w:tc>
          <w:tcPr>
            <w:tcW w:w="2503" w:type="dxa"/>
            <w:gridSpan w:val="2"/>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办公设备购置</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5.00</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3"/>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326石家庄市鹿泉区农业农村局</w:t>
            </w:r>
          </w:p>
        </w:tc>
        <w:tc>
          <w:tcPr>
            <w:tcW w:w="7508"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40" w:hRule="atLeast"/>
          <w:tblHeader/>
          <w:jc w:val="center"/>
        </w:trPr>
        <w:tc>
          <w:tcPr>
            <w:tcW w:w="2502" w:type="dxa"/>
            <w:vMerge w:val="restart"/>
            <w:vAlign w:val="center"/>
          </w:tcPr>
          <w:p>
            <w:pPr>
              <w:pStyle w:val="10"/>
              <w:widowControl/>
              <w:spacing w:beforeAutospacing="0" w:afterAutospacing="0"/>
              <w:ind w:left="0" w:right="0"/>
              <w:rPr>
                <w:rFonts w:hint="eastAsia" w:ascii="Times New Roman" w:hAnsi="Times New Roman" w:eastAsia="宋体" w:cs="Times New Roman"/>
                <w:sz w:val="20"/>
                <w:szCs w:val="20"/>
                <w:lang w:eastAsia="zh-CN"/>
              </w:rPr>
            </w:pPr>
            <w:r>
              <w:rPr>
                <w:rFonts w:hint="eastAsia" w:ascii="Times New Roman" w:hAnsi="Times New Roman" w:eastAsia="宋体" w:cs="Times New Roman"/>
                <w:sz w:val="20"/>
                <w:szCs w:val="20"/>
                <w:lang w:eastAsia="zh-CN"/>
              </w:rPr>
              <w:t>序号</w:t>
            </w:r>
          </w:p>
        </w:tc>
        <w:tc>
          <w:tcPr>
            <w:tcW w:w="5006" w:type="dxa"/>
            <w:gridSpan w:val="2"/>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功能分类科目</w:t>
            </w:r>
          </w:p>
        </w:tc>
        <w:tc>
          <w:tcPr>
            <w:tcW w:w="2503" w:type="dxa"/>
            <w:vMerge w:val="restart"/>
            <w:vAlign w:val="center"/>
          </w:tcPr>
          <w:p>
            <w:pPr>
              <w:pStyle w:val="10"/>
              <w:ind w:firstLine="0" w:firstLineChars="0"/>
              <w:rPr>
                <w:rFonts w:hint="default" w:ascii="Times New Roman" w:hAnsi="Times New Roman" w:eastAsia="Times New Roman" w:cs="Times New Roman"/>
                <w:sz w:val="20"/>
                <w:szCs w:val="20"/>
              </w:rPr>
            </w:pPr>
            <w:r>
              <w:t>合计</w:t>
            </w:r>
          </w:p>
        </w:tc>
        <w:tc>
          <w:tcPr>
            <w:tcW w:w="2502" w:type="dxa"/>
            <w:vMerge w:val="restart"/>
            <w:vAlign w:val="center"/>
          </w:tcPr>
          <w:p>
            <w:pPr>
              <w:pStyle w:val="10"/>
              <w:ind w:firstLine="0" w:firstLineChars="0"/>
              <w:rPr>
                <w:rFonts w:hint="default" w:ascii="Times New Roman" w:hAnsi="Times New Roman" w:eastAsia="Times New Roman" w:cs="Times New Roman"/>
                <w:sz w:val="20"/>
                <w:szCs w:val="20"/>
              </w:rPr>
            </w:pPr>
            <w:r>
              <w:t>基本支出</w:t>
            </w:r>
          </w:p>
        </w:tc>
        <w:tc>
          <w:tcPr>
            <w:tcW w:w="2503" w:type="dxa"/>
            <w:vMerge w:val="restart"/>
            <w:vAlign w:val="center"/>
          </w:tcPr>
          <w:p>
            <w:pPr>
              <w:pStyle w:val="10"/>
              <w:ind w:firstLine="0" w:firstLineChars="0"/>
              <w:rPr>
                <w:rFonts w:hint="default" w:ascii="Times New Roman" w:hAnsi="Times New Roman" w:eastAsia="Times New Roman" w:cs="Times New Roman"/>
                <w:sz w:val="20"/>
                <w:szCs w:val="20"/>
              </w:rPr>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40" w:hRule="atLeast"/>
          <w:tblHeader/>
          <w:jc w:val="center"/>
        </w:trPr>
        <w:tc>
          <w:tcPr>
            <w:tcW w:w="2502" w:type="dxa"/>
            <w:vMerge w:val="continue"/>
            <w:tcBorders/>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2503" w:type="dxa"/>
            <w:vAlign w:val="center"/>
          </w:tcPr>
          <w:p>
            <w:pPr>
              <w:pStyle w:val="10"/>
              <w:ind w:firstLine="0" w:firstLineChars="0"/>
              <w:rPr>
                <w:rFonts w:hint="default" w:ascii="Times New Roman" w:hAnsi="Times New Roman" w:eastAsia="Times New Roman" w:cs="Times New Roman"/>
                <w:sz w:val="20"/>
                <w:szCs w:val="20"/>
              </w:rPr>
            </w:pPr>
            <w:r>
              <w:t>科目编码</w:t>
            </w:r>
          </w:p>
        </w:tc>
        <w:tc>
          <w:tcPr>
            <w:tcW w:w="2503" w:type="dxa"/>
            <w:vAlign w:val="center"/>
          </w:tcPr>
          <w:p>
            <w:pPr>
              <w:pStyle w:val="10"/>
              <w:ind w:firstLine="0" w:firstLineChars="0"/>
              <w:rPr>
                <w:rFonts w:hint="default" w:ascii="Times New Roman" w:hAnsi="Times New Roman" w:eastAsia="Times New Roman" w:cs="Times New Roman"/>
                <w:sz w:val="20"/>
                <w:szCs w:val="20"/>
              </w:rPr>
            </w:pPr>
            <w:r>
              <w:t>科目名称</w:t>
            </w:r>
          </w:p>
        </w:tc>
        <w:tc>
          <w:tcPr>
            <w:tcW w:w="2503" w:type="dxa"/>
            <w:vMerge w:val="continue"/>
            <w:tcBorders/>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2502" w:type="dxa"/>
            <w:vMerge w:val="continue"/>
            <w:tcBorders/>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c>
          <w:tcPr>
            <w:tcW w:w="2503" w:type="dxa"/>
            <w:vMerge w:val="continue"/>
            <w:tcBorders/>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40" w:hRule="atLeast"/>
          <w:tblHeader/>
          <w:jc w:val="center"/>
        </w:trPr>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3" w:type="dxa"/>
            <w:vAlign w:val="center"/>
          </w:tcPr>
          <w:p>
            <w:pPr>
              <w:pStyle w:val="16"/>
              <w:widowControl/>
              <w:spacing w:beforeAutospacing="0" w:afterAutospacing="0"/>
              <w:ind w:left="0" w:right="0"/>
              <w:rPr>
                <w:rFonts w:hint="default"/>
              </w:rPr>
            </w:pPr>
          </w:p>
        </w:tc>
        <w:tc>
          <w:tcPr>
            <w:tcW w:w="2503"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2502" w:type="dxa"/>
            <w:vAlign w:val="center"/>
          </w:tcPr>
          <w:p>
            <w:pPr>
              <w:pStyle w:val="15"/>
              <w:widowControl/>
              <w:spacing w:beforeAutospacing="0" w:afterAutospacing="0"/>
              <w:ind w:left="0" w:right="0"/>
              <w:rPr>
                <w:rFonts w:hint="default"/>
              </w:rPr>
            </w:pPr>
          </w:p>
        </w:tc>
        <w:tc>
          <w:tcPr>
            <w:tcW w:w="2503"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城乡社区支出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国有土地使用权出让收入安排的支出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4133.25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2120804</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农村基础设施建设支出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1885.96</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1885.96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2120814</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农业生产发展支出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967.86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2120816</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农业农村生态环境支出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1211.44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502"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2120899</w:t>
            </w:r>
          </w:p>
        </w:tc>
        <w:tc>
          <w:tcPr>
            <w:tcW w:w="250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其他国有土地使用权出让收入安排的支出</w:t>
            </w: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68.00</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51"/>
        <w:gridCol w:w="2754"/>
        <w:gridCol w:w="2503"/>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326石家庄市鹿泉区农业农村局</w:t>
            </w:r>
          </w:p>
        </w:tc>
        <w:tc>
          <w:tcPr>
            <w:tcW w:w="7508"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51"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序号</w:t>
            </w:r>
          </w:p>
        </w:tc>
        <w:tc>
          <w:tcPr>
            <w:tcW w:w="5257" w:type="dxa"/>
            <w:gridSpan w:val="2"/>
            <w:vAlign w:val="center"/>
          </w:tcPr>
          <w:p>
            <w:pPr>
              <w:pStyle w:val="10"/>
              <w:widowControl/>
              <w:spacing w:beforeAutospacing="0" w:afterAutospacing="0"/>
              <w:ind w:left="0" w:right="0"/>
              <w:rPr>
                <w:rFonts w:hint="default"/>
              </w:rPr>
            </w:pPr>
            <w:r>
              <w:t>功能分类科目</w:t>
            </w:r>
          </w:p>
        </w:tc>
        <w:tc>
          <w:tcPr>
            <w:tcW w:w="250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02"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基本支出</w:t>
            </w:r>
          </w:p>
        </w:tc>
        <w:tc>
          <w:tcPr>
            <w:tcW w:w="2503"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51"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75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科目编码</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科目名称</w:t>
            </w:r>
          </w:p>
        </w:tc>
        <w:tc>
          <w:tcPr>
            <w:tcW w:w="250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2"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03"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25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75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02"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0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251" w:type="dxa"/>
            <w:vAlign w:val="center"/>
          </w:tcPr>
          <w:p>
            <w:pPr>
              <w:pStyle w:val="13"/>
              <w:widowControl/>
              <w:spacing w:beforeAutospacing="0" w:afterAutospacing="0"/>
              <w:ind w:left="0" w:right="0"/>
              <w:rPr>
                <w:rFonts w:hint="default"/>
              </w:rPr>
            </w:pPr>
          </w:p>
        </w:tc>
        <w:tc>
          <w:tcPr>
            <w:tcW w:w="2754" w:type="dxa"/>
            <w:vAlign w:val="center"/>
          </w:tcPr>
          <w:p>
            <w:pPr>
              <w:pStyle w:val="12"/>
              <w:widowControl/>
              <w:spacing w:beforeAutospacing="0" w:afterAutospacing="0"/>
              <w:ind w:left="0" w:right="0"/>
              <w:rPr>
                <w:rFonts w:hint="default"/>
              </w:rPr>
            </w:pPr>
          </w:p>
        </w:tc>
        <w:tc>
          <w:tcPr>
            <w:tcW w:w="2503" w:type="dxa"/>
            <w:vAlign w:val="center"/>
          </w:tcPr>
          <w:p>
            <w:pPr>
              <w:pStyle w:val="12"/>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p>
        </w:tc>
        <w:tc>
          <w:tcPr>
            <w:tcW w:w="2502" w:type="dxa"/>
            <w:vAlign w:val="center"/>
          </w:tcPr>
          <w:p>
            <w:pPr>
              <w:pStyle w:val="11"/>
              <w:widowControl/>
              <w:spacing w:beforeAutospacing="0" w:afterAutospacing="0"/>
              <w:ind w:left="0" w:right="0"/>
              <w:rPr>
                <w:rFonts w:hint="default"/>
              </w:rPr>
            </w:pPr>
          </w:p>
        </w:tc>
        <w:tc>
          <w:tcPr>
            <w:tcW w:w="2503" w:type="dxa"/>
            <w:vAlign w:val="center"/>
          </w:tcPr>
          <w:p>
            <w:pPr>
              <w:pStyle w:val="11"/>
              <w:widowControl/>
              <w:spacing w:beforeAutospacing="0" w:afterAutospacing="0"/>
              <w:ind w:left="0" w:right="0"/>
              <w:rPr>
                <w:rFonts w:hint="default"/>
              </w:rPr>
            </w:pPr>
          </w:p>
        </w:tc>
      </w:tr>
    </w:tbl>
    <w:p>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16"/>
        <w:gridCol w:w="2520"/>
        <w:gridCol w:w="2520"/>
        <w:gridCol w:w="52"/>
        <w:gridCol w:w="2468"/>
        <w:gridCol w:w="2520"/>
        <w:gridCol w:w="25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08" w:type="dxa"/>
            <w:gridSpan w:val="4"/>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326石家庄市鹿泉区农业农村局</w:t>
            </w:r>
          </w:p>
        </w:tc>
        <w:tc>
          <w:tcPr>
            <w:tcW w:w="7508" w:type="dxa"/>
            <w:gridSpan w:val="3"/>
            <w:tcBorders>
              <w:top w:val="single" w:color="FFFFFF" w:sz="6" w:space="0"/>
              <w:left w:val="single" w:color="FFFFFF" w:sz="6" w:space="0"/>
              <w:right w:val="single" w:color="FFFFFF" w:sz="6" w:space="0"/>
            </w:tcBorders>
            <w:vAlign w:val="center"/>
          </w:tcPr>
          <w:p>
            <w:pPr>
              <w:pStyle w:val="8"/>
              <w:widowControl/>
              <w:spacing w:beforeAutospacing="0" w:afterAutospacing="0"/>
              <w:ind w:left="0" w:right="0"/>
              <w:rPr>
                <w:rFonts w:hint="default"/>
              </w:rPr>
            </w:pPr>
            <w:r>
              <w:rPr>
                <w:rFonts w:hint="default" w:ascii="Times New Roman" w:hAnsi="Times New Roman" w:eastAsia="Times New Roman" w:cs="Times New Roman"/>
                <w:sz w:val="20"/>
                <w:szCs w:val="20"/>
              </w:rPr>
              <w:t>预算年度：2022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416" w:type="dxa"/>
            <w:vMerge w:val="restart"/>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序号</w:t>
            </w:r>
          </w:p>
        </w:tc>
        <w:tc>
          <w:tcPr>
            <w:tcW w:w="2520" w:type="dxa"/>
            <w:vMerge w:val="restart"/>
            <w:vAlign w:val="center"/>
          </w:tcPr>
          <w:p>
            <w:pPr>
              <w:pStyle w:val="10"/>
              <w:widowControl/>
              <w:spacing w:beforeAutospacing="0" w:afterAutospacing="0"/>
              <w:ind w:left="0" w:right="0"/>
              <w:rPr>
                <w:rFonts w:hint="eastAsia" w:eastAsia="方正书宋_GBK"/>
                <w:lang w:eastAsia="zh-CN"/>
              </w:rPr>
            </w:pPr>
            <w:r>
              <w:rPr>
                <w:rFonts w:hint="eastAsia"/>
                <w:lang w:eastAsia="zh-CN"/>
              </w:rPr>
              <w:t>项目</w:t>
            </w:r>
          </w:p>
        </w:tc>
        <w:tc>
          <w:tcPr>
            <w:tcW w:w="10080" w:type="dxa"/>
            <w:gridSpan w:val="5"/>
            <w:vAlign w:val="center"/>
          </w:tcPr>
          <w:p>
            <w:pPr>
              <w:pStyle w:val="10"/>
              <w:widowControl/>
              <w:spacing w:beforeAutospacing="0" w:afterAutospacing="0"/>
              <w:ind w:left="0" w:right="0"/>
              <w:rPr>
                <w:rFonts w:hint="default"/>
              </w:rPr>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16" w:type="dxa"/>
            <w:vMerge w:val="continue"/>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20"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5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20"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              财政拨款</w:t>
            </w:r>
          </w:p>
        </w:tc>
        <w:tc>
          <w:tcPr>
            <w:tcW w:w="25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政府性基金                  预算拨款</w:t>
            </w:r>
          </w:p>
        </w:tc>
        <w:tc>
          <w:tcPr>
            <w:tcW w:w="25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1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栏次</w:t>
            </w:r>
          </w:p>
        </w:tc>
        <w:tc>
          <w:tcPr>
            <w:tcW w:w="25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20" w:type="dxa"/>
            <w:gridSpan w:val="2"/>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20"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520"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2520" w:type="dxa"/>
            <w:vAlign w:val="center"/>
          </w:tcPr>
          <w:p>
            <w:pPr>
              <w:pStyle w:val="15"/>
              <w:widowControl/>
              <w:spacing w:beforeAutospacing="0" w:afterAutospacing="0"/>
              <w:ind w:left="0" w:right="0"/>
              <w:rPr>
                <w:rFonts w:hint="eastAsia" w:eastAsia="方正书宋_GBK"/>
                <w:lang w:val="en-US" w:eastAsia="zh-CN"/>
              </w:rPr>
            </w:pPr>
            <w:r>
              <w:rPr>
                <w:rFonts w:hint="eastAsia"/>
                <w:lang w:val="en-US" w:eastAsia="zh-CN"/>
              </w:rPr>
              <w:t>30.70</w:t>
            </w:r>
          </w:p>
        </w:tc>
        <w:tc>
          <w:tcPr>
            <w:tcW w:w="2520" w:type="dxa"/>
            <w:gridSpan w:val="2"/>
            <w:vAlign w:val="center"/>
          </w:tcPr>
          <w:p>
            <w:pPr>
              <w:pStyle w:val="15"/>
              <w:widowControl/>
              <w:spacing w:beforeAutospacing="0" w:afterAutospacing="0"/>
              <w:ind w:left="0" w:right="0"/>
              <w:rPr>
                <w:rFonts w:hint="eastAsia" w:eastAsia="方正书宋_GBK"/>
                <w:lang w:val="en-US" w:eastAsia="zh-CN"/>
              </w:rPr>
            </w:pPr>
            <w:r>
              <w:rPr>
                <w:rFonts w:hint="eastAsia"/>
                <w:lang w:val="en-US" w:eastAsia="zh-CN"/>
              </w:rPr>
              <w:t>30.70</w:t>
            </w:r>
          </w:p>
        </w:tc>
        <w:tc>
          <w:tcPr>
            <w:tcW w:w="2520" w:type="dxa"/>
            <w:vAlign w:val="center"/>
          </w:tcPr>
          <w:p>
            <w:pPr>
              <w:pStyle w:val="15"/>
              <w:widowControl/>
              <w:spacing w:beforeAutospacing="0" w:afterAutospacing="0"/>
              <w:ind w:left="0" w:right="0"/>
              <w:rPr>
                <w:rFonts w:hint="default"/>
              </w:rPr>
            </w:pPr>
          </w:p>
        </w:tc>
        <w:tc>
          <w:tcPr>
            <w:tcW w:w="2520" w:type="dxa"/>
            <w:vAlign w:val="center"/>
          </w:tcPr>
          <w:p>
            <w:pPr>
              <w:pStyle w:val="15"/>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5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“三公”经费小计</w:t>
            </w:r>
          </w:p>
        </w:tc>
        <w:tc>
          <w:tcPr>
            <w:tcW w:w="25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30.70</w:t>
            </w:r>
          </w:p>
        </w:tc>
        <w:tc>
          <w:tcPr>
            <w:tcW w:w="2520"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30.70</w:t>
            </w:r>
          </w:p>
        </w:tc>
        <w:tc>
          <w:tcPr>
            <w:tcW w:w="2520" w:type="dxa"/>
            <w:vAlign w:val="center"/>
          </w:tcPr>
          <w:p>
            <w:pPr>
              <w:pStyle w:val="11"/>
              <w:widowControl/>
              <w:spacing w:beforeAutospacing="0" w:afterAutospacing="0"/>
              <w:ind w:left="0" w:right="0"/>
              <w:rPr>
                <w:rFonts w:hint="default"/>
              </w:rPr>
            </w:pPr>
          </w:p>
        </w:tc>
        <w:tc>
          <w:tcPr>
            <w:tcW w:w="252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25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一、因公出国（境）费</w:t>
            </w:r>
          </w:p>
        </w:tc>
        <w:tc>
          <w:tcPr>
            <w:tcW w:w="2520" w:type="dxa"/>
            <w:vAlign w:val="center"/>
          </w:tcPr>
          <w:p>
            <w:pPr>
              <w:pStyle w:val="11"/>
              <w:widowControl/>
              <w:spacing w:beforeAutospacing="0" w:afterAutospacing="0"/>
              <w:ind w:left="0" w:right="0"/>
              <w:rPr>
                <w:rFonts w:hint="default"/>
              </w:rPr>
            </w:pPr>
          </w:p>
        </w:tc>
        <w:tc>
          <w:tcPr>
            <w:tcW w:w="2520" w:type="dxa"/>
            <w:gridSpan w:val="2"/>
            <w:vAlign w:val="center"/>
          </w:tcPr>
          <w:p>
            <w:pPr>
              <w:pStyle w:val="11"/>
              <w:widowControl/>
              <w:spacing w:beforeAutospacing="0" w:afterAutospacing="0"/>
              <w:ind w:left="0" w:right="0"/>
              <w:rPr>
                <w:rFonts w:hint="default"/>
              </w:rPr>
            </w:pPr>
          </w:p>
        </w:tc>
        <w:tc>
          <w:tcPr>
            <w:tcW w:w="2520" w:type="dxa"/>
            <w:vAlign w:val="center"/>
          </w:tcPr>
          <w:p>
            <w:pPr>
              <w:pStyle w:val="11"/>
              <w:widowControl/>
              <w:spacing w:beforeAutospacing="0" w:afterAutospacing="0"/>
              <w:ind w:left="0" w:right="0"/>
              <w:rPr>
                <w:rFonts w:hint="default"/>
              </w:rPr>
            </w:pPr>
          </w:p>
        </w:tc>
        <w:tc>
          <w:tcPr>
            <w:tcW w:w="252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5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其中：教学科研人员因公出国（境）费</w:t>
            </w:r>
          </w:p>
        </w:tc>
        <w:tc>
          <w:tcPr>
            <w:tcW w:w="2520" w:type="dxa"/>
            <w:vAlign w:val="center"/>
          </w:tcPr>
          <w:p>
            <w:pPr>
              <w:pStyle w:val="11"/>
              <w:widowControl/>
              <w:spacing w:beforeAutospacing="0" w:afterAutospacing="0"/>
              <w:ind w:left="0" w:right="0"/>
              <w:rPr>
                <w:rFonts w:hint="default"/>
              </w:rPr>
            </w:pPr>
          </w:p>
        </w:tc>
        <w:tc>
          <w:tcPr>
            <w:tcW w:w="2520" w:type="dxa"/>
            <w:gridSpan w:val="2"/>
            <w:vAlign w:val="center"/>
          </w:tcPr>
          <w:p>
            <w:pPr>
              <w:pStyle w:val="11"/>
              <w:widowControl/>
              <w:spacing w:beforeAutospacing="0" w:afterAutospacing="0"/>
              <w:ind w:left="0" w:right="0"/>
              <w:rPr>
                <w:rFonts w:hint="default"/>
              </w:rPr>
            </w:pPr>
          </w:p>
        </w:tc>
        <w:tc>
          <w:tcPr>
            <w:tcW w:w="2520" w:type="dxa"/>
            <w:vAlign w:val="center"/>
          </w:tcPr>
          <w:p>
            <w:pPr>
              <w:pStyle w:val="11"/>
              <w:widowControl/>
              <w:spacing w:beforeAutospacing="0" w:afterAutospacing="0"/>
              <w:ind w:left="0" w:right="0"/>
              <w:rPr>
                <w:rFonts w:hint="default"/>
              </w:rPr>
            </w:pPr>
          </w:p>
        </w:tc>
        <w:tc>
          <w:tcPr>
            <w:tcW w:w="252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5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其他因公出国（境）费</w:t>
            </w:r>
          </w:p>
        </w:tc>
        <w:tc>
          <w:tcPr>
            <w:tcW w:w="2520" w:type="dxa"/>
            <w:vAlign w:val="center"/>
          </w:tcPr>
          <w:p>
            <w:pPr>
              <w:pStyle w:val="11"/>
              <w:widowControl/>
              <w:spacing w:beforeAutospacing="0" w:afterAutospacing="0"/>
              <w:ind w:left="0" w:right="0"/>
              <w:rPr>
                <w:rFonts w:hint="default"/>
              </w:rPr>
            </w:pPr>
          </w:p>
        </w:tc>
        <w:tc>
          <w:tcPr>
            <w:tcW w:w="2520" w:type="dxa"/>
            <w:gridSpan w:val="2"/>
            <w:vAlign w:val="center"/>
          </w:tcPr>
          <w:p>
            <w:pPr>
              <w:pStyle w:val="11"/>
              <w:widowControl/>
              <w:spacing w:beforeAutospacing="0" w:afterAutospacing="0"/>
              <w:ind w:left="0" w:right="0"/>
              <w:rPr>
                <w:rFonts w:hint="default"/>
              </w:rPr>
            </w:pPr>
          </w:p>
        </w:tc>
        <w:tc>
          <w:tcPr>
            <w:tcW w:w="2520" w:type="dxa"/>
            <w:vAlign w:val="center"/>
          </w:tcPr>
          <w:p>
            <w:pPr>
              <w:pStyle w:val="11"/>
              <w:widowControl/>
              <w:spacing w:beforeAutospacing="0" w:afterAutospacing="0"/>
              <w:ind w:left="0" w:right="0"/>
              <w:rPr>
                <w:rFonts w:hint="default"/>
              </w:rPr>
            </w:pPr>
          </w:p>
        </w:tc>
        <w:tc>
          <w:tcPr>
            <w:tcW w:w="252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5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二、公务用车购置及运维费</w:t>
            </w:r>
          </w:p>
        </w:tc>
        <w:tc>
          <w:tcPr>
            <w:tcW w:w="25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29.70</w:t>
            </w:r>
          </w:p>
        </w:tc>
        <w:tc>
          <w:tcPr>
            <w:tcW w:w="2520"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29.70</w:t>
            </w:r>
          </w:p>
        </w:tc>
        <w:tc>
          <w:tcPr>
            <w:tcW w:w="2520" w:type="dxa"/>
            <w:vAlign w:val="center"/>
          </w:tcPr>
          <w:p>
            <w:pPr>
              <w:pStyle w:val="11"/>
              <w:widowControl/>
              <w:spacing w:beforeAutospacing="0" w:afterAutospacing="0"/>
              <w:ind w:left="0" w:right="0"/>
              <w:rPr>
                <w:rFonts w:hint="default"/>
              </w:rPr>
            </w:pPr>
          </w:p>
        </w:tc>
        <w:tc>
          <w:tcPr>
            <w:tcW w:w="252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7</w:t>
            </w:r>
          </w:p>
        </w:tc>
        <w:tc>
          <w:tcPr>
            <w:tcW w:w="25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其中：公务用车购置费</w:t>
            </w:r>
          </w:p>
        </w:tc>
        <w:tc>
          <w:tcPr>
            <w:tcW w:w="2520" w:type="dxa"/>
            <w:vAlign w:val="center"/>
          </w:tcPr>
          <w:p>
            <w:pPr>
              <w:pStyle w:val="11"/>
              <w:widowControl/>
              <w:spacing w:beforeAutospacing="0" w:afterAutospacing="0"/>
              <w:ind w:left="0" w:right="0"/>
              <w:rPr>
                <w:rFonts w:hint="default"/>
              </w:rPr>
            </w:pPr>
          </w:p>
        </w:tc>
        <w:tc>
          <w:tcPr>
            <w:tcW w:w="2520" w:type="dxa"/>
            <w:gridSpan w:val="2"/>
            <w:vAlign w:val="center"/>
          </w:tcPr>
          <w:p>
            <w:pPr>
              <w:pStyle w:val="11"/>
              <w:widowControl/>
              <w:spacing w:beforeAutospacing="0" w:afterAutospacing="0"/>
              <w:ind w:left="0" w:right="0"/>
              <w:rPr>
                <w:rFonts w:hint="default"/>
              </w:rPr>
            </w:pPr>
          </w:p>
        </w:tc>
        <w:tc>
          <w:tcPr>
            <w:tcW w:w="2520" w:type="dxa"/>
            <w:vAlign w:val="center"/>
          </w:tcPr>
          <w:p>
            <w:pPr>
              <w:pStyle w:val="11"/>
              <w:widowControl/>
              <w:spacing w:beforeAutospacing="0" w:afterAutospacing="0"/>
              <w:ind w:left="0" w:right="0"/>
              <w:rPr>
                <w:rFonts w:hint="default"/>
              </w:rPr>
            </w:pPr>
          </w:p>
        </w:tc>
        <w:tc>
          <w:tcPr>
            <w:tcW w:w="252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8</w:t>
            </w:r>
          </w:p>
        </w:tc>
        <w:tc>
          <w:tcPr>
            <w:tcW w:w="25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          公务用车运行维护费</w:t>
            </w:r>
          </w:p>
        </w:tc>
        <w:tc>
          <w:tcPr>
            <w:tcW w:w="25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29.70</w:t>
            </w:r>
          </w:p>
        </w:tc>
        <w:tc>
          <w:tcPr>
            <w:tcW w:w="2520"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29.70</w:t>
            </w:r>
          </w:p>
        </w:tc>
        <w:tc>
          <w:tcPr>
            <w:tcW w:w="2520" w:type="dxa"/>
            <w:vAlign w:val="center"/>
          </w:tcPr>
          <w:p>
            <w:pPr>
              <w:pStyle w:val="11"/>
              <w:widowControl/>
              <w:spacing w:beforeAutospacing="0" w:afterAutospacing="0"/>
              <w:ind w:left="0" w:right="0"/>
              <w:rPr>
                <w:rFonts w:hint="default"/>
              </w:rPr>
            </w:pPr>
          </w:p>
        </w:tc>
        <w:tc>
          <w:tcPr>
            <w:tcW w:w="2520" w:type="dxa"/>
            <w:vAlign w:val="center"/>
          </w:tcPr>
          <w:p>
            <w:pPr>
              <w:pStyle w:val="11"/>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241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9</w:t>
            </w:r>
          </w:p>
        </w:tc>
        <w:tc>
          <w:tcPr>
            <w:tcW w:w="2520"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三、公务接待费</w:t>
            </w:r>
          </w:p>
        </w:tc>
        <w:tc>
          <w:tcPr>
            <w:tcW w:w="2520"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520" w:type="dxa"/>
            <w:gridSpan w:val="2"/>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520" w:type="dxa"/>
            <w:vAlign w:val="center"/>
          </w:tcPr>
          <w:p>
            <w:pPr>
              <w:pStyle w:val="11"/>
              <w:widowControl/>
              <w:spacing w:beforeAutospacing="0" w:afterAutospacing="0"/>
              <w:ind w:left="0" w:right="0"/>
              <w:rPr>
                <w:rFonts w:hint="default"/>
              </w:rPr>
            </w:pPr>
          </w:p>
        </w:tc>
        <w:tc>
          <w:tcPr>
            <w:tcW w:w="2520" w:type="dxa"/>
            <w:vAlign w:val="center"/>
          </w:tcPr>
          <w:p>
            <w:pPr>
              <w:pStyle w:val="11"/>
              <w:widowControl/>
              <w:spacing w:beforeAutospacing="0" w:afterAutospacing="0"/>
              <w:ind w:left="0" w:right="0"/>
              <w:rPr>
                <w:rFonts w:hint="default"/>
              </w:rPr>
            </w:pPr>
          </w:p>
        </w:tc>
      </w:tr>
    </w:tbl>
    <w:p>
      <w:pPr>
        <w:spacing w:before="0" w:after="0" w:line="240" w:lineRule="auto"/>
        <w:ind w:firstLine="0"/>
        <w:jc w:val="center"/>
        <w:outlineLvl w:val="0"/>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FFFFFF"/>
          <w:sz w:val="21"/>
        </w:rPr>
        <w:t>第一部分  石家庄市鹿泉区农业农村局2022年部门预算信息公开情况说明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石家庄市鹿泉区农业农村局2022年部门预算信息公开情况说明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按照《预算法》、《地方预决算公开操作规程》和《关于进一步推进预算公开工作的实施意见》规定，现将石家庄市鹿泉区农业农村局2022年部门预算公开如下：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根据《石家庄市鹿泉区农业农村局职能配置、内设机构和人员编制规定》， 石家庄市鹿泉区农业农村局的主要职责是：</w:t>
      </w:r>
    </w:p>
    <w:p>
      <w:pPr>
        <w:pStyle w:val="17"/>
      </w:pPr>
      <w:r>
        <w:t>（一）统筹研究和组织实施全区“三农”工作的发展战略、中长期规划、重大政策。负责全区农业综合执法。参与涉农的财税、价格、收储、金融保险、进出口等政策制定。</w:t>
      </w:r>
    </w:p>
    <w:p>
      <w:pPr>
        <w:pStyle w:val="17"/>
      </w:pPr>
      <w:r>
        <w:t>（二）协调推动发展全区农村社会事业、农村公共服务、农村文化、农村基础设施和乡村治理。牵头组织改善农村人居环境。协调推进乡村文明和优秀农耕文化建设。指导农业行业安全生产工作。</w:t>
      </w:r>
    </w:p>
    <w:p>
      <w:pPr>
        <w:pStyle w:val="17"/>
      </w:pPr>
      <w:r>
        <w:t>（三）拟订区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pStyle w:val="17"/>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pPr>
        <w:pStyle w:val="17"/>
      </w:pPr>
      <w: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17"/>
      </w:pPr>
      <w:r>
        <w:t>（六）负责全区农产品质量安全监督管理。组织开展农产品质量安全监测、追溯、风险评估和监督抽查。参与制定农产品质量安全地方标准并会同有关部门组织实施。指导农业检验监测体系建设。</w:t>
      </w:r>
    </w:p>
    <w:p>
      <w:pPr>
        <w:pStyle w:val="17"/>
      </w:pPr>
      <w: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17"/>
      </w:pPr>
      <w:r>
        <w:t>（八）负责有关农业生产资料和农业投入品的监督管理。组织农业生产资料市场体系建设，监督实施有关农业生产资料上级标准、兽药残留限量和残留检测方法上级标准。组织兽医医政、兽药药政药检工作，负责执业兽医和畜禽屠宰行业管理。</w:t>
      </w:r>
    </w:p>
    <w:p>
      <w:pPr>
        <w:pStyle w:val="17"/>
      </w:pPr>
      <w:r>
        <w:t>（九）负责农业防灾减灾、农作物重大病虫害预测预报及防治工作。指导动植物防疫检疫体系建设，组织、监督全区动植物防疫检疫工作，依法发布疫情并组织扑灭。</w:t>
      </w:r>
    </w:p>
    <w:p>
      <w:pPr>
        <w:pStyle w:val="17"/>
      </w:pPr>
      <w: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17"/>
      </w:pPr>
      <w:r>
        <w:t>（十二）负责农业农村人才工作。拟订农业农村人才队伍建设规划并组织实施，指导农业教育和农业职业技能开发，指导新型职业农民培育、农业科技人才培养和农村实用人才培训工作。</w:t>
      </w:r>
    </w:p>
    <w:p>
      <w:pPr>
        <w:pStyle w:val="17"/>
      </w:pPr>
      <w:r>
        <w:t>（十三）牵头开展农业对外合作工作。组织开展对外农业贸易和有关交流合作。</w:t>
      </w:r>
    </w:p>
    <w:p>
      <w:pPr>
        <w:pStyle w:val="17"/>
      </w:pPr>
      <w:r>
        <w:t>（十四）完成区委、区政府和区委农村工作领导小组交办的其他任务。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02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91"/>
        <w:gridCol w:w="2196"/>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091"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单位名称</w:t>
            </w:r>
          </w:p>
        </w:tc>
        <w:tc>
          <w:tcPr>
            <w:tcW w:w="219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单位性质</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单位规格</w:t>
            </w:r>
          </w:p>
        </w:tc>
        <w:tc>
          <w:tcPr>
            <w:tcW w:w="246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石家庄市鹿泉区农业农村局本级</w:t>
            </w:r>
          </w:p>
        </w:tc>
        <w:tc>
          <w:tcPr>
            <w:tcW w:w="21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行政</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正科级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石家庄市鹿泉区农产品综合质检站</w:t>
            </w:r>
          </w:p>
        </w:tc>
        <w:tc>
          <w:tcPr>
            <w:tcW w:w="21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石家庄市鹿泉区新能源服务中心</w:t>
            </w:r>
          </w:p>
        </w:tc>
        <w:tc>
          <w:tcPr>
            <w:tcW w:w="21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副科级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石家庄市鹿泉区农机安全监理站</w:t>
            </w:r>
          </w:p>
        </w:tc>
        <w:tc>
          <w:tcPr>
            <w:tcW w:w="21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石家庄市鹿泉区植物保护检疫站</w:t>
            </w:r>
          </w:p>
        </w:tc>
        <w:tc>
          <w:tcPr>
            <w:tcW w:w="21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石家庄市鹿泉区农业机械化技术推广站</w:t>
            </w:r>
          </w:p>
        </w:tc>
        <w:tc>
          <w:tcPr>
            <w:tcW w:w="21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石家庄市鹿泉区农业技术推广中心</w:t>
            </w:r>
          </w:p>
        </w:tc>
        <w:tc>
          <w:tcPr>
            <w:tcW w:w="21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石家庄市鹿泉区气象灾害防御中心</w:t>
            </w:r>
          </w:p>
        </w:tc>
        <w:tc>
          <w:tcPr>
            <w:tcW w:w="21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河北省农业广播电视学校石家庄市鹿泉区分校</w:t>
            </w:r>
          </w:p>
        </w:tc>
        <w:tc>
          <w:tcPr>
            <w:tcW w:w="21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正科级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石家庄市鹿泉区水产技术推广中心</w:t>
            </w:r>
          </w:p>
        </w:tc>
        <w:tc>
          <w:tcPr>
            <w:tcW w:w="21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股级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091"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石家庄市鹿泉区农业综合开发中心</w:t>
            </w:r>
          </w:p>
        </w:tc>
        <w:tc>
          <w:tcPr>
            <w:tcW w:w="219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事业</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正科级</w:t>
            </w:r>
          </w:p>
        </w:tc>
        <w:tc>
          <w:tcPr>
            <w:tcW w:w="246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区</w:t>
      </w:r>
      <w:r>
        <w:rPr>
          <w:rFonts w:ascii="Times New Roman" w:hAnsi="Times New Roman" w:eastAsia="方正仿宋_GBK" w:cs="Times New Roman"/>
          <w:color w:val="000000"/>
          <w:sz w:val="28"/>
        </w:rPr>
        <w:t>部门预算的编制实行综合预算管理，即全部收入和支出都反映在预算中。石家庄市鹿泉区农业农村局机关及所属事业单位的收支包含在部门预算中。</w:t>
      </w:r>
    </w:p>
    <w:p>
      <w:pPr>
        <w:pStyle w:val="18"/>
      </w:pPr>
      <w:r>
        <w:t>1、收入说明</w:t>
      </w:r>
    </w:p>
    <w:p>
      <w:pPr>
        <w:pStyle w:val="18"/>
      </w:pPr>
      <w:r>
        <w:t>反映本部门当年全部收入。2022年预算收入20615.04万元，其中：一般公共预算收入13683.02万元，基金预算收入3840.43万元，上年结转结余3091.58万元。</w:t>
      </w:r>
    </w:p>
    <w:p>
      <w:pPr>
        <w:pStyle w:val="18"/>
      </w:pPr>
      <w:r>
        <w:t>2、支出说明</w:t>
      </w:r>
    </w:p>
    <w:p>
      <w:pPr>
        <w:pStyle w:val="18"/>
      </w:pPr>
      <w:r>
        <w:t>收支预算总表支出栏、基本支出表、项目支出表按经济分类和支出功能分类科目编制，反映鹿泉区农业农村局年度部门预算中支出预算的总体情况。2022年支出预算20615.04万元，其中基本支出4181.53万元，包括人员经费3683.39万元和日常公用经费498.14万元；项目支出16433.50万元，主要为高标准农田建设、奶业振兴、农村人居环境整治项目等；上年结转安排3091.58万元，主要为中央农业生产发展项目等。</w:t>
      </w:r>
    </w:p>
    <w:p>
      <w:pPr>
        <w:pStyle w:val="18"/>
      </w:pPr>
      <w:r>
        <w:t>3、比上年增减情况</w:t>
      </w:r>
    </w:p>
    <w:p>
      <w:pPr>
        <w:pStyle w:val="18"/>
      </w:pPr>
      <w:r>
        <w:t>2022年预算收支安排20615.04万元，较2021年预算增加8204.28万元，其中：基本支出增加211.54万元，主要为人员经费支出增加；项目支出增加7859.72万元，主要为上级下达高标准农田建设项目、畜禽现代种业提升工程项目增加；结转安排增加3091.58万元，主要为中央农业生产发展项目等。</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9"/>
      </w:pPr>
      <w:r>
        <w:t>2022年，我局机关运行经费共计安排498.14万元，主要用于保证机关正常运转的办公及印刷费、邮电费、差旅费、会议费、福利费、专用材料及一般设备购置费、办公用房水电费、办公用房取暖费、日常维修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我局财政拨款“三公”经费预算安排30.7万元，其中因公出国（境）费0万元；公务用车购置及运维费29.7万元（其中：公务用车购置费为0万元，公务用车运维费29.7万元)；公务接待费1万元。与2021年相比减少0.7万元，减少的主要原因是：公务接待费减少0.7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r>
        <w:t>2022年，我局将践行新发展理念，按照高质量发展要求，加快建设特色现代农业，全面深化农业农村改革。聚焦全面实施乡村振兴战略这个中心；提升奶业全产业链竞争力，全面实现奶业振兴；助力提升农产品质量安全水平，农产品质量监测合格率保持在98.5%以上；打好农村人居环境整治硬仗，使全区农村人居环境明显改善；切实利用好农村改革成果，确保农村(股份)经济合作社资产的保值增值；开发确权登记管理制度和成果应用平台并上线运行，为农户提供便利服务；优化农业生产布局，加快优质小麦、高端设施蔬菜、特色林果业发展；强化重大动物植物疫病防控，严格落实非洲猪瘟和草地贪夜蛾防控措施，做好春秋两季重大动物疫病防控和日常病虫害监测；培育壮大新型经营主体，引导和支持新型农业经营主体发展新产业新业态，扩大就业容量，吸纳农户增收致富；做大做强农业产业化龙头企业，继续开展农业产业化联合体四级联创活动；巩固脱贫攻坚成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职责分类绩效目标：</w:t>
      </w:r>
    </w:p>
    <w:p>
      <w:pPr>
        <w:pStyle w:val="22"/>
      </w:pPr>
    </w:p>
    <w:p>
      <w:pPr>
        <w:pStyle w:val="22"/>
      </w:pPr>
      <w:r>
        <w:t>一、农业资源保护和生态建设</w:t>
      </w:r>
    </w:p>
    <w:p>
      <w:pPr>
        <w:pStyle w:val="22"/>
      </w:pPr>
      <w:r>
        <w:t>绩效目标:实现清洁能源的高效利用，减少大气污染排放，改善农村环境；开展零散秸秆综合利用，减少农作物秸秆焚烧，改善城乡居民生活条件。</w:t>
      </w:r>
    </w:p>
    <w:p>
      <w:pPr>
        <w:pStyle w:val="22"/>
      </w:pPr>
      <w:r>
        <w:t>二、农牧渔业科技支撑和公共服务</w:t>
      </w:r>
    </w:p>
    <w:p>
      <w:pPr>
        <w:pStyle w:val="22"/>
      </w:pPr>
      <w:r>
        <w:t>绩效目标:开展耕地深松作业，通过实施农机深松作业，有效节约水资源，提高肥料利用率；落实农机购置补贴政策，开展农机新机具、新技术宣传培训，加强主要农作物生产关键环节所需的、大马力、高性能、绿色环保型农机装备推广力度；加强农产品质量安全监管体系建设，指导农产品检验检测体系建设和机构考核，依法实施符合安全标准的农产品认证和监督管理；组织开展农产品质量安全的监督检查。开展植物防疫检疫及农作物病虫害监测预警，发布病虫情报，建立完善植物防疫和检疫体系。指导组织开展社会化防治；落实重大动物防疫政策，建立完善防疫体系，组织乡、村开展动物疫病防控工作，做好疫情诊断并组织扑疫，完善应急储备工作。</w:t>
      </w:r>
    </w:p>
    <w:p>
      <w:pPr>
        <w:pStyle w:val="22"/>
      </w:pPr>
      <w:r>
        <w:t>三、完善农村经营管理体制</w:t>
      </w:r>
    </w:p>
    <w:p>
      <w:pPr>
        <w:pStyle w:val="22"/>
      </w:pPr>
      <w:r>
        <w:t>绩效目标:进一步完善农村土地承包关系，保护农民利益，促进规模化经营；提高农村财务人员、合作社财务人员业务素质；完成全区村级清产核资工作；促进土地加速流转；解决农村土地承包纠纷；促进新型农业经营主体发展。</w:t>
      </w:r>
    </w:p>
    <w:p>
      <w:pPr>
        <w:pStyle w:val="22"/>
      </w:pPr>
      <w:r>
        <w:t>四、农牧渔业行政综合执法规范化建设</w:t>
      </w:r>
    </w:p>
    <w:p>
      <w:pPr>
        <w:pStyle w:val="22"/>
      </w:pPr>
      <w:r>
        <w:t>绩效目标:保障动物及动物产品安全；完善执法规范化建设相关制度，开展法律法规宣传，加强水产养殖户信息和捕捞渔船信息管理；查处违法行为，杜绝辖区内使用国家禁用药物或者淘汰的饲料、饲料添加剂的违法行为；保证出厂肉品质量安全。严厉打击私屠滥宰行为，保证我区肉产品质量安全。对畜禽屠宰从业人员全员培训并考核合格；加强农药执法监管力度，规范农资经营，提高执法水平。</w:t>
      </w:r>
    </w:p>
    <w:p>
      <w:pPr>
        <w:pStyle w:val="22"/>
      </w:pPr>
      <w:r>
        <w:t>五、指导全区农业产业化工作</w:t>
      </w:r>
    </w:p>
    <w:p>
      <w:pPr>
        <w:pStyle w:val="22"/>
      </w:pPr>
      <w:r>
        <w:t>绩效目标:通过指导、扶持农业龙头企业发展，实施农业产业化项目，推动龙头企业扩规模、创品牌、增效益，增强农业产业化经营实力。通过开展农业产业化工作，加快培育发展辐射面广、带动能力大、市场竞争能力强的国家、省、市级农业产业化龙头企业。提升全区农业产业化整体水平。</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1、提高思想认识，强化责任落实。全区农牧业发展要以科学发展观为指导，深入实施以生态建设为主的农牧业发展战略，在坚持政府主导的基础上，依靠体制改革和机制创新，充分调动社会和群众的积极性，加快建设完备的农牧业产业体系和高新的农牧业科技推广体系。强化行政领导和技术指导，建立和健全目标管理责任制。</w:t>
      </w:r>
    </w:p>
    <w:p>
      <w:pPr>
        <w:pStyle w:val="23"/>
      </w:pPr>
      <w:r>
        <w:t>2、加大扶持力度，强化产业建设。针对全区农牧业产业的情况，通过建立完善扶持政策，建立农牧业产业专项扶持资金，同时积极争取上级资金。突出抓好农产品加工业、休闲农业等产业项目的发展，促进我区农牧业实现产业化的转变。</w:t>
      </w:r>
    </w:p>
    <w:p>
      <w:pPr>
        <w:pStyle w:val="23"/>
      </w:pPr>
      <w:r>
        <w:t>3、增加科技含量，强化科技推广。要强化农牧业科技推广意识，把落实好农牧业技术推广工作，将农牧业科技推广工作做深、做细、做实，极大地发挥科技推广技术在农牧业发展中的支撑作用，进一步提高农牧业科技含量。</w:t>
      </w:r>
    </w:p>
    <w:p>
      <w:pPr>
        <w:pStyle w:val="23"/>
      </w:pPr>
      <w:r>
        <w:t>4、抓好自身建设，更好提供服务。不断提高自身素质，以自学与集中学习相结合的方式认真学习相关方针政策，同时利用专业培训的机会不断充实自己，丰富专业知识储备，“走出去，请进来”积极学习外地先进经验；深入田间地头，身体力行，将理论与实际相结合，不断提高实践能力，为更好地服务广大农户打下坚实的基础。</w:t>
      </w:r>
    </w:p>
    <w:p>
      <w:pPr>
        <w:pStyle w:val="23"/>
      </w:pPr>
      <w:r>
        <w:t>5、完善制度建设。包括制定完善资金管理办法、工作保障制度等。</w:t>
      </w:r>
    </w:p>
    <w:p>
      <w:pPr>
        <w:pStyle w:val="23"/>
      </w:pPr>
      <w:r>
        <w:t>6、加强支出管理。通过优化支出结构、编细编实预算、加快履行政府采购手续、尽快启动项目、及时支付资金、按规定及时下达资金等多种措施，加快支出进度。</w:t>
      </w:r>
    </w:p>
    <w:p>
      <w:pPr>
        <w:pStyle w:val="23"/>
      </w:pPr>
      <w:r>
        <w:t>7、加强绩效运行监控。按财政要求开展绩效运行监控，发现问题及时采取措施，确保绩效目标如期保质实现。</w:t>
      </w:r>
    </w:p>
    <w:p>
      <w:pPr>
        <w:pStyle w:val="23"/>
      </w:pPr>
      <w:r>
        <w:t>8、规范财务资产管理。完善财务管理制度，严格审批程序，加强固定资产登记、使用和报废处置管理，做到支出合理，物尽其用。</w:t>
      </w:r>
    </w:p>
    <w:p>
      <w:pPr>
        <w:pStyle w:val="23"/>
      </w:pPr>
      <w:r>
        <w:t>9、加强内部监督。加强内部监督，对绩效运行情况、重大支出决策、对外投资、资产处置及其他重要经济业务事项的决策和执行进行督导，对会计资料进行内部审计，并配合做好审计、财政监督等外部监督工作，确保财政资金安全有效。</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spacing w:before="0" w:after="0" w:line="240" w:lineRule="auto"/>
        <w:ind w:firstLine="640"/>
        <w:jc w:val="left"/>
        <w:outlineLvl w:val="9"/>
      </w:pPr>
      <w:r>
        <w:rPr>
          <w:rFonts w:ascii="方正仿宋_GBK" w:hAnsi="方正仿宋_GBK" w:eastAsia="方正仿宋_GBK" w:cs="方正仿宋_GBK"/>
          <w:b/>
          <w:color w:val="000000"/>
          <w:sz w:val="28"/>
        </w:rPr>
        <w:t>1、病死畜禽无害化处理补助（2022）绩效目标表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1.对病死猪的收集运输和无害化处理过程进行补贴，补贴率达到100%，</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实际处理数量占应处理数量比率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55（含）cm以下45元/头（收集运输费10元/头、无害化处理费35元/头）</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55-100（含）cm的90元/头（收集运输费15元/头、无害化处理费75元/头）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100cm以上160元/头（收集运输费35元/头，无害化处理费125元/头）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每半年拨付一次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每半年拨付一次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因病死畜禽原因引起的疫病传播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因病死畜禽原因引起的疫病传播次数0次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因病死畜禽原因引起的疫病传播次数0次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受益对象满意度≥95%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2、病死畜禽无害化处理体系运行经费（2022）绩效目标表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1.实现全区208个村病死畜禽无害化处理全覆盖。</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实际进行病死畜禽无害化处理的数量占应进行无害化处理数量的比例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病死畜禽无害化处理覆盖范围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病死畜禽无害化处理覆盖范围到达鹿泉区208个村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财政投入运行费用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财政投入运行费用15万元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及时处理病死畜禽数量占应处理病死畜禽数量的比例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因病死畜禽原因引起的疫病传播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因病死畜禽原因引起的疫病传播次数0次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因病死畜禽原因引起的疫病传播次数0次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受益对象满意度≥95%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3、创建全国乡村治理示范县（区）工作经费（2022）绩效目标表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1.通过创建全国乡村治理体系试点县工作，对维护农村和谐稳定，引导村民友爱向善、解决社会治理难题、建设平安乡村、夯实农村基层党组织堡垒、发挥农村青年、乡贤等各类人才的积极作用.</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制作鹿泉区关于乡村治理体系试点县创建的宣传画册数量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制作鹿泉区关于乡村治理体系试点县创建的宣传画册1本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石家庄市鹿泉区创建全国乡村治理体系建设试点县实施方案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制作乡镇重点村宣传展板数量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制作乡镇重点村宣传展板数量不少10个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石家庄市鹿泉区创建全国乡村治理体系建设试点县实施方案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召开全国乡村治理验收会议次数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召开全国乡村治理验收会议次数不少于1次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石家庄市鹿泉区创建全国乡村治理体系建设试点县实施方案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石家庄市鹿泉区创建全国乡村治理体系建设试点县实施方案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石家庄市鹿泉区创建全国乡村治理体系建设试点县实施方案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受益人数不少于10万人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石家庄市鹿泉区创建全国乡村治理体系建设试点县实施方案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4、村级防疫员经费绩效目标表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1.为我区200名村级防疫员每月每人发放3个月误工补助200元；对春秋两季强制免疫病种进行免疫防控，免疫密度达到100%，减少全年全区的疫情发生。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村级防疫员误工补助发放人数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村级防疫员误工补助发放200人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防疫员防疫工作内容完成率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防疫员实际完成防疫工作内容占全部工作内容的比例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及时发放防疫员误工补助占应发放补助的比例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防疫员误工补助发放标准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防疫员误工补助每月每人发放200元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200元/月/人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动物疫情全年发放次数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动物全年疫情发生次数不高于1次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5、村级集体经济发展专项资金（2022）绩效目标表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1.扶持村集体经济年收入50万元以下的村10个，每村补助50万元，以项目形式帮扶村发展集体经济项目，项目收益率不低于6%</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补助村集体个数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实际补助土村集体10个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《关于进一步发展壮大农村集体经济的方案》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实际补贴资金占应发放补贴资金的比例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《关于进一步发展壮大农村集体经济的方案》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村集体经济补助按时发放完成率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按时完成发放村集体经济补助的资金占总补助资金的比例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《关于进一步发展壮大农村集体经济的方案》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扶持村集体经济组织的补助标准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扶持村集体经济年收入50万元以下的村10个，每村补助50万元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&lt;50万元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《关于进一步发展壮大农村集体经济的方案》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村集体项目收益率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以发展项目形式帮助村发展集体经济，村集体项目收益率达到6%</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《关于进一步发展壮大农村集体经济的方案》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被补助村集体满意度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被补助村集体满意度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6、村级技术员补助（2022）绩效目标表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1.各乡镇选聘村级农业技术员195名；组织召开技术培训、现场观摩会。印发技术资料、发放科技书籍、开展业务调查、农业政策宣传、帮助农户反映、解决农业生产技术问题、协助做好本村农产品安全监管等等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全年召开技术培训、现场观摩会次数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全年召开技术培训、现场观摩会次数不少于5次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张贴技术资料、开展业务调查任务完成率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实际完成任务量占总任务量的比例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农情、病虫害动态以及农产品信息采集上报及时率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及时上报农情、病虫害动态以及农产品信息次数占要求上报信息次数的比例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是否提高农业科技普及率，推动农业农村经济发展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提高农业科技普及率，推动农业农村经济发展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提高农业科技普及率，推动农业农村经济发展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服务对象满意度90%以上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7、第一届特发大会项目资金（2022）绩效目标表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1.对特发大会道路整修、举办香椿节、葡萄采摘节、樱桃节、人居环境整治等50个项目进行补贴，借助特发大会契机实现乡村振兴有载体、产业发展有抓手、集体增收和农民致富有途径。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补贴特发大会项目数量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补贴特发大会项目数量50个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特发大会建设项目完成率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实际完成建设任务占全部任务比例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特发大会建设任务完成率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及时完成建设任务占全部任务比例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财政补贴资金800万元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借助特发大会契机实现乡村振兴有载体、产业发展有抓手、集体增收和农民致富有途径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借助特发大会契机实现乡村振兴有载体、产业发展有抓手、集体增收和农民致富有途径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借助特发大会契机实现乡村振兴有载体、产业发展有抓手、集体增收和农民致富有途径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8、防贫保险（2022）绩效目标表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1.对审核过的防贫承保对象，约15万人发放救助资金，巩固脱贫成果。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补助人数约15万人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防贫承保对象救助比例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实际救助防贫承保对象人数占应救助防贫人数的比例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救助金发放及时率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及时发放救助金数额占应发放总数的比例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救助金发放标准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根据政策发放补助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根据政策发放补助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是否巩固脱贫成效</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通过实施防贫保险，促进脱贫成果，确保边缘人口不落入贫困红线</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通过实施防贫保险，促进脱贫成果，确保边缘人口不落入贫困红线</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防贫承保对象满意度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防贫承保对象满意度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9、巩固脱贫攻坚成果本级配套资金（2022）绩效目标表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1.据市扶贫开发和脱贫工作领导小组要求，区本级2022年配套专项扶贫资金70万元，用于入股分红扶贫项目，按照年利率6.5%计算，分配到建档里卡户116户，确保贫困人口稳定脱贫不返贫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参与入股分红收益贫困人口数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实际参与的入股分红收益贫困人数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314人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入股分红项目收益覆盖率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实际收益人数占收益总人数的比例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项目收益发放及时率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及时发放项目收益金额，占项目收益总额的比例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入股分红分配标准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按照因素法分配，最低不低于每户500元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脱贫户是否增加收入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脱贫户增加收入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脱贫户增加收入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受助群众满意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10、巩固脱贫攻坚成果经费（2022）绩效目标表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1.项目资金用于印发宣传和培训材料1000份以上、购买办公耗材、上级检查考核等方面，保障巩固脱贫攻坚成果拓展工作顺利进行。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印刷宣传、培训资料数量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印刷宣传、培训资料1000份以上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巩固脱贫攻坚成果宣传、培训资料印刷合格率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及时完成印刷任务占全部印刷任务的比例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按市场价印刷宣传和培训资料</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按市场价印刷宣传和培训资料</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保障巩固脱贫攻坚成果拓展工作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保障巩固脱贫攻坚成果拓展工作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保障巩固脱贫攻坚成果拓展工作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农产品质量安全及疫病防治资金的通知（非洲猪瘟）绩效目标表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1.完成非洲猪瘟资金发放</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实际使用金额占总金额的比例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资金发放合规金额占总发放金额的比例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项目总金额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项目总金额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14.6万元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农产品质量安全及疫病防治资金的通知（国家农安县创建资金）绩效目标表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1.建立并完善农产品质量安全体系、建立完善监管制度、农产品质量安全水平明显提高、农产品质量安全群众满意度不断提升。</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农产品抽检率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实际抽检农产品批次数量占应抽检数量的比例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农产品质量检测合格率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农产品检测合格数量占检测总数量的比例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≥98.5%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项目总金额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项目总金额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提升农产品质量安全水平，确保不发生重大农产品质量安全事件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提升农产品质量安全水平，确保不发生重大农产品质量安全事件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提升农产品质量安全水平，确保不发生重大农产品质量安全事件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农产品质量安全及疫病防治资金的通知（合格证追溯推进示范县创建）绩效目标表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1.开展标准化生产，建立完善追溯体系，实现了食用农产品“从农田到餐桌”全程质量安全可追溯。</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建设追溯标杆企业数量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建设追溯标杆企业8个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实际建设内容占应建设内容的比例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项目投入资金80万元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建设电子追溯点数量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建设电子追溯点100个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提升农产品质量安全监管能力和水平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提升农产品质量安全监管能力和水平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提升农产品质量安全监管能力和水平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项目申报书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农产品质量安全及疫病防治资金的通知（基层强制免疫）绩效目标表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1.购置猪瘟疫苗、高致病性猪蓝耳疫苗各2500瓶，其他四种疫苗由</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配备；</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2.购置防疫物资：注射器不低于5000个、口罩2000副、手套2000副、免疫证20000张；</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3.确保全年畜禽免疫密度达到100%；</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4.免疫畜禽抗体合格率达到80%以上；</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5.减少全年全区的疫情发生，疫情发生率控制在1次及以下</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农产品质量安全及疫病防治资金的通知（农产品市场信息监测预警）绩效目标表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1.用于农产品市场信息监测</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实际使用金额占总金额的比例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资金发放合规金额占总发放金额的比例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项目总金额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项目总金额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38万元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石财农【2020】123号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农产品质量安全及疫病防治资金的通知（养殖环节无害化处理补助）绩效目标表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病死猪55（含）cm补贴45元/头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农业生产发展资金的通知（家庭农场）绩效目标表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1.补助11家家庭农场，用于农业服务设施设备购置和建设。加快培育壮大我区家庭农场，提升生产经营水平，强化服务带动功能，促进我区家庭农场高质量发展。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补贴企业11家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家庭农场实际项目建设内容占项目批复建设内容的比例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家庭农场项目购置设备内容完成率（%）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家庭农场实际购置设备内容占项目批复购置内容的比例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受益企业数量11家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调查问卷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18、关于提前下达2021年市级农业转移支付资金的通知（病死动物无害化全覆盖）绩效目标表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1.对上交病死猪的养殖户、暂存点和无害化处理厂进行补贴，补贴率达到100%，促进我区病死猪全部实现无害化处理，确保病死猪不流向餐桌，不引起食品安全公共卫生事件。</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病死猪55（含）cm补贴45元/头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19、关于提前下达2021年市级农业转移支付资金的通知（村级技术员补助）绩效目标表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1.为195个村级农业技术员发放误工补贴；</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2.村级农业技术员误工补贴标准为每人每年600元；</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3.负责本村农业常规技术指导和农业农村政策宣传工作，全年不少于5次；</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4.配合有关部门开展业务调查；向管理部门提供有价值的农业生产中的线索和意见建议。</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5.协助做好本村的农产品质量及农业投入品监督工作。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发放村级农业技术员误工补贴人数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为195个村级农业技术员发放误工补贴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195人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村级农业技术员误工补贴每人每年600元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600元/年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业务调查上报率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实际上报次数占要求上报次数的比例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实际发放村级农业技术员补贴金额占计划发放补贴金额的比例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农业技术资料张贴数量（份）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农业技术资料张贴160份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农业常规技术宣传和指导服务次数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农业常规技术宣传和指导不少于5次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农业技术推广工作任务完成率（%）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实际完成农业技术推广工作任务量占计划工作任务量的比例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调查中满意和较满意农业技术员人数占调查总人数的比例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20、关于提前下达2021年市级农业转移支付资金的通知（现代农业产业园项目资金）绩效目标表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1.通过产业园基础设施建设和品牌建设，促进联农带农增收、提升产业服务能力、延伸产业链、促进主导产业升级。</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产业园宣传屏制作数量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制作产业园宣传屏3个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实际建设内容占全部建设内容的比例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及时完成项目建设内容占全部建设内容的比例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财政投入资金200万元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产业园宣传片制作数量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制作产业园宣传片2个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鹿泉区产业园收入增长率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鹿泉区产业园收入增长率不低于1%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调查问卷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21、关于提前下达2021年市级农业转移支付资金的通知（优质粮食产业工程）绩效目标表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1.创建1个小麦绿色高质高效千亩示范片，创建1个玉米绿色高质高效千亩示范片</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创建绿色高质高效千亩示范片完成率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实际创建面积亩数占应创建亩数的比例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及时完成项目内容占总项目内容的比例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财政补贴20万元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创建绿色高质高效千亩示范片数量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创建绿色高质高效千亩示范片2个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核心区小麦单产量（公斤）</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核心区小麦单产量达到580公斤</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580公斤</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化肥、农药使用量下降比例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化肥、农药使用量下降5%左右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实现亩生产用水量减少比例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实现亩生产用水量减少20%左右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22、关于提前下达2021年市级农业转移支付资金的通知（政策性病死猪无害化处理）绩效目标表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1.对上交病死猪的养殖户、暂存点和无害化处理厂进行补贴，补贴率达到100%，促进我区病死猪全部实现无害化处理，确保病死猪不流向餐桌，不引起食品安全公共卫生事件。</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病死猪55（含）cm补贴45元/头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实际无害化处理病死畜禽的数量占应无害化处理病死畜禽的数量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实际无害化处理病死畜禽的数量占应无害化处理病死畜禽的数量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23、关于提前下达2021年中央动物防疫补助经费预算指标的通知（强制免疫）绩效目标表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1.购置猪瘟疫苗、高致病性猪蓝耳疫苗各2500瓶，其他四种疫苗由</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配备；</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2.购置防疫物资：注射器不低于5000个、口罩2000副、手套2000副、免疫证20000张；</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3.确保全年畜禽免疫密度达到100%；</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4.免疫畜禽抗体合格率达到80%以上；</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5.减少全年全区的疫情发生，疫情发生率控制在1次及以下</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24、关于提前下达2021年中央动物防疫补助经费预算指标的通知（强制免疫）绩效目标表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1.购置猪瘟疫苗、高致病性猪蓝耳疫苗各2500瓶，其他四种疫苗由</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配备；</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2.购置防疫物资：注射器不低于5000个、口罩2000副、手套2000副、免疫证20000张；</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3.确保全年畜禽免疫密度达到100%；</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4.免疫畜禽抗体合格率达到80%以上；</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5.减少全年全区的疫情发生，疫情发生率控制在1次及以下</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25、关于提前下达2021年中央动物防疫补助经费预算指标的通知（无害化处理）绩效目标表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1.对上交病死猪的养殖户、暂存点和无害化处理厂进行补贴，补贴率达到100%，促进我区病死猪全部实现无害化处理，确保病死猪不流向餐桌，不引起食品安全公共卫生事件。</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每半年发放一次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病死猪55（含）cm补贴45元/头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病死猪55-100（含）cm补贴90元/头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病死猪100cm以下补贴160元/头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26、关于提前下达2021年中央农业生产发展资金的通知（创新驿站）绩效目标表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1.突出驿站对县域主导特色优势产业的科技支撑作用，按照“十个一”模式持续用力，全面推进农业创新驿站建设，2021年创建</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精品驿站2个，打造科技支撑乡村产业示范样板。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精品驿站数量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精品驿站数量2个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实际完成项目内容占应完成项目的比例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财政投入资金70万元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受益群体达到50户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27、关于提前下达2021年中央农业生产发展资金的通知（国家示范展示基地）绩效目标表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依托省奶牛、肉牛产业技术体系及省内外科研教学推广单位，组建高层次专家团队，吸引科技人员技术入股，强化技术力量，拓展基地服务范围，率先引领鹿泉区实现奶业振兴，辐射带动全省近百家牧场提质增效，为我省奶牛产业发展提供强有力支撑。</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实际完成项目建设内容占应建设内容的比例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项目于2022年6月底前完成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项目于2022年6月底前完成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年度建设目标完成率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年度建设目标实际完成数量占总数量的比例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受益企业数量1家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28、关于提前下达2021年中央农业生产发展资金的通知（基层农技推广体系建设）绩效目标表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以先进适用技术示范样板为载体，以提升农技推广服务效能为目标，广泛集聚科技资源，创新体制机制，优化组织方式，强化公益性农技推广机构主责履行，壮大农技队伍，构建“一主多元”的农技推广体系，提升推广能力，激发农技推广活力，推动农业科技社会化服务发展，加快信息化手段普及应用，为持续深化“四个农业”、促进农业高质量发展提供科技支撑和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项目目标完成率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实际完成项目目标数量占应完成项目目标数量的比例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实际完成项目内容占应完成项目内容的比例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财政投入资金76万元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76万元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受益群体达到50个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29、关于下达2021年动物防疫补助经费（动物强制免疫“先打后补”）的通知绩效目标表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1.对2021年省内完成强制免疫“先打后补”的养殖企业进行补助；落实养殖场防疫主体责任，巩固提升强制免疫效果</w:t>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“先打后补”畜禽补贴数量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”先打后补“畜禽补贴数量不低于10000只（头、羽）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≥10000只（头、羽）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强制免疫”先打后补“任务完成率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实际补贴畜禽数量占应补贴畜禽数量的比例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强制免疫畜禽补贴及时率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及时补贴强制免疫畜禽数量占应补贴畜禽数量的比例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先打后补补贴标准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按政策要求补贴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按政策要求补贴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冀农财发〔2021〕46号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畜禽动物抗体合格率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畜禽动物抗体合格率达到70%以上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30、关于下达2021年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农产品质量安全及疫病防治资金的通知（强制免疫）绩效目标表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1.购置猪瘟疫苗、高致病性猪蓝耳疫苗各1000瓶；</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2.购置防疫物资：注射器不低于5000个、口罩1000副、手套1000副；</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3.确保全年畜禽免疫密度达到90%；</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4.免疫畜禽抗体合格率达到70%以上；</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5.减少全年全区的疫情发生，疫情发生率控制在1次及以下</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6.发放村级防疫员误工补助</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免疫畜禽抗体合格率达到70%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全年畜禽免疫密度达到90%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p>
            <w:pPr>
              <w:pStyle w:val="12"/>
              <w:widowControl/>
              <w:spacing w:beforeAutospacing="0" w:afterAutospacing="0"/>
              <w:ind w:left="0" w:right="0"/>
              <w:rPr>
                <w:rFonts w:hint="default"/>
              </w:rPr>
            </w:pP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31、关于下达2021年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农业生产发展资金的通知（国际品牌奖励）绩效目标表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1.用于君乐宝荣获国际品牌大奖奖励</w:t>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获国际品牌大奖数量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获国际品牌大奖1项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获奖等次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获得国际大奖</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获得国际大奖</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奖励资金发放及时率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及时发放奖励资金数占资金总数的比例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君乐宝品牌知名度是否得到提升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君乐宝品牌知名度得到提升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君乐宝品牌知名度得到提升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奖励证书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32、关于下达2021年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农业生产发展资金的通知（君乐宝婴幼儿奶粉大会补贴）绩效目标表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1.给予君乐宝召开国际婴幼儿奶粉大会补贴</w:t>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召开会议次数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召开会议一次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实际完成会议次数占计划任务的比例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会议按期完成率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按期完成的会议次数占计划次数的比例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君乐宝婴幼儿奶粉品牌是否提高知名度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君乐宝婴幼儿奶粉品牌提高知名度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君乐宝婴幼儿奶粉品牌提高知名度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会议方案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33、关于下达2021年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农业生产发展资金的通知（胚胎移植）绩效目标表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1.完成胚胎移植313枚</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2.雌性率90%</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3.准胎率40%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胚胎移植数量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胚胎移植数量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313枚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胚胎雌性率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胚胎雌性率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移植准胎率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移植准胎率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&gt;40%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2021年12月底前完成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奶牛品种改良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加速奶牛品种改良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加速奶牛品种改良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34、关于下达2021年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农业生产发展资金的通知（生鲜乳喷粉补贴）绩效目标表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1.稳定生鲜乳收购市场，保护奶农利益。</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每吨补贴标准</w:t>
            </w:r>
          </w:p>
        </w:tc>
        <w:tc>
          <w:tcPr>
            <w:tcW w:w="2466" w:type="dxa"/>
            <w:vAlign w:val="center"/>
          </w:tcPr>
          <w:p>
            <w:pPr>
              <w:pStyle w:val="12"/>
              <w:widowControl/>
              <w:spacing w:beforeAutospacing="0" w:afterAutospacing="0"/>
              <w:ind w:left="0" w:right="0"/>
              <w:rPr>
                <w:rFonts w:hint="default"/>
              </w:rPr>
            </w:pP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每吨补贴标准不高于500元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收购省内生鲜乳数量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收购省内生鲜乳12.9万吨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12.9万吨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核实报告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省内生鲜乳收购率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实际收购生鲜乳数量占应收购数量的比例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省内生鲜乳收购任务完成及时率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及时收购省内生鲜乳数量占应收购数量的比例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是否稳定生鲜乳收购市场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稳定生鲜乳收购市场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稳定生鲜乳收购市场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35、关于下达2021年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农业生产发展资金的通知（畜禽良种繁育补贴）绩效目标表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1.通过引进国外优良奶肉牛种质资源，加快奶肉牛品种改良速度，提高我区奶源品质，提升竞争力。</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引进进口肉牛胚胎数量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引进进口肉牛胚胎180枚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180枚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各项引进任务完成率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实际引进各项任务数量占应引进数量的比例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各项引进任务完成及时率（%）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及时完成引进任务的数量占应引进总数量的比例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补贴金额不超过引进购买金额的30%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引进进口奶牛胚胎数量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引进进口奶牛胚胎600枚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600枚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引进进口奶牛冻精数量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引进进口奶牛冻精4500支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4500支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引进国外优良奶肉牛种质资源，是否加快奶肉牛品种改良速度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引进国外优良奶肉牛种质资源，加快奶肉牛品种改良速度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引进国外优良奶肉牛种质资源，加快奶肉牛品种改良速度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36、关于下达2021年市级农村人居环境整治专项资金的通知绩效目标表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1.栈道村通过2022年实施新建排水沟208米，村南小街硬化186米，村西变电站路60米三个项目，使得村内人居环境得到有效提升和改善。</w:t>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新建排水沟工程量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新建排水沟208米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208米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栈道村南小街道路硬化工程量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栈道村南小街道路硬化工186米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186米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栈道村西变电站路硬化工程量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栈道村西变电站路硬化60米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建设项目任务完成率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及时完成项目建设内容占项目全部内容的比例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人居环境整治成本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财政投入人居环境整治资金20万元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村内人居环境是否得到改善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村内人居环境得到改善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村内人居环境得到改善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37、关于下达2021年中央农业生产发展资金（第二批）的通知（农机购置补贴）绩效目标表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1.补贴机具3台</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2.补贴户数3户</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3.完成率100%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补贴台数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补贴机具的台数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≥3台数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补贴覆盖的乡镇占我区乡镇数的比例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≥1补贴覆盖乡镇数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机具补贴标准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按政策标准补贴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12月底之前完成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补贴户作业亩数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利用补贴机具作业的亩数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≥100作业的亩数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购机户满意度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购机户对农业农村局服务的满意度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38、关于下达2021年中央农业生产发展资金的通知（农产品产地冷藏保鲜设施建设）绩效目标表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一座总面积为10000平米、冷藏保鲜库容量10000吨，通过冷藏保鲜仓储后的农副产品，便于季节调剂保障供应驻冀部队，按照需求量计算，每年需要蔬菜2740万斤、水果180万斤，这些农副产品通过自产、采购，低价供应，可为部队节约部分伙食费，也可为石家庄农产品提供服务。</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建设冷库面积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建设冷库面积10000平米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10000平米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建设冷藏保鲜库容量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建设冷藏保鲜库容量不低于10000吨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实际完成项目建设内容占计划建设内容的比例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及时完成项目建设内容占全部建设内容的比例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财政投入补贴1000万元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降低果蔬品损耗率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降低果蔬品损耗率不低于2%</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带动就业人数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带动就业人数不低于20人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39、关于下达2021年中央农业生产和水利救灾资金的通知绩效目标表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1.主要用于全区最后窗口期（2021年11月14日-20日）播种冬小麦补助及对晚播冬小麦的物化补贴和救灾物资购买，做好我区农业生产救灾和灾后农业生产工作，争取明年夏粮保持基本稳定。</w:t>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晚播麦补助及救灾物资购买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冬小麦晚播1417.49亩补助和救灾物资购买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1417.9亩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实际完成项目内容占计划内容的比例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2021年4月底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2021年4月底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财政补贴资金54万元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54万元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石财农（2021）73号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夏粮保持基本稳定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夏粮保持基本稳定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夏粮保持基本稳定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种植户满意度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种植户满意度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40、关于下达2021年中央土地指标跨省域调剂收入安排的支出预算（支持农村“厕所革命”整村推进财政奖补）绩效目标表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1.采购污水处理设施1套，日污水处理达到50立方米；</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污水处理设施验收达标情况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是否达到验收标准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设备采购按时完</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污水设备采购是否及时完成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财政投入资金40万元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采购污水处理设施数量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采购污水处理设施1套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日污水处理能力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日污水处理达到50立方米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50立方米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受益村民满意度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问卷调查中满意和较满意村民占调查总人数的比例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41、国家农安县创建工作经费（2022）绩效目标表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1.通过第三方公司协助创建服务，圆满完成农安县创建工作各项任务目标，顺利通过国家考核验收。</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第三方公司实际完成任务项数占总任务项数的比例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第三方公司及时完成任务项数占总任务项数的比例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第三方公司服务成本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第三方公司服务成本6.72万元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6.72万元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第三方公司完成任务数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第三方公司完成任务六项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是否通过国家考核验收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通过国家考核验收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通过国家考核验收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42、零散秸秆综合利用补助资金（2022）绩效目标表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1.收集全区范围内的零散秸秆，并进行打捆运输并给予补贴，通过对全区范围内零散秸秆的收集，收集率达到100%，提高农作物秸秆利用率。</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零散秸秆乡镇收集每吨补贴标准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零散秸秆乡镇收集每吨补贴60元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资金分配方案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收集鹿泉区范围内零散秸秆数量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收集鹿泉区范围内零散秸秆数量不低于3000吨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≥3000吨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平均秸秆综合利用率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平均秸秆综合利用率达到97%以上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≥97%</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零散秸秆收集及时率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及时收集零散秸秆数量占收集总量的比例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≥97%</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零散秸秆收储运公司打捆运输补贴标准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零散秸秆收储运公司打捆运输补贴100元/吨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资金分配方案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露天火点数量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露天火点数量0个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露天火点数量0个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43、灵寿县帮扶资金（2022）绩效目标表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1.过渡期内，鹿泉区在本级财政预算中每年协调帮扶资金100万元，由灵寿县统筹用于支持10个原贫困村进行基础设施、公共服务设施建设提升和发展特色产业，壮大村集体收入。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帮扶灵寿县村数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帮扶灵寿县10个村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实际完成帮扶任务占计划完成帮扶率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帮扶资金拨付及时率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及时拨付帮扶资金数量占应拨付资金总数的比例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帮扶资金成本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帮扶资金100万元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壮大帮扶村集体收入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壮大帮扶村集体收入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壮大帮扶村集体收入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帮扶村满意度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44、鹿泉区现代农业园区规划及沙盘制作项目（2022）绩效目标表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现场勘察、座谈访问、基础资料的收集与整理，分析我区现状概况、发展定位、园区布局等，制作出具有专项规划、配套设施、生态环境保护、投资估算与效益分析功能的规划图和沙盘，为我区现代农业园区发展提供方向，提升我区现代农业园区建设水平，加快现代农业园区发展速度。</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制作规划沙盘面积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制作规划沙盘20平米</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20平方米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实际完成项目内容占计划内容的比例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2021年5月完成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2021年5月完成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制作成本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规划费用98万元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98万元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中标通知书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我区受益园区数量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我区受益园区数量不少于10家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我区园区数量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45、美丽乡村建设PPP项目资本金（2022）绩效目标表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1.确定两年内将我区所有村庄按照美丽乡村标准提升打造，经过摸底筛选，146个村庄符合提升打造条件。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美丽乡村提升打造村数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美丽乡村提升打造村数146个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146个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美丽乡村提升打造任务完成率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实际提升打造村数占应提升打造村数的比例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美丽乡村提升打造任务完成及时率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及时完成提升打造村数占应提升打造村数的比例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财政投入美丽乡村建设PPP资本金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财政投入美丽乡村建设PPP资本金400万元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受益人数不低于4.5万人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46、美丽乡村建设规划编制费（2022）绩效目标表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1.对我区30个美丽乡村创建重点村进行规划编制，实现美丽乡村建设科学、有序推进和实施。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编制美丽乡村创建重点村规划数量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编制美丽乡村创建30个重点村规划</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美丽乡村创建重点村编制任务完成率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实际完成编制村数占计划编制村数的比例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美丽乡村创建重点村编制完成及时率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及时完成编制村数占计划编制村数的比例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美丽乡村创建重点村编制成本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美丽乡村创建重点村编制成本12万元/村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12万元/村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美丽乡村创建成果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通过美丽乡村建设，提升村容村貌和基础设施，实现宜居宜业。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通过美丽乡村建设，提升村容村貌和基础设施，实现宜居宜业。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调查中满意和较满意村民人数占调查总人数的比例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47、美丽乡村建设踏勘服务费和PPP咨询服务费（2022）绩效目标表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聘请第三方专业咨询公司开展鹿泉区乡村振兴PPP项目立项入库审批等前期筹备工作，工作内容包括：编制项目建议书、可行性报告、社会稳定风险评价、两评一案编制、储备清单、市场测试、社会资本采购、合同谈判等。</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核查美丽乡村创建村数量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核查美丽乡村创建村45个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石家庄市鹿泉区2021年美丽乡村建设实施意见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实际完成项目工作量占应完成工作量的比例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石家庄市鹿泉区2021年美丽乡村建设实施意见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PPP项目咨询服务费成本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PPP项目咨询服务费成本110万元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101万元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石家庄市鹿泉区2021年美丽乡村建设实施意见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及时完成项目内容占应完成项目内容的比例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石家庄市鹿泉区2021年美丽乡村建设实施意见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受益人数不少于4.5万人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≥4.5万人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石家庄市鹿泉区2021年美丽乡村建设实施意见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48、美丽乡村建设资金（2022）绩效目标表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1.对我区148个村按照</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美丽乡村标准进行整治提升，改善农村人居环境，增加村民生活幸福感。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资金发放时限</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2022年12月底前发放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2022年12月底前发放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美丽乡村建设村数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美丽乡村建设村数148个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争创</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美丽乡村奖补标准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争创</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美丽乡村奖补标准26万元/村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26万元/村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美丽乡村奖补资金发放率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实际发放奖补资金村数占验收合格村数的比例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石家庄市鹿泉区美丽乡村建设行动实施方案2021-2025年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受益人数不低于10000人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49、奶业振兴专项资金（2022）绩效目标表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1.按照《鹿泉区人民政府关于加快推进奶业振兴的实施意见》，资金用于生鲜乳收购价补贴、玉米青贮补贴、新增婴幼儿乳粉产能补贴、生鲜乳喷粉补贴等。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生鲜乳收购数量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收购生鲜乳3万吨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生鲜乳收购补贴成本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生鲜乳收购补贴成本100元/吨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收贮全株玉米数量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收贮全株玉米5万吨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收贮全株玉米补贴成本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收贮全株玉米补贴成本80元/吨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过剩生鲜乳喷粉补贴数量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过剩生鲜乳喷粉补贴2万吨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过剩生鲜乳喷粉补贴标准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过剩生鲜乳喷粉补贴标准补贴150元/吨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150元/吨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2022年12月底前资金发放完毕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2022年12月底前资金发放完毕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是否保证市场稳定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保证市场稳定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保证市场稳定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问卷调查中满意和较满意企业个数占补贴企业个数的比例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50、农村厕所5G+智能化长效管护平台及维护资金（2022）绩效目标表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做好农村厕所后期管护工作，确保改厕成果，充分发挥现代科技手段在管理中的作用，于2020年底建设智能化长效管护平台系统，项目预算72万元，其中中央已安排资金59万，需要区级资金13万元；农村厕所5G+智能化长效管护平台1年维护资金7.872万元，包含软件运行、数据存储、大数据分析、电话智能报抽等费用。2022年预算需要安排资金20.872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建设改厕管护平台数量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建设改厕管护平台数量1套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管护平台正常运行率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管护平台正常运行天数占全年的比例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业务处理及时率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及时处理业务数占总处理数的比例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系统开发成本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开发成本72万元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系统正常使用年限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正常使用年限不少于5年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51、农村厕所5G+智能化长效管护平台质保金（2022）绩效目标表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1.于2022年7月前支付改厕管护平台的质保金，保证系统正常使用，达到验收，按期履行合同，保证工作正常运转。</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支付质保金项目数量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支付3个项目的质保金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质保金支付率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实际支付质保金资金占应支付质保金资金的比例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质保金支付进度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实际支付质保金的时间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2021年7月底前支付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支付质保金金额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支付质保金共计2.935万元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8.13万元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项目受益人数不低于10000人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设施正常运转率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设施正常运转率不低于90%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52、农村承包地确权登记成果应用联网维护升级经费（2022）绩效目标表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1.及时支付确权登记平台软件使用费用，维护确权登记平台正常运转，为业务开展提供支撑。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维护确权登记平台数量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维护确权登记平台数量1套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系统故障率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系统出故障时间占系统总运行时间的比例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业务处理及时率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及时处理业务数占总处理数的比例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平台正常运转软件成本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平台正常运转软件成本3.72万元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3.72万元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保障确权登记平台正常运转及时处理业务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保障确权登记平台正常运转及时处理业务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保障确权登记平台正常运转及时处理业务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53、农村公厕奖补资金（2022）绩效目标表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根据2019年《鹿泉区农村公厕建设工作实施方案》，对已经建设的57座村级公厕实施奖补，标准为每座12万元，总投资684万元，已经列支228万元，需财政安排456万元；《2021年石家庄市鹿泉区推进农村“厕所革命”专项行动方案》建设村级公厕30座，按照2019年标准每座12万元，共需要资金360万元，已经列支</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奖补资金22万元，需财政安排338万元。2022年预算需安排资金794万元。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建设公厕数量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建设公厕87座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87座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公厕建设完成率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实际建设公厕数量占计划建设公厕数量的比例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公厕建设完成时间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2021年10月份完成全部建设任务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公厕补助标准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每座公厕奖补标准不超过12万元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公厕正常使用年限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公厕正常使用时间不少于10年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54、农村人居环境整治旧欠资金（2022）绩效目标表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1.对上庄镇、铜冶镇、寺家庄镇19个村进行沿途环境卫生整治；对南白砂村对村西南临建进行拆除平整腾退除的空地进行绿化硬化，建设村民活动广场；对已经建设的58座村级公厕实施奖补。</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进行沿途环境卫生整治的村庄数量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进行沿途环境卫生整治的村庄数量19个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19个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奖补村级公厕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奖补村级公厕58座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58座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工程竣工及时率（%）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工程竣工及时率（%）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村级公厕每座奖补标准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村级公厕每座补贴12万元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提升村庄容貌和改善人居环境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村庄容貌得到提升，农村人居环境得到改善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村庄容貌得到提升，农村人居环境得到改善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调查中满意和较满意数量占调查数量的比例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55、农业局专项业务经费（2022）绩效目标表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1.对从事畜牧技术推广、诊疗治疗疫病的基层防疫工作兽医站9名人员发放补助，保障基本生活；</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2.开展农村财务、合作社财务人员业务培训1次，提升农村财务人员知识水平；</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3.购买动物检疫合格证不低于30件；</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4.做好经费保障工作，保障办公正常运转</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基层兽医站人员补助发放人数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基础兽医站人员补助发放9人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冀政办【2005】28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基层兽医站人员补助标准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按规定标准发放基层兽医站人员补助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按规定标准发放基层兽医站人员补助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《农技推广法》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农、社财务人员业务培训人数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开展农、社财务人员业务培训人数不少于50人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及时发放基层受益站人员补助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培训合格的学员数量占培训总学院数量的比例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补助发放覆盖率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实际发放补助人数占应发放人数的比例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农、社财务人员业务培训班次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开展农、社财务人员业务培训班次1次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人均培训成本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参训学员每人每天培训费用不高于300元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300元/人/天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农、社财务人员业务培训时间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12月底前完成培训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12月底前完成培训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购买动物检疫合格证</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购买动物检疫合格证不低于30件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购买动物检疫合格证成本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文件要求标准购买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文件要求标准购买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经费保障及时性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及时保障各项日常办公需要</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及时保障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单位工作运转保障率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各项日常工作保障率达到100%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保障日常办公、维持正常运转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保障日常办公需要，维持单位正常运转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维持单位正常运转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保障兽医站人员正常生活</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保障基层防疫工作兽医站9名人员正常生活</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冀政办【2005】28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56、农业综合行政执法经费（2022）绩效目标表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1.根据河北省综合行政执法制式服装和标志管理实施办法，由省农业农村厅公开招标采购，对我区农业系统由执法证58人统一定制制式执法服装，每人5000标准，做到执法服装统一化。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定制制式服装人数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定制制式服装58人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58人次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执法服装定制率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实际定制服装数量占应定制服装数量的比例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执法服装定制及时率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及时定制服装数量占总定制服装的比例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执法服装单套价格</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执法服装单套价格</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执法规范程度(%)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执法规范程度(%)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规范执法群众的认可度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规范执法群众的认可度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57、农业综合执法规范化建设资金（2022）绩效目标表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1.畜禽屠宰执法规范化和企业标准化建设，机构队伍，达到“六大规范、二十八项统一”，统一执法办公设备，印刷宣传册，巡查抽查屠宰企业。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宣传资料印刷册数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宣传资料印刷册数10000份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执法巡查抽查次数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执法巡查抽查次数不低于200次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执法车辆数量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执法车辆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执法工作内容完成及时率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及时完成执法工作内容占全部内容的比例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宣传资料印刷成本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按市场价印刷宣传资料</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按市场价印刷宣传资料</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私屠乱宰下降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私屠乱宰生猪现象的程度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58、农业综合执法整规经费（2022）绩效目标表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1.执法监管、整顿定点屠宰场，对私屠滥宰行为排查捣毁，弥补日常经费。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综合业务管理工作完成率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综合业务管理工作完成率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监督检查次数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监督检查次数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经费保障及时性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及时保障经费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运行保障成本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运行保障成本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出厂肉品合格率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经检验合格后出厂肉的情况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59、人居办工作经费（2022）绩效目标表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组织13个乡镇（区）、208个行政村、13个区直有关部门相关负责人不少260人次培训；人居环境整治工作培训不少于1次；组织赴外地参观人居环境整治工作不少于1次；组织13个乡镇（区）进行人居环境整治工作督导、观摩活动不少于2次，购买培训活动办公用品及耗材完成人居环境整治提升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组织人居环境整治工作培训次数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人居环境整治工作培训不少于1次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组织人居环境整治工作培训人次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组织13个乡镇（区）、208个行政村、13个区直有关部门相关负责人培训人数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组织赴外地参观人居环境整治工作次数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组织赴外地参观人居环境整治工作不少于1次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组织赴外地参观人居环境整治参观人数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组织赴外地参观人居环境整治参观人数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组织人居环境整治工作督导观摩次数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对13个乡镇（区）进行组织人居环境整治工作督导、观摩不少于2次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组织人居环境整治工作督导观摩人次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组织人居环境整治工作督导观摩不少于60人次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人居环境整治培训、参观、观摩任务完成率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实际完成人居环境整治培训、参观、观摩次数占计划次数的比例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人居环境整治培训、参观、观摩任务完成时限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人居环境整治培训、参观、观摩人均费用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人居环境整治培训、参观、观摩人均费用不高于300元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≤190元/人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人居环境达标村数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完成人居环境达标村的数量不少于63个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60、三清一拆专项资金（2022）绩效目标表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1.完成我区10个乡镇107个村三清一拆工作，并发放三清一拆补助资金，107个村全部通过验收。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三清一拆创建村数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三清一拆创建村数107个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107个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三清一拆资金发放率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实际发放三清一拆资金占应发放资金的比例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三清一拆资金及时发放率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及时发放资金占应发放资金的比例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三清一拆补助标准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按照实际发生的费用给予补助，最高补助不超过1500元/户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按照实际发生的费用给予补助，最高补助不超过1500元/户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受益人数不低于10000人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61、石财农【2021】100号下达2022年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新型经营主体示范带动项目补助资金绩效目标表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1.资金补贴不少于6家家庭农场，用于农业服务设施设备购置和建设。加快培育壮大我区家庭农场，提升生产经营水平，强化服务带动功能，促进我区家庭农场高质量发展。</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家庭农场实际项目建设内容占项目批复建设内容的比例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家庭农场项目购置设备内容完成率（%）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家庭农场实际购置设备内容占项目批复购置内容的比例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财政补贴投入65万元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补贴企业不少于6家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家庭农场生产经营水平是否提升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家庭农场生产经营水平提升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家庭农场生产经营水平提升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62、石财农【2021】108号下达2022年市级财政衔接推进乡村振兴补助资金绩效目标表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1.补助我区314人贫困人口，防止返贫，使其提高生活水平。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参与入股分红收益贫困人口数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实际参与的入股分红收益贫困人数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314人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入股分红项目收益覆盖率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实际收益人数占收益总人数的比例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项目收益发放及时率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及时发放项目收益金额，占项目收益总额的比例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入股分红分配标准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按照因素法分配，最低不低于每户500元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脱贫户是否增加收入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脱贫户增加收入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脱贫户增加收入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受助群众满意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≥98%</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63、石财农【2021】111号提前下达2022年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乡村振兴（农村人居环境整治）专项资金绩效目标表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1.奖补我区8个</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美丽乡村精品村，用于农村生活垃圾治理、农村生活污水治理、农村厕所改造、村容村貌提升等人居环境相关基础设施、公共服务设施建设，改善农村人居生活环境，提升村民生活幸福指数。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奖补我区美丽乡村精品村数量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奖补我区美丽乡村精品村8个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实际补贴村数占应补贴村数的比例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及时发放补贴资金数量占应发放补贴资金的比例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财政投入补贴资金690万元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690万元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是否改善农村人居生活环境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改善农村人居生活环境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改善农村人居生活环境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64、石财农【2021】113号关于提前下达2022年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农田建设补助资金（地方政府债券）的通知绩效目标表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1.建设高标准农田26000亩，改善项目区农业生产基础设施条件，对农业增效、农民增收、农村发展起到积极的推动作用。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节水灌溉面积（万亩）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节水灌溉面积（万亩）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65、石财农【2021】114号提前下达2022年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农产品质量安全及疫病防治资金（非洲猪瘟）绩效目标表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1.购买检测试剂不少于10盒，购买消毒液不少于1吨，及非洲猪瘟防控办公用品及耗材，做好非洲猪瘟防控工作，保障畜牧业可持续发展。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购买检测试剂数量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购买检测试剂不少于10盒</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≥10盒</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购买消毒液</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购买消毒液不少于1吨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资金发放合规金额占总发放金额的比例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按市场价格购买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按市场价格购买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保障工作正常运转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保障畜牧业可持续发展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保障畜牧业可持续发展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保障畜牧业可持续发展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66、石财农【2021】114号提前下达2022年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农产品质量安全及疫病防治资金（农产品市场信息监测预警）绩效目标表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1.完成全年农产品市场信息采集350条，通过农产品价格的采集上报，为领导了解市场行情，及时调整种植业结构提供依据。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全年信息采集条数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全年信息采集条数350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350条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资金发放合规金额占总发放金额的比例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财政投入补贴1.7万元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1.7万元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掌握农产品市场价格信息，及时调控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掌握农产品市场价格信息，及时调控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掌握农产品市场价格信息，及时调控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67、石财农【2021】114号提前下达2022年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农产品质量安全及疫病防治资金（农产品追溯及网格化监管示范县项目）绩效目标表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农产品追溯及网格化监管项目资金补贴，项目资金全部用于100个农产品电子追溯点（每个企业0.05万元）、8个标杆企业（每个企业1万元），5个网格化监管示范（每个乡镇5万元）项目按照标准规定补贴，逐步提升了农产品质量，实现了食用农产品“从农田到餐桌”全程质量安全可追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补贴电子追溯点、标杆企业、网格化监管乡镇数量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对100个追溯点、8个标杆企业、5个网格化监管乡镇进行补助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实发放补贴资金占应发补贴资金的比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资金于12月底前全部发放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资金于12月底前全部发放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电子追溯点补贴标准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电子追溯点每个企业补贴0.05万元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0.05万元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标杆企业补贴标准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每个标杆企业补贴1万元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网格化监管示范乡镇补贴标准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网格化每个乡镇补贴5万元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逐步提升农产品质量安全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逐步提升农产品质量安全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68、石财农【2021】114号提前下达2022年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农产品质量安全及疫病防治资金（强制免疫）绩效目标表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1."购置检测试剂20瓶、消毒药2吨及防护用品和耗材，确保全年畜禽免疫密度达到100%；免疫畜禽抗体合格率达到80%以上；减少全年全区的疫情发生，疫情发生率控制在1次及以下。</w:t>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购置检测试剂、消毒药、防疫器械等数量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购置检测试剂20瓶、消毒药2吨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购置检测试剂20瓶、消毒药2吨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免疫畜禽抗体合格率达到80%以上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69、石财农【2021】114号提前下达2022年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农产品质量安全及疫病防治资金（统计监测）绩效目标表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1.完成全年价格统计监测任务，及时掌握畜禽及产品价格，了解价格波动规律，为领导决策提供依据，及时调整畜禽产业结构，促进畜禽养殖健康发展。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完成统计价格监测条数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完成统计价格监测条数52条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统计监测上报完成率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实际上报数据占应上报数据的比例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统计监测上报及时率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及时上报数据占应上报数据的比例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财政补贴收入0.15万元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0.15万元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及时掌握畜禽及产品价格，为领导决策提供依据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及时掌握畜禽及产品价格，为领导决策提供依据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及时掌握畜禽及产品价格，为领导决策提供依据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70、石财农【2021】114号提前下达2022年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农产品质量安全及疫病防治资金（畜禽育种创新能力提升）绩效目标表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1.补贴畜禽育种能力提升种畜禽场两个，提高我区畜禽良种培育与供种能力。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补贴畜禽育种创新能力提升种畜禽场数量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补贴畜禽育种创新能力提升种畜禽场数量2个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 项目建设内容占应建设内容的比例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财政补贴投入110万元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良种培育与供种能力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良种培育与供种能力提高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良种培育与供种能力提高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服务对象对项目实施效果的满意度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服务对象对项目实施效果满意的比例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71、石财农【2021】114号提前下达2022年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农产品质量安全及疫病防治资金（养殖环节病死猪无害化处理补助）绩效目标表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1.对我区病死畜禽进行无害化处理数量不少于1500头，无害化处理率达到100%，</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55（含）cm以下45元/头（收集运输费10元/头、无害化处理费35元/头）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55-100（含）cm的90元/头（收集运输费15元/头、无害化处理费75元/头）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100cm以上160元/头（收集运输费35元/头，无害化处理费125元/头）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按时无害化处理数量/需要无害化处理数量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病死畜禽引发生态环境安全次数（%）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保障畜牧业可持续发展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保障畜牧业可持续发展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保障畜牧业可持续发展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72、石财农【2021】115号提前下达2022年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农业生产发展资金（奶业振兴）绩效目标表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1.目标内容：补贴企业智能奶牛场1家，完成胚胎移植220枚，提高奶牛场装备水平，提高奶牛品种改良。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补贴智能化奶牛场数量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补贴智能化奶牛场数量1家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奶牛胚胎移植数量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奶牛胚胎移植数量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220枚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胚胎雌性率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胚胎雌性率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移植准胎率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移植准胎率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按项目要求完成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按项目要求完成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胚胎补贴标准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2000元/枚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提高奶牛场装备水平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提高奶牛场装备水平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提高奶牛场装备水平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73、石财农【2021】115号提前下达2022年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农业生产发展资金（农业产业化联合体）绩效目标表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1.支持1家</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农业产业化联合体发展，进一步健全产业化经营体系，助力全区农业农村经济稳步增长，促进农业产业化联合体发展。</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农业产业化联合体补贴标准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支持联合体资金不超过80万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支持</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农业产业化联合体数量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支持</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农业产业化联合体1家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补贴资金发放合规数占发放总数比例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收入增长率不低于1%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74、石财农【2021】115号提前下达2022年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农业生产发展资金（农业产业强镇）绩效目标表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1.打造一个</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示范农业产业强镇，进一步健全产业化经营体系，助力全区农业农村经济稳步增长，促进农业产业化发展。</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r>
              <w:rPr>
                <w:rFonts w:hint="default" w:ascii="Times New Roman" w:hAnsi="Times New Roman" w:eastAsia="Times New Roman" w:cs="Times New Roman"/>
                <w:sz w:val="20"/>
                <w:szCs w:val="20"/>
              </w:rPr>
              <w:tab/>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打造</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示范农业产业强镇补贴标准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打造一个</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示范农业产业强镇资金不超过100万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打造</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示范农业产业强镇数量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打造一个</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示范农业产业强镇。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补贴资金发放合规数占发放总数的比例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于2022年12月的发放完毕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收入增长率不低于1%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75、石财农【2021】115号提前下达2022年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农业生产发展资金（农业创新驿站）绩效目标表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1.创建1个</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农业创新驿站，促进科技推广转化，推动高质量农业发展。</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创新驿站个数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农业创新驿站数量1个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实际完成项目内容占应完成项目内容的比例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财政投入资金30万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示范推广及科技成果转化</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促进科技推广转化，推动高质量农业发展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促进科技推广转化，推动高质量农业发展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调查中满意和较满意技术员人数占调查总人数的比例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76、石财农【2021】115号提前下达2022年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农业生产发展资金（农业对外开放）绩效目标表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1.奖励农业企业认证1家，提升我区“鹿泉红薯”知名度。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补贴1家企业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资金发放合规金额占总发放金额的比例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按规定发放补贴资金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按规定发放补贴资金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是否提升我区知名度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提升我区知名度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提升我区知名度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77、石财农【2021】115号提前下达2022年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农业生产发展资金（苹果产业集群项目）绩效目标表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1.补贴企业冷库1座，延长产业链以获得更多的市场及利润。</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补贴企业冷库数量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补贴企业冷库1座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及时完成项目内容占全部项目内容的比例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财政投入补贴资金200万元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收入增长率不低于1%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78、石财农【2021】115号提前下达2022年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农业生产发展资金（葡萄产业集群项目）绩效目标表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1.建设设施葡萄高标准示范基地1个，吸纳果农、做强做大“鹿泉葡萄”品牌，以获得更多的市场及利润，提升品牌资产。</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高标准示范基地个数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建设设施葡萄高标准示范基地1个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及时完成项目内容占全部项目内容的比例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财政投入补贴资金150万元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收入增长率不低于1%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79、石财农【2021】115号提前下达2022年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农业生产发展资金（畜禽现代种业提升工程）绩效目标表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1.实施畜禽现代种业提升工程，补贴企业提升种畜禽场不少于1家，种畜禽质量和畜禽良种供应能力提高。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补贴现代种业提升种畜禽场数量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补贴现代种业提升种畜禽场数量不少于1个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实际完成项目建设内容占应建设内容的比例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财政补贴投入590万元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590万元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畜禽良种供应能力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畜禽良种供应能力提高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畜禽良种供应能力提高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服务对象对项目实施效果满意的比例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服务对象对项目实施效果满意的比例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80、石财农【2021】79号下达2022年中央土地指标跨省域调剂收入安排的支出预算（农村“厕所革命”整村推进奖补）绩效目标表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1.结合美丽乡村建设和农村厕所污水治理，为上庄镇、寺家庄镇、宜安镇3个乡镇建设污水处理设施，改善农村厕所粪污处理能力，提升农村生活环境质量。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污水处理设施验收达标情况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达到验收标准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达到验收标准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污水设备采购是否及时完成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及时采购污水设备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及时采购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财政投入资金259万元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259万元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石财农【2021】79号</w:t>
            </w:r>
          </w:p>
          <w:p>
            <w:pPr>
              <w:pStyle w:val="12"/>
              <w:widowControl/>
              <w:spacing w:beforeAutospacing="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完成污水处理设施采购的乡镇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完成污水处理设施采购的乡镇3个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改善农村厕所粪污处理能力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改善农村厕所粪污处理能力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改善农村厕所粪污处理能力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受益村民满意度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问卷调查中满意和较满意村民占调查总人数的比例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81、石财农【2021】81号下达2022年中央农业生产发展资金（农机购置补贴）绩效目标表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1.补贴我区农机机具120台，推动我区农业机械化向全程全面高质量转型升级，有效支撑粮食安全，促进农业高质量高效发展，助力乡村振兴、加快我区农业农村现代化发展。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补贴台数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补贴机具的台数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补贴覆盖的乡镇占我区乡镇数的比例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机具补贴标准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按政策标准补贴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12月底之前完成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农机作业水平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农机作业水平持续提升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农机作业水平持续提升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石家庄市鹿泉区2021-2023年农机购置补贴实施方案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购机户满意度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购机户对农业农村局服务的满意度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82、石财农【2021】84号下达2022年中央农业生产发展资金（强制免疫）绩效目标表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购置检测试剂、消毒药、防疫器械等数量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购置检测试剂50瓶、消毒药6吨、防疫器械200套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购置检测试剂50瓶、消毒药6吨、防疫器械200套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补贴村级防疫员数量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补贴村级防疫员不少于165名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≥165名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防疫员误工补助发放标准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按考核结果发放误工补助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按考核结果发放误工补助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83、石财农【2021】84号下达2022年中央农业生产发展资金（养殖环节无害化处理补贴）绩效目标表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1.处理我区病死畜禽数量不少于1500头，病死猪无害化处理率达到100%，促进我区病死猪全部实现无害化处理，确保病死猪不流向餐桌，不引起食品安全公共卫生事件。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55（含）cm以下45元/头（收集运输费10元/头、无害化处理费35元/头）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55-100（含）cm的90元/头（收集运输费15元/头、无害化处理费75元/头）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100cm以上160元/头（收集运输费35元/头，无害化处理费125元/头）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及时无害化处理数量占需要无害化处理数量的比例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病死畜禽引发生态环境安全次数（%）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84、石财农【2021】85号下达2022年中央农田建设补助资金绩效目标表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1.建设高标准农田26000亩，改善项目区农业生产基础设施条件，对农业增效，农民增收，农村发展起到了积极的推动作用。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节水灌溉面积（万亩）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节水灌溉面积（万亩）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85、石财农【2021】91号下达2022年市级农业转移支付资金（病死畜禽无害化处理全覆盖）绩效目标表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1.对猪以外以牛、羊、鸡为主的不少于1500头病死畜禽进行无害化处理，处理率达到100%，促进我区病死畜禽全部实现无害化处理，确保病死畜禽不流向餐桌，不引起食品安全公共卫生事件。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折算为猪单位进行补助，80元/猪单位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及时无害化处理数量/需要无害化处理数量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病死畜禽引发生态环境安全次数（%）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86、石财农【2021】91号下达2022年市级农业转移支付资金（菜篮子示范工程）绩效目标表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1.通过补贴3家企业，完善基地蔬菜、水果种植条件提升果蔬产品的品质。</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实际完成项目建设内容占应完成建设内容的比例</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财政补贴资金70万元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补贴企业3家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亩收入提高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提升蔬菜产品品质和产量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提高产品品质和产量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调查中满意和较满意企业数量占调查企业数量的比例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87、石财农【2021】91号下达2022年市级农业转移支付资金（村级技术员补助）绩效目标表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1.为我区195名村级技术员发放误工补贴，发放技术资料160份、技术宣传和指导不少于5次，发放科技书籍、开展业务调查、帮助用户反映解决农业生产技术问题等，提高农业科技普及率，推动农业农村经济发展。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发放村级农业技术员误工补贴人数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为195个村级农业技术员发放误工补贴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195人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村级农业技术员误工补贴每人每年600元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600元/年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业务调查上报率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实际上报次数占要求上报次数的比例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村级农业技术员误工补贴发放率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实际发放村级农业技术员补贴金额占计划发放补贴金额的比例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农业技术资料张贴数量（份）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农业技术资料张贴160份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农业常规技术宣传和指导服务次数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农业常规技术宣传和指导不少于5次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是否提高农业普及率，推动农业农村经济发展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提高农业普及率，推动农业农村经济发展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提高农业普及率，推动农业农村经济发展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村级农业技术员满意度(%)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调查中满意和较满意农业技术员人数占调查总人数的比例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88、石财农【2021】91号下达2022年市级农业转移支付资金（动物疫病防疫补助）绩效目标表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对不少于165名村级防疫员发放误工补助，做好全区重大动物疫病强制免疫工作及疫情排查工作，完成任务清单，免疫密度90%以上，抗体合格率保持70%以上，更好保护村级防疫员健康，确保全年不发生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村级防疫员数量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村级防疫员不少于165名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≥165名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实际发放防疫员误工补助资金占应发放补助的比例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及时发放防疫员误工补助资金占应发放补助的比例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防疫员误工补助发放标准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按规定发放防疫员误工补助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按规定发放防疫员误工补助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免疫密度保持90%以上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抗体合格率保持70%以上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89、石财农【2021】91号下达2022年市级农业转移支付资金（高标准农田建设）绩效目标表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1.建设高标准农田26000亩，改善项目区农业生产基础设施条件，对农业增效，农民增收，农村发展起到了积极的推动作用。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节水灌溉面积（万亩）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节水灌溉面积（万亩）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90、石财农【2021】91号下达2022年市级农业转移支付资金（节水农业补贴）绩效目标表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1.通过浅埋滴灌1.07万亩项目实施，加快推进高效节水灌溉，扭转农田“大水漫灌”现状，实现农业绿色发展、高质量发展。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浅埋滴灌亩数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浅埋滴灌亩数1.07万亩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1.07万亩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浅埋滴灌亩数完成率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实际完成浅埋滴灌亩数占应完成亩数的比例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及时完成项目内容占全部内容的比例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财政补贴资金64.2万元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64.2万元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亩节水60方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亩均节水60方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60方/亩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调查中满意和较满意企业数量占调查企业总数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91、石财农【2021】91号下达2022年市级农业转移支付资金（两品一标认证补贴）绩效目标表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1.主要用于弥补我区11家“两品一标”认证企业获证主体的环境抽检、产品检测、认证审核、标志使用、材料制作等方面的费用，有效提升农产品质量安全。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对认证企业补贴的数量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对11家认证企业进行补贴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实际发放补贴资金占应发补贴资金的比例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资金于10月底前全部发放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资金于10月底前全部发放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企业认证产品数量补贴标准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企业认证产品补助2万元、制定农业地方标准的每项0.2万元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绿色食品认证每个企业2万元、农业地方标准每项0.2万元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有效提升农产品质量安全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有效提升农产品质量安全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92、石财农【2021】91号下达2022年市级农业转移支付资金（奶业振兴）绩效目标表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1.对乳企2021年3月1日至5月31日收购12.9万吨省内生鲜乳予以补贴，稳定收购市场，不拒收奶农生鲜乳。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收购生鲜乳数量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收购生鲜乳数量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&gt;12.9万吨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实际发放补贴占应发补贴比例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2022年6月底前发放补贴资金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2022年6月底前发放补贴资金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市级补贴标准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稳定生鲜乳收购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稳定收购市场，不拒收奶农生鲜乳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稳定收购市场，不拒收奶农生鲜乳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93、石财农【2021】91号下达2022年市级农业转移支付资金（农村厕所奖补资金）绩效目标表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1.市级奖补2021年度农村改造厕所928座，改善农户厕所卫生环境，提升农户生活环境质量。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每座厕所补贴标准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每座厕所补贴1100元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1100元/座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2021年度农村户厕改造数量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2021年度农村户厕改造928座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928座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2021年度农村户厕改造率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2021年度农村户厕实际改造数量占应改造数量的比例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建设厕所任务完成及时率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及时完成农村户厕改造数量占应改造数量的比例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受益人数不低于2784人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≥2784人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改善农户厕所卫生环境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改善农户厕所卫生环境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改善农户厕所卫生环境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94、石财农【2021】91号下达2022年市级农业转移支付资金（农业产业化扶持资金）绩效目标表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1.支持我区不少于1家农业产业化重点龙头企业和产业化联合体发展，进一步健全产业化经营体系，助力全区农业农村经济稳步增长。</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联合体扶持资金不超过107万元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≤107万元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支持我区农业产业化联合体企业数量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支持我区农业产业化联合体企业不少于1家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补贴资金发放合规数占发放总数的比例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于2022年12月底发放完毕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收入增长率不低于1%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95、石财农【2021】91号下达2022年市级农业转移支付资金（农业创新驿站）绩效目标表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1.通过打造2个市级精品驿站，全面推进我区农业科技成果转化。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创建市级精品驿站数量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创建市级精品驿站数量2个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实际完成项目内容占应完成项目内容的比例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项目按期完成率100%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财政投入资金40万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受益群体数达到10户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p>
            <w:pPr>
              <w:pStyle w:val="12"/>
              <w:widowControl/>
              <w:spacing w:beforeAutospacing="0" w:afterAutospacing="0"/>
              <w:ind w:left="0" w:right="0"/>
              <w:rPr>
                <w:rFonts w:hint="default"/>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调查中满意和较满意技术员人数占调查总人数的比例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96、石财农【2021】91号下达2022年市级农业转移支付资金（农业规模经营发展扶持—合作社）绩效目标表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1.资金补贴5家合作社，用于农业服务设施设备购置和建设。加快培育壮大我区合作社，提升生产经营水平，强化服务带动功能，促进我区合作社高质量发展。</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补贴企业5家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合作社实际项目建设内容占项目批复建设内容的比例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合作社项目购置设备内容完成率（%）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合作社实际购置设备内容占项目批复购置内容的比例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合作社生产经营水平是否提升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合作社生产经营水平提升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合作社生产经营水平提升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97、石财农【2021】91号下达2022年市级农业转移支付资金（农业规模经营发展扶持—家庭农场）绩效目标表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1.资金补贴3家家庭农场，用于农业服务设施设备购置和建设。加快培育壮大我区家庭农场，提升生产经营水平，强化服务带动功能。</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家庭农场实际项目建设内容占项目批复建设内容的比例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家庭农场项目购置设备内容完成率（%）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家庭农场实际购置设备内容占项目批复购置内容的比例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财政补贴投入30万元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补贴企业3家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申报指南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家庭农场生产经营水平是否提升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家庭农场生产经营水平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家庭农场生产经营水平是否提升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98、石财农【2021】91号下达2022年市级农业转移支付资金（农业清洁生产）绩效目标表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1.通过补贴2个企业，清洁生产项目可以达到节水、节药、节肥、减少污染的目的。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补贴企业不少于2个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资金发放合规金额占总发放金额的比例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资金使用时间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资金按规定及时使用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按实施方案发放补贴资金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按实施方案发放补贴资金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减少白色污染，减少土壤污染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减少白色污染，减少土壤污染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减少白色污染，减少土壤污染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99、石财农【2021】91号下达2022年市级农业转移支付资金（稳定生猪生产补助）绩效目标表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1.通过对359头生猪出栏进行补贴，调动养殖场生产积极性，生猪产能得到恢复，为我区“菜篮子”市场供应提供了保障。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实际发放补贴金额占应发放补贴金额的比例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补贴生猪数量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补贴生猪数量359头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359头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补贴发放时限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2022年6月底前完成发放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2022年6月底前完成发放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补贴标准为92.95元/头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92.95元/头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保障我区生猪产能恢复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保障我区生猪产能恢复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保障我区生猪产能恢复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调查中满意和较满意占调查总数的比例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100、石财农【2021】91号下达2022年市级农业转移支付资金（现代农业示范区建设专项资金）绩效目标表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1.补贴市级现代农业园区1家，提升改造园区，增强我区园区可持续发展能力。</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建设数量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提升1个市级现代农业园区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项目实际完成内容占项目批复方案内容的比例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企业补贴金额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企业补贴100万元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园区提升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提升改造1个现代农业园区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101、石财农【2021】91号下达2022年市级农业转移支付资金（畜禽粪污资源化利用）绩效目标表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1.提升改造畜禽规模养殖场1个，按照农牧结合、种养平衡、生态循环的要求，以源头减量、过程控制、末端利用为路径，通过对畜禽规模养殖场提升改造，提升畜禽粪污综合利用水平，推动畜牧业可持续发展。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完成提升改造畜禽规模养殖场数量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完成提升改造畜禽规模养殖场数量1个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实际完成项目建设内容占应建设内容的比例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财政补贴投入100万元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畜禽粪污综合利用水平是否得到提升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畜禽粪污综合利用水平提升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畜禽粪污综合利用水平提升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服务对象对项目实施效果的满意度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102、石财农【2021】91号下达2022年市级农业转移支付资金（养殖环节病死猪无害化处理）绩效目标表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1.处理我区病死畜禽数量不少于1500头，病死猪无害化处理率达到100%，促进我区病死猪全部实现无害化处理，确保病死猪不流向餐桌，不引起食品安全公共卫生事件。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病死畜禽无害化处理数量不少于1500头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55（含）cm以下45元/头（收集运输费10元/头、无害化处理费35元/头）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55-100（含）cm的90元/头（收集运输费15元/头、无害化处理费75元/头）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100cm以上160元/头（收集运输费35元/头，无害化处理费125元/头）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160元/头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病死畜禽无害化处理及时率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及时无害化处理数量占需要无害化处理数量的比例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病死畜禽引发生态环境安全次数（%）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病死畜禽引发的生态环境安全事件次数0次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103、石财农【2021】91号下达2022年市级农业转移支付资金（优质粮食产业工程）绩效目标表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1.补贴企业2家，实现粮食绿色高质高效示范片的带动辐射作用，提高粮食食品的品质。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实际完成项目建设内容占应完成建设内容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按时完成项目内容占全部项目比例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财政补贴资金20万元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补贴企业2家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亩收入提高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亩节本增效150元以上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亩节本增效150元以上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亩均节水、肥、药量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亩均节水5%以上，亩均节药5%以上，亩均节肥20%以上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亩均节水20%以上，亩均节药5%以上，亩均节肥5%以上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调查中满意和较满意企业数量占调查企业比例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104、土地流转、土地规模经营主体奖励（2022）绩效目标表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1.对流转面积达到100亩以上、集中连片受让农户和流转土地规模经营的，给予经营主体100元/亩的一次性补助，村集体3万元一次性补助。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2022年预计补助土地流转面积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2022年预计补助土地流转面积2000亩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土地流转合同签订规范达标率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实际签订流转合同规范数量占总签订合同数量的比率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土地流转奖补补助发放按时完成率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按时完成发放土地流转奖补补助的资金占总补助资金的比率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集中连片流转面积达到100亩以上的补助标准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按文件要求集中连片流转面积达到100亩以上的，每亩补助100元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100元/亩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带动新增土地流转经营主体数量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带动新增土地流转经营主体数量不低于8个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鹿发[2009]16号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土地流转奖补补助对象满意度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土地流转奖补补助对象满意度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105、退役军人劳务派遣工资（2022）绩效目标表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1.对符合就业困难条件的军队退役人员3名，实行劳务派遣托底安置。</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2.帮扶救助资金及时到位，加大就业援助工作，实现退役军人就业，维护退役军人利益。</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退役军人工资发放人数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发放单位3名退役人员工资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退役军人人均工资标准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退役军人人均月工资标准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按规定执行</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退役军人工资发放覆盖率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实际发放人数占总人数的比例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按月及时发放3名退役军人工资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按月及时发放3名退役军人工资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按时发放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保障3名退役军人正常生活</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保障3名退役人员正常生活</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退役安置满意度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对退役安置满意和较满意人数占总人数的比例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问卷调查</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106、小额信贷贴息（2022）绩效目标表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1.帮助建档立卡贫困户解决贷款难问题，大力支持贫困户发展产业项目，巩固脱贫成果。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建档立卡贫困户贷款户数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建档立卡贫困户贷款户数，不少于一户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≥1户</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扶贫小额贷款贴息覆盖率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实际覆盖户数占应覆盖户数的比例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贴息及时发放率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及时发放贴息数额占应贴息数额的比例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贴息标准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按基准利率贴息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按基准利率贴息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是否巩固脱贫成果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巩固脱贫成果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巩固脱贫成果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建档立卡受益户满意度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建档立卡受益户满意度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107、畜禽屠宰无害化处理补贴（2022）绩效目标表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1.对屠宰企业在屠宰过程中发现的病害猪进行的无害化处理给予补贴，确保屠宰过程中发现的病害猪全部进行无害化处理，避免病死猪流向市场，引起食品安全事件的发生。</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畜禽屠宰无害化处理补助金发放率(%)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实际发放补助金额占应发放补助金额的比例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畜禽屠宰无害化处理数量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畜禽屠宰无害化处理数量不少于60头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畜禽屠宰无害化处理补贴标准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畜禽屠宰无害化处理补贴标准每头880元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880头/元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资金发放准时率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资金发放准时率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由病死畜禽引发食品安全次数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由病死畜禽引发的食品安全事件次数0次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由病死畜禽引发的食品安全事件次数0次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108、疫情处置及应急物资储备经费（2022）绩效目标表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1.购买应急人员防护用品500套、消杀用品20套、消毒药液2吨，减少全年全区的疫情发生，确保疫情发生控制在1次以下。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购买应急人员防护用品、消杀用品、消毒药液数量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购买应急人员防护用品500套、消杀用品20套、消毒药液2吨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购买应急人员防护用品500套、消杀用品20套、消毒药液2吨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应急物资采购完成率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实际采购物资占计划采购物资的比例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应急物资采购时限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2022年10月底前完成采购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2022年10月底前完成采购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应急物资采购成本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按市场价进行采购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按市场价进行采购</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全年发生疫情次数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全年发生疫情次数1次以下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109、于下达2021年中央农业生产发展资金（第二批）的通知（环京津奶业集群）绩效目标表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1.通过环京津冀奶业集群项目的实施，为我国奶牛群体改良提供数据参考，提高奶源基地质量安全监管水平，提高奶业科技创新能力</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奶牛核心育种场种子母牛测定数量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奶牛核心育种场种子母牛测定200头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婴幼儿配方乳粉新品种研发数量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婴幼儿配方乳粉新品种研发2个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购置奶牛场奶罐制冷机组控制器自动设备数量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购置奶牛场奶罐制冷机组控制器自动设备230套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230套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购置奶业科技创新中心新增检测设备数量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购置奶业科技创新中心新增检测设备20台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各项任务完成及时率（%）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及时完成各项任务占全部任务的比例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财政投入补贴资金610万元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610万元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实际完成建设内容占全部内容的比例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奶业科技创新能力是否提高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奶业科技创新能力得到提高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奶业科技创新能力得到提高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110、雨露计划（2022）绩效目标表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1.在每学期末对贫困学生的补助进行发放，达到国务院扶贫办下达的发放标准，减轻贫困家庭教育负担，提高教育水平，使贫困学生得到温暖和希望。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资助建档立卡学生人数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雨露计划资助建档立卡贫困学生人数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资助标准达标率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雨露计划资助建档立卡学生标准达标率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雨露计划补助资金发放及时率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雨露计划年补助建档立卡学生标准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受益建档立卡人数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受益建档立卡人数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≤26人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减轻建档立卡家庭负担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减轻建档立卡贫困家庭生活负担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逐步减轻</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受助建档立卡家庭满意度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111、原乡镇农机员、农技员、基层兽医生活补贴（2022）绩效目标表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1.补贴按时发放，发放资金165.793万元。“三员”生活补贴发放率达100%，为“三员”提供生活保障，妥善解决“三员”老有所养问题。</w:t>
            </w:r>
          </w:p>
          <w:p>
            <w:pPr>
              <w:pStyle w:val="12"/>
              <w:widowControl/>
              <w:spacing w:beforeAutospacing="0" w:afterAutospacing="0"/>
              <w:ind w:left="0" w:right="0"/>
              <w:rPr>
                <w:rFonts w:hint="default"/>
              </w:rPr>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领取“三员”补贴人员数量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领取“三员”补贴人数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493人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“三员”补贴资金发放率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实际发放“三员”补贴资金占应发放资金的比例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“三员”人员一次发放标准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按规定数额一次性发放“三员”补贴资金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按规定执行</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“三员”补贴资金发放时间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6月底前“三员”补贴资金发放到位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6月底前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提供493名三员人员生活保障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提供493名“三员”人员生活保障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493人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112、重大疫病防治经费（2022）绩效目标表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1.购置防疫物资，确保全年畜禽免疫密度达到100%，免疫畜禽抗体合格率达到80%，减少全年全区的疫情发生，疫情发生率控制在1次及以下。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购置高致病性猪蓝耳疫苗5000瓶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购置猪瘟疫苗7000瓶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7000瓶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动物防疫物资到位率达到100%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购买物资时限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9月上旬全部购买完毕并投入使用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购买防疫物资成本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按市场价购买防疫物资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免疫畜禽抗体合格率达到80%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全年动物畜禽免疫密度达到100%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动物疫情发生次数不高于1次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113、关于提前下达2021年市级农业转移支付资金的通知（检测能力提升）绩效目标表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1.加强实验室建设，对检定校准设备到期的设备进行仪器计量检定校准，提升检测能力和检测水平。</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2.配合省市开展对辖区农产品安全抽样，争取不发生重大农产品质量安全事件。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对实验室运行设备计量校准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实际校准设备数量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采购气相色谱仪检测有机氯耗材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实际耗材采购数量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抽检果蔬样品数量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实际完成配合上级抽样数量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≥185个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仪器校准完成率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实际计量校准的设备占检定到期应须计量校准设备的比率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检测耗材采购完成率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实际完成采购数量占任务量的比例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检测耗材采购完成率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抽样数量占任务量的比例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完成任务及时率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任务能够按上级要求完成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产品检测成本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样品成本、计量成本、耗材成本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按市场价格购买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长期使用性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长期使用性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影响的长期性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抽样单位对我机构检测服务的满意程度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114、农畜品及投入品检测专项经费（2022）绩效目标表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1.加强实验室建设，提升检测能力和检测水平，加大蔬牧渔产品检测力度，开展风险预警抽检工作，完成主管部门下达的任务。</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2.及时开展信息报送，让农产品监管部门领导掌握质量安全动态。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舆情信息数量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收集、分析、上报舆情信息的数量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≥10期</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上报区领导及相关部门的情报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农产品及投入品安全检测数量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实际检测样品批量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完成主管部门下达的任务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主管部门下达的检测任务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蔬菜检测项目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有机磷检测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CMA和CATL批准检测项目范围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畜产品检测项目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瘦肉精</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局监管部门要求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水产品检测项目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孔雀石绿、氯霉素、硝基呋喃类检测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局监管部门要求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投入品检测项目</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三聚氰胺、莱克多巴胺、盐酸克伦特罗检测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局监管部门要求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蔬菜抽检覆盖率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实际完成对基地抽检数量占基地现有数量的比率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区域内通过认证基地数量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畜产品抽检完成率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检测量占送检量的比率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主管部门下达的检测任务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水产品抽检完成率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检测量占送检量的比率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主管部门下达的检测任务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投入品抽检完成率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检测量占送检量的比率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主管部门下达的检测任务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完成样品检验任务及时率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样品检验任务能够按上级要求上报检测量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主管部门下达的检测期限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农畜品检测成本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样品成本、检测试剂成本、检测耗材成本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按市场价格购买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任务下达部门的要求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为区领导和农产品质量安全监管部门提供数据信息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检测数据信息上报时限与上级部门要求</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按照业务部门制定的上报时限完成 </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主管部门下达的检测任务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对农产品进行长期抽检</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客户满意度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抽样单位对我机构检测服务的满意程度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115、石财农【2021】91号下达2022年市级农业转移支付资金（检测能力提升）绩效目标表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1.农产品抽样数量不少于100个，以饲料、蔬菜、水果、禽蛋、肉品等为主要抽样品种，提升检测能力和检测水平，开展风险预警抽检、飞行抽检工作，完成上级部门下达的任务指标，保障我区农产品质量安全。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农产品抽样数量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农产品抽样数量不少于100个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产品抽检完成率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抽样数量占计划数量的比率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完成任务及时率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及时完成数量占总任务数量的比例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产品检测成本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样品成本、耗材成本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按市场价格购买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保障我区农产品质量安全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对产品进行长期抽检</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农户满意度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抽样单位对我机构检测服务的满意程度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116、关于提前下达2021年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大气污染防治专项转移支付预算的通知绩效目标表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1.于2022年12月前，支付沼气工程优化提升项目质保金，保证完成合同数量、质量达到验收标准，保证正常使用。</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2.于2022年12月前，支付沼气工程优化提升项目质保金，保证完成合同数量、质量达到验收标准，保证正常使用</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3.于2022年12月前，支付沼气工程优化提升项目质保金，保证完成合同数量、质量达到验收标准，保证正常使用</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4.于2022年12月前，支付沼气工程优化提升项目质保金，保证完成合同数量、质量达到验收标准，保证正常使用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沼液有机肥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年产沼液有机肥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≥2.05万吨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果树增收节支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通过化肥减量节支、果品增质增收，增加收入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粪污处理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解决当地养殖污染问题，养殖场粪污收集处理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100百分比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石财农[2020]121号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117、农村沼气工作经费（2022）绩效目标表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1.印刷沼气安全宣传资料不少于40000本。</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2.发放沼气安全宣传资料不少于12次。</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3.沼气工程安全检查不少于20次。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印刷计划完成数量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印刷沼气安全管理宣传资料计划完成数量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≥40000本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发放沼气安全宣传资料次数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对新能源技术、沼气安全管理资料进行下乡普及、宣传12次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对沼气工程进行安全检查次数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对沼气工程设施检查、阀门管道、用电设施、消防设施、安全报警装置进行安全检查20次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沼气安全宣传资料印刷合格率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按时完成印刷任务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按时完成印刷任务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2022年9月30日前完成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印刷沼气安全管理宣传资料的单册成本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较大以上安全生产事故发生数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较大以上安全生产事故发生数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≤1次 </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石家庄市沼气安全管理办法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118、农机安全工作经费（2022）绩效目标表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1.本年度完成农机事故应急演练2次，促进农机监理事业健康发展。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完成农机事故应急演练2次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完成农机事故应急演练2次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2次/年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农机事故应急演练完成情况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农机事故应急演练圆满完成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应急演练圆满完成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应急演练工作按时完成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应急演练按时完成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应急演练按时完成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场地租赁费用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场地租赁费用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2.88万元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社会影响力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在全区范围内产生的重要影响，得到广大群众充分认可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119、农机牌照制作及管理工本费（2022）绩效目标表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1.本年度完成农机安全宣传教育材料，业务大厅及检测间等修缮。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计划印制宣传材料数量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计划完成修葺平米数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≥1800份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业务大厅及检测间等修葺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计划完成修葺平米数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≥600平米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年底完成情况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年底完成情况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资金成本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项目完成效果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项目完成效果</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120、蝗虫、黄顶菊等及农业有害生物监测防控工作经费（2022）绩效目标表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1.完成农业有害生物蝗虫、黄顶菊等的监测防控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病虫害防治次数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蝗虫、黄顶菊、草地贪夜蛾等农业有害生物防治次数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病虫害防治有效率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病虫害防治有效面积占总防治面积的比率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病虫害防治按时完成率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病虫害防治按时完成次数占总防治次数的比率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蝗虫防治成本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防治蝗虫每亩成本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黄顶菊防治成本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防治黄顶菊每亩成本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草地贪夜蛾防治成本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防治草地贪夜蛾每亩成本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主要农作物病虫危害经济损失率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主要农作物病虫危害经济损失比率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农作物年总产量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农作物年总产量提高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主要粮食作物不产生重大病虫疫情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主要粮食作物不产生重大病虫疫情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主要粮食作物不产生重大病虫疫情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满足生态环保要求</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满足生态环保要求</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满足生态环保要求</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项目实施满意度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项目实施满意度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121、农药包装废弃物回收处理体系运行经费（2022）绩效目标表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农药包装废弃物回收率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回收的农药包装废弃物占总产生农药包装废弃物的比率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≥75%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农药包装废弃物处置率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处置的农药包装废弃物占回收的农药包装废弃物的比率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及时回收处置农药包装废弃物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及时回收处置农药包装废弃物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及时回收并处置农药包装废弃物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农药包装废弃物回收成本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农药包装废弃物回收成本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0.01个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农药包装废弃物处置成本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农药包装废弃物处置成本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500吨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保护农村生态环境，持续减轻农业面源污染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持续保护农村生态环境，减轻农业面源污染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持续保护农村生态环境，减轻农业面源污染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122、石财农【2021】112号下达2021年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农业生产救灾及特大防汛抗旱补助资金绩效目标表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1.对全区9.8万亩小麦实施田间管理，促苗扶壮，保障夏粮丰收。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实施小麦弱苗扶壮面积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实施小麦弱苗扶壮面积9.8万亩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9.8万亩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小麦促苗扶壮率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实施面积占总任务面积的比率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完成小麦促苗扶壮及时率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及时完成面积占任务目标的比率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小麦促苗扶壮成本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小麦促苗扶壮成本不高于5.79元/亩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≤5.79元/亩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较实施前亩增产小麦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较实施前亩增产小麦不低于50斤/亩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≥50斤/亩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保障粮食生产安全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保障粮食生产安全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保障粮食生产安全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提高小麦生产能力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提高小麦生产能力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保障粮食生产安全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123、石财农【2021】114号提前下达2022年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农产品质量安全及疫病防治资金（重大农作物病虫害监测预警）绩效目标表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1.对农作物病虫害监测调查分析，全年发布病虫确保10期以上，为上级指导科学防控提供依据，主要粮食作物不产生重大病虫疫情。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发布病虫情报数量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发布病虫情报不少于10期</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≥10期</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监测准确率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监测准确次数占监测总次数的比率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及时监测次数占总监测次数的比率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财政投入补贴资金14万元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控制病虫危害损失</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控制病虫危害损失在5%以下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保障粮食安全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主要粮食作物不产生重大病虫疫情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主要粮食作物不产生重大病虫疫情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主要粮食作物不产生重大疫情</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124、石财农【2021】115号提前下达2022年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农业生产发展资金（小麦玉米绿色防控示范区）绩效目标表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1.创建小麦、玉米两个绿色防控核心示范区，提升全区农作物绿色防控覆盖率，保障粮食生产安全、农产品质量安全、生态环境安全。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创建核心示范区数量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创建小麦玉米绿色防控示范区2个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核心示范区绿色防控主推技术到位率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核心示范区绿色防控主推技术到位率95%以上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绿色防控示范区完成时限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绿色防控示范区完成时限为2022年12月底之前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绿色防控示范区完成时限为2022年12月底之前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财政投入补助资金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财政投入补助资金25万元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提高农产品品质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提高农产品品质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提高农产品品质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降低环境污染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降低环境污染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降低环境污染</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绿色防控技术持续推广</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绿色防控技术持续推广</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绿色防控技术持续推广</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125、关于提前下达2021年中央农业生产发展资金的通知（专业农机手技能提升）绩效目标表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1.承担专业农机手技能提升工作，培训专业农机手50人，培训2天，提升农机手技能。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完成参加专业农机手技能提升50人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保障天数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累计培训2天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考核通过率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考核通过人数占考核人数的比例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提升农机手技能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有效提升农机手的技术水平，达到提质减损</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有效降低作物机收减损，提高粮食生产。</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培训受益人50人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服务对象满意度调查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调查满意和较满意的受训学员占受训学员人数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&gt;85%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调查问卷</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126、石财农【2021】115号提前下达2022年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农业生产发展资金（农机深松）绩效目标表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鹿泉区农机深松面积0.1万亩，每亩补贴30元，全部为夏季常规深松作业。深松作业达标率≥85%，作业深度≥30厘米，补助资金发放率100%，亩单产增长≥4%，亩节水≥5%。通过夏季深松作业，有效打破犁底层，充分利用夏秋两季天然降水，提高土壤蓄水保墒和抗旱防涝能力，实现节水、节肥、增产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深松补贴标准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深松补贴标准每亩30元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30元/亩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深松作业达标率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符合标准的深松面积占每个作业单位面积的比例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作业深度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作业深度30厘米及以上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≥30厘米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深松作业完成时间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深松作业面积于2022年7月前完成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2022年7月前完成作业</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深松面积0.1万亩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0.1万亩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亩单产平均增长率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深松后亩单产增长情况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深松作业节水率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深松后亩节水情况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2022年农机深松实施方案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发放补贴对象满意度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发放补贴对象满意度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历史经验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127、关于提前下达2021年中央农业生产发展资金的通知（高素质农民培育）绩效目标表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1.完成高素质农民培训50人</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2.完成高素质农民培训天数15天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高素质农民培训人数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完成培训高素质农民合格率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完成培训高素质农民按期完成率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生产经营水平提升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保障能力提升情况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参加高素质农民培训需要技能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参加培训农民调查满意度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128、关于提前下达2021年中央农业资源及生态保护补助资金预算的通知绩效目标表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1.60个监测点取土调查化验，开展耕地质量等级评价。</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2.完成2021年鹿泉区耕地质量调查监测与评价。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采集样品数量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采集样品数量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监测点取样化验率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取样点化验比例100%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100百分比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完成时限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2022年2月底前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项目预算控制额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项目预算控制总额</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等级评价覆盖面积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项目实施覆盖面积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≥32万亩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数据上报满意度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及时完成数据上报率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≥80百分比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129、农业技术推广服务经费（2022）绩效目标表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1.引进试验新品种10个</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2.培训一期，100人次</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3.农作物生育期调查99%以上</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4.下乡开展技术宣讲不少于12次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引进试验新品种、新技术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引进试验新品种、新技术不少于10个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组织培训农民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组织培训农民100人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农作物生育期调查率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农作物生育期调查率99%以上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下乡开展技术宣讲</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下乡开展技术宣讲不少于12次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试验区节水节肥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试验区实现节水节肥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节水节肥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生育期内完成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本季作物生育期内完成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生育期</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试验区农户节本增效</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试验区农行节本增效不少于5%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农民农业科技水平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农民农业科技水平逐步提高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逐步提高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农民对农技推广工作的满意度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农民对农技推广工作的满意度达到90%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130、石财农【2021】114号提前下达2022年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农产品质量安全及疫病防治资金（耕地质量监测与保护提升）绩效目标表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1.对全区4个耕地质量定位点进行作物生育期及土壤理化性状监测。及时上报汇总数据。协助河北省耕保中心迅速掌握所设监测点耕地质量状况，完成河北省耕地质量监测报告。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监测点数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耕地质量长期监测点个数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实际监测占应监测比例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按时完成率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2022年12月底以前完成数据上报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监测成本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财政补贴资金1.4万元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耕地质量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耕地质量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不下降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131、关于提前下达2021年中央农业生产发展资金的通知（高素质农民培育）绩效目标表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1.完成高素质农民培训人数50人</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2.完成高素质农民培训天数15天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高素质农民培训人数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培训天数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15天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完成培训高素质农民合格率占培训总学员数量的比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完成培训高素质农民,按期完成率=按期完成的培训任务数/总数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生产经营水平提升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50人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保障能力提升情况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参加高素质农民培训需要技能提升掌握2-3项培训新技能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参加高素质农民培训,调查满意和较满意培训学员数量占调查总人数的比例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132、农广校教育管理费（2022）绩效目标表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1.1、培训1000人次，农业农村实用技术和高素质农民。</w:t>
            </w: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2.2、培训10次</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3.3、印刷培训资料10000册。包括《大豆栽培新品种》、《互联网+现代农业》 《蔬菜绿色发展十大技术》 《 肥料知识》《疫情防控知识手册》等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农民教育培训人次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完成农村实用技术和高素质农民培训人次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农民教育培训次数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完成农村实用技术和高素质农民培训次数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农民教育培训合格率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完成培训农村实用技术和高素质农民合格率占培训总学员数量的比率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农民教育培训按时完成率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完成培训农村实用技术和高素质农民,按期完成率=按期完成的培训任务数/总数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农民教育培训人均成本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完成培训农村实用技术和高素质农民共1000人,成本:30元/人次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30元/人次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农民教育培训提升掌握技能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参加农村实用技术和高素质农民培训需要技能提升掌握2-3项培训新技能</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≥2项</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参加农村实用技术和高素质农民培训,调查满意和较满意培训学员数量占调查总人数的比例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133、关于下达2021年成品油价格调整对渔业补助资金（2020年度）的通知绩效目标表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1.完成养殖基础设施升级改造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2022年9月底前完成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截止到2022年9月底完成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实际建设内容占项目批复建设内容的比例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项目验收意见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财政补助投入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财政补助投入80万元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80万元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经济效益增长率达19%以上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≥19%</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受益企业数量1家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改善生态环境质量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生态环境质量得到改善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改善养殖环境，促进产业融合</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促进渔业健康发展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促进我区渔业健康发展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保持我区渔业健康发展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服务对象满意度占调查对象的百分比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134、石财农【2021】94号下达2022年成品油价格调整对渔业补助资金（2021年度）绩效目标表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1.补贴水产养殖企业2个，共计200万元，开展养殖基础设施升级改造以及供种繁育基地建设，提高水产养殖产量，提升企业养殖环境以及优质种苗生产能力，促进渔业可持续发展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补贴企业数量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补贴企业2个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项目建设完成时间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项目于2022年12月底完成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截止到2022年12月底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项目建设内容完成率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实际建设内容占项目批复建设内容的比例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财政补助投入</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财政补助投入200万元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经济效益增长率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经济效益提高5%以上</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企业社会影响力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提高企业社会影响力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企业社会影响力显著提升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改善养殖生态环境质量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养殖生态环境质量显著改善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改善养殖环境，促进产业融合</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水产养殖供应量及种苗生产力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水产养殖供应量及种苗生产力显著提升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水产养殖供应量及种苗生产能力显著提升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服务对象满意度占调查对象的百分比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135、水产推广、水产品质量安全监管工作经费（2022）绩效目标表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1.完成新品种示范1个，开展渔业标准化提升</w:t>
            </w:r>
          </w:p>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2.开展水产品质量安全宣传及水产品抽样检测60批次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水产品抽样批次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水产品抽样检测总批次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60批次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示范推广新品种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示范推广新品种</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完成此项工作情况占总体工作的比例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工作按时完成率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工作完成时间占计划时间的比例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完成工作的成本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完成此项工作的总体成本</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4.32万元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项目信息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完成工作的质量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完成工作的质量占总体工作的比例</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水产品质量合格率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提高水产品质量安全合格率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对社会的可持续影响力</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促进社会可持续发展</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水产品质量安全水平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提高水产品质量安全水平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明显提升水产品质量安全水平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检测结果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生态效益指标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养殖环境质量</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改善养殖环境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养殖环境得到改善</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136、渔业安全互保资金（渔民保费以奖代补资金）（2022）绩效目标表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1.完成对参加河北省渔业互保协会“渔民人身平安互助保险”的机动捕捞船渔民36人，发放“渔民人身平安互助保险”1.35万元，保障渔民生命安全。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发放补助的人数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发放渔民人身平安互助保险补助的人数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36人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发放补助的精准率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对所有参加渔业互保的渔民发放补贴的精确率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完成工作的时间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2022年11月底完成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渔业安全互保补贴人均补助标准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发放渔民人身平安互助保险人均补助资金</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375元/人</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渔民收入值</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提高渔民的年收入值</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促进渔民稳定增收</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渔业安全水平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提高渔业安全水平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渔业安全水平明显提高</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渔民人身安全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持续保障渔民的人身安全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持续保障渔民的生命安全</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渔民的满意度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受益群众满意度占比</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历年经验</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137、2020年黄壁庄镇高标准农田建设项目质保金（2022）绩效目标表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1.4600亩高标准农田验收合格。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≥4600亩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≥14.17千米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高效节水灌溉面积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高效节水灌溉面积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工程竣工及时率（%）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工程竣工及时率（%）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亩成本情况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亩成本情况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≥1300元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工程使用年限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工程使用年限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138、2020年中央预算内高标准农田建设项目绩效目标表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1.建设高标准农田1万亩，项目区农田灌溉得到保证。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≥25.5千米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高效节水灌溉面积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高效节水灌溉面积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≥490亩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完工项目验收合格率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完工项目验收合格率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工程建设按期完工比率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工程建设按期完工比率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139、高标准农田建设项目（维护）管理费（2022）绩效目标表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1.维护18个高标准农田项目，确保完好率95%以上。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高标准农田保有面积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高标准农田保有面积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≥14万亩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建成面积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高标准农田保有个数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高标准农田保有项目个数</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≥18个</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建成个数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农田水利设施维修工程质量合格率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xml:space="preserve">农田水利设施维修工程质量合格率 </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工程质量检查时间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每月抽查检查一次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≥4次</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完成及时率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亩成本情况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亩成本情况</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≥1.4元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社会效益显著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社会效益显著</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年度计划</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140、关于提前下达2021年</w:t>
      </w:r>
      <w:r>
        <w:rPr>
          <w:rFonts w:hint="eastAsia" w:ascii="方正仿宋_GBK" w:hAnsi="方正仿宋_GBK" w:eastAsia="方正仿宋_GBK" w:cs="方正仿宋_GBK"/>
          <w:b/>
          <w:color w:val="000000"/>
          <w:sz w:val="28"/>
          <w:lang w:eastAsia="zh-CN"/>
        </w:rPr>
        <w:t>区级</w:t>
      </w:r>
      <w:r>
        <w:rPr>
          <w:rFonts w:ascii="方正仿宋_GBK" w:hAnsi="方正仿宋_GBK" w:eastAsia="方正仿宋_GBK" w:cs="方正仿宋_GBK"/>
          <w:b/>
          <w:color w:val="000000"/>
          <w:sz w:val="28"/>
        </w:rPr>
        <w:t>农田建设补助资金（地方政府债券）的通知绩效目标表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1.建设高标准农田10000亩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141、关于提前下达2021年市级农业转移支付资金的通知（高标准农田建设）绩效目标表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1.建设高标准农田10000亩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≥25.5千米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142、关于提前下达2021年中央农田建设补助资金的通知绩效目标表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1.建设高标准农田10000亩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143、关于下达2021年第二批中央农田建设补助资金的通知绩效目标表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1.建设高标准农田10000亩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≥16千米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0" w:after="0"/>
        <w:ind w:firstLine="560"/>
        <w:jc w:val="left"/>
        <w:outlineLvl w:val="9"/>
      </w:pPr>
      <w:r>
        <w:rPr>
          <w:rFonts w:ascii="方正仿宋_GBK" w:hAnsi="方正仿宋_GBK" w:eastAsia="方正仿宋_GBK" w:cs="方正仿宋_GBK"/>
          <w:b/>
          <w:color w:val="000000"/>
          <w:sz w:val="28"/>
        </w:rPr>
        <w:t>144、关于下达2021年第一批省预算内基建支出预算的通知（高标准农田建设）绩效目标表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绩效目标</w:t>
            </w:r>
          </w:p>
        </w:tc>
        <w:tc>
          <w:tcPr>
            <w:tcW w:w="7399" w:type="dxa"/>
            <w:tcBorders>
              <w:bottom w:val="single" w:color="FFFFFF" w:sz="6" w:space="0"/>
            </w:tcBorders>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1.建设高标准农田10000亩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二级指标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三级指标</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绩效指标描述</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w:t>
            </w:r>
          </w:p>
        </w:tc>
        <w:tc>
          <w:tcPr>
            <w:tcW w:w="2466"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产出指标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高标准农田建设面积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≥10000亩</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数量指标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新建道路里程、面积</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≥25.5千米</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工程质量合格率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质量达标率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时效指标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完工及时率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≥100%</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成本指标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亩均补助标准</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≥1200元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经济效益指标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≥528元</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可持续影响指标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影响期限</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≥10年</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服务对象满意度指标</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受益群众满意度</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≥95%</w:t>
            </w:r>
          </w:p>
        </w:tc>
        <w:tc>
          <w:tcPr>
            <w:tcW w:w="2466"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初步设计</w:t>
            </w:r>
          </w:p>
        </w:tc>
      </w:tr>
    </w:tbl>
    <w:p>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2022年，石家庄市鹿泉区农业农村局安排政府采购预算3649.00万元。具体内容见下表。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326石家庄市鹿泉区农业农村局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75" w:hRule="atLeast"/>
          <w:tblHeader/>
          <w:jc w:val="center"/>
        </w:trPr>
        <w:tc>
          <w:tcPr>
            <w:tcW w:w="1848" w:type="dxa"/>
            <w:gridSpan w:val="2"/>
            <w:vAlign w:val="center"/>
          </w:tcPr>
          <w:p>
            <w:pPr>
              <w:pStyle w:val="10"/>
              <w:ind w:firstLine="0" w:firstLineChars="0"/>
              <w:rPr>
                <w:rFonts w:hint="default" w:ascii="Times New Roman" w:hAnsi="Times New Roman" w:eastAsia="Times New Roman" w:cs="Times New Roman"/>
                <w:sz w:val="20"/>
                <w:szCs w:val="20"/>
              </w:rPr>
            </w:pPr>
            <w:r>
              <w:t>政府采购项目来源</w:t>
            </w:r>
          </w:p>
        </w:tc>
        <w:tc>
          <w:tcPr>
            <w:tcW w:w="924" w:type="dxa"/>
            <w:vMerge w:val="restart"/>
            <w:vAlign w:val="center"/>
          </w:tcPr>
          <w:p>
            <w:pPr>
              <w:pStyle w:val="10"/>
              <w:ind w:firstLine="0" w:firstLineChars="0"/>
              <w:rPr>
                <w:rFonts w:hint="default" w:ascii="Times New Roman" w:hAnsi="Times New Roman" w:eastAsia="Times New Roman" w:cs="Times New Roman"/>
                <w:sz w:val="20"/>
                <w:szCs w:val="20"/>
              </w:rPr>
            </w:pPr>
            <w:r>
              <w:t>采购物品名称</w:t>
            </w:r>
          </w:p>
        </w:tc>
        <w:tc>
          <w:tcPr>
            <w:tcW w:w="924" w:type="dxa"/>
            <w:vMerge w:val="restart"/>
            <w:vAlign w:val="center"/>
          </w:tcPr>
          <w:p>
            <w:pPr>
              <w:pStyle w:val="10"/>
              <w:ind w:firstLine="0" w:firstLineChars="0"/>
              <w:rPr>
                <w:rFonts w:hint="default" w:ascii="Times New Roman" w:hAnsi="Times New Roman" w:eastAsia="Times New Roman" w:cs="Times New Roman"/>
                <w:sz w:val="20"/>
                <w:szCs w:val="20"/>
              </w:rPr>
            </w:pPr>
            <w:r>
              <w:t>政府采购目录序号</w:t>
            </w:r>
          </w:p>
        </w:tc>
        <w:tc>
          <w:tcPr>
            <w:tcW w:w="924" w:type="dxa"/>
            <w:vMerge w:val="restart"/>
            <w:vAlign w:val="center"/>
          </w:tcPr>
          <w:p>
            <w:pPr>
              <w:pStyle w:val="10"/>
              <w:ind w:firstLine="0" w:firstLineChars="0"/>
              <w:rPr>
                <w:rFonts w:hint="default" w:ascii="Times New Roman" w:hAnsi="Times New Roman" w:eastAsia="Times New Roman" w:cs="Times New Roman"/>
                <w:sz w:val="20"/>
                <w:szCs w:val="20"/>
              </w:rPr>
            </w:pPr>
            <w:r>
              <w:t>计量  单位</w:t>
            </w:r>
          </w:p>
        </w:tc>
        <w:tc>
          <w:tcPr>
            <w:tcW w:w="924" w:type="dxa"/>
            <w:vMerge w:val="restart"/>
            <w:vAlign w:val="center"/>
          </w:tcPr>
          <w:p>
            <w:pPr>
              <w:pStyle w:val="10"/>
              <w:ind w:firstLine="0" w:firstLineChars="0"/>
              <w:rPr>
                <w:rFonts w:hint="default" w:ascii="Times New Roman" w:hAnsi="Times New Roman" w:eastAsia="Times New Roman" w:cs="Times New Roman"/>
                <w:sz w:val="20"/>
                <w:szCs w:val="20"/>
              </w:rPr>
            </w:pPr>
            <w:r>
              <w:t>数量</w:t>
            </w:r>
          </w:p>
        </w:tc>
        <w:tc>
          <w:tcPr>
            <w:tcW w:w="924" w:type="dxa"/>
            <w:vMerge w:val="restart"/>
            <w:vAlign w:val="center"/>
          </w:tcPr>
          <w:p>
            <w:pPr>
              <w:pStyle w:val="10"/>
              <w:ind w:firstLine="0" w:firstLineChars="0"/>
              <w:rPr>
                <w:rFonts w:hint="default" w:ascii="Times New Roman" w:hAnsi="Times New Roman" w:eastAsia="Times New Roman" w:cs="Times New Roman"/>
                <w:sz w:val="20"/>
                <w:szCs w:val="20"/>
              </w:rPr>
            </w:pPr>
            <w:r>
              <w:t>单价</w:t>
            </w:r>
          </w:p>
        </w:tc>
        <w:tc>
          <w:tcPr>
            <w:tcW w:w="7392" w:type="dxa"/>
            <w:gridSpan w:val="8"/>
            <w:vAlign w:val="center"/>
          </w:tcPr>
          <w:p>
            <w:pPr>
              <w:pStyle w:val="10"/>
              <w:widowControl/>
              <w:spacing w:beforeAutospacing="0" w:afterAutospacing="0"/>
              <w:ind w:left="0" w:right="0"/>
              <w:rPr>
                <w:rFonts w:hint="default" w:ascii="Times New Roman" w:hAnsi="Times New Roman" w:eastAsia="Times New Roman" w:cs="Times New Roman"/>
                <w:sz w:val="20"/>
                <w:szCs w:val="20"/>
              </w:rPr>
            </w:pPr>
            <w:r>
              <w:t>政府采购金额（当年部门预算安排资金）</w:t>
            </w:r>
          </w:p>
        </w:tc>
        <w:tc>
          <w:tcPr>
            <w:tcW w:w="924" w:type="dxa"/>
            <w:vMerge w:val="restart"/>
            <w:vAlign w:val="center"/>
          </w:tcPr>
          <w:p>
            <w:pPr>
              <w:pStyle w:val="10"/>
              <w:ind w:firstLine="0" w:firstLineChars="0"/>
              <w:rPr>
                <w:rFonts w:hint="default" w:ascii="Times New Roman" w:hAnsi="Times New Roman" w:eastAsia="Times New Roman" w:cs="Times New Roman"/>
                <w:sz w:val="20"/>
                <w:szCs w:val="20"/>
              </w:rPr>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项目名称</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预算    资金</w:t>
            </w:r>
          </w:p>
        </w:tc>
        <w:tc>
          <w:tcPr>
            <w:tcW w:w="924"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合计</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一般公共预算拨款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基金预算拨款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国有资本经营预算拨款</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财政专户核拨</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单位    资金</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财政拨    款结转</w:t>
            </w:r>
          </w:p>
        </w:tc>
        <w:tc>
          <w:tcPr>
            <w:tcW w:w="924"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非财政    拨款结    转结余</w:t>
            </w:r>
          </w:p>
        </w:tc>
        <w:tc>
          <w:tcPr>
            <w:tcW w:w="924" w:type="dxa"/>
            <w:vMerge w:val="continue"/>
            <w:tcBorders/>
            <w:vAlign w:val="top"/>
          </w:tcPr>
          <w:p>
            <w:pPr>
              <w:widowControl/>
              <w:spacing w:before="0" w:beforeAutospacing="0" w:after="0" w:afterAutospacing="0"/>
              <w:ind w:left="0" w:right="0"/>
              <w:rPr>
                <w:rFonts w:hint="default" w:ascii="Times New Roman" w:hAnsi="Times New Roman" w:eastAsia="Times New Roman" w:cs="Times New Roman"/>
                <w:sz w:val="20"/>
                <w:szCs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合  计</w:t>
            </w: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6"/>
              <w:widowControl/>
              <w:spacing w:beforeAutospacing="0" w:afterAutospacing="0"/>
              <w:ind w:left="0" w:right="0"/>
              <w:rPr>
                <w:rFonts w:hint="default"/>
              </w:rPr>
            </w:pPr>
          </w:p>
        </w:tc>
        <w:tc>
          <w:tcPr>
            <w:tcW w:w="924" w:type="dxa"/>
            <w:vAlign w:val="center"/>
          </w:tcPr>
          <w:p>
            <w:pPr>
              <w:pStyle w:val="16"/>
              <w:widowControl/>
              <w:spacing w:beforeAutospacing="0" w:afterAutospacing="0"/>
              <w:ind w:left="0" w:right="0"/>
              <w:rPr>
                <w:rFonts w:hint="default"/>
              </w:rPr>
            </w:pPr>
          </w:p>
        </w:tc>
        <w:tc>
          <w:tcPr>
            <w:tcW w:w="924" w:type="dxa"/>
            <w:vAlign w:val="center"/>
          </w:tcPr>
          <w:p>
            <w:pPr>
              <w:pStyle w:val="14"/>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3649.00</w:t>
            </w: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3568.00</w:t>
            </w: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3467.70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widowControl/>
              <w:spacing w:beforeAutospacing="0" w:afterAutospacing="0"/>
              <w:ind w:left="0" w:right="0"/>
              <w:rPr>
                <w:rFonts w:hint="default"/>
              </w:rPr>
            </w:pPr>
            <w:r>
              <w:rPr>
                <w:rFonts w:hint="default" w:ascii="Times New Roman" w:hAnsi="Times New Roman" w:eastAsia="Times New Roman" w:cs="Times New Roman"/>
                <w:sz w:val="20"/>
                <w:szCs w:val="20"/>
              </w:rPr>
              <w:t>石家庄市鹿泉区农业农村局本级小计</w:t>
            </w: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6"/>
              <w:widowControl/>
              <w:spacing w:beforeAutospacing="0" w:afterAutospacing="0"/>
              <w:ind w:left="0" w:right="0"/>
              <w:rPr>
                <w:rFonts w:hint="default"/>
              </w:rPr>
            </w:pPr>
          </w:p>
        </w:tc>
        <w:tc>
          <w:tcPr>
            <w:tcW w:w="924" w:type="dxa"/>
            <w:vAlign w:val="center"/>
          </w:tcPr>
          <w:p>
            <w:pPr>
              <w:pStyle w:val="16"/>
              <w:widowControl/>
              <w:spacing w:beforeAutospacing="0" w:afterAutospacing="0"/>
              <w:ind w:left="0" w:right="0"/>
              <w:rPr>
                <w:rFonts w:hint="default"/>
              </w:rPr>
            </w:pPr>
          </w:p>
        </w:tc>
        <w:tc>
          <w:tcPr>
            <w:tcW w:w="924" w:type="dxa"/>
            <w:vAlign w:val="center"/>
          </w:tcPr>
          <w:p>
            <w:pPr>
              <w:pStyle w:val="14"/>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3649.00</w:t>
            </w: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3568.00</w:t>
            </w: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p>
        </w:tc>
        <w:tc>
          <w:tcPr>
            <w:tcW w:w="924" w:type="dxa"/>
            <w:vAlign w:val="center"/>
          </w:tcPr>
          <w:p>
            <w:pPr>
              <w:pStyle w:val="15"/>
              <w:widowControl/>
              <w:spacing w:beforeAutospacing="0" w:afterAutospacing="0"/>
              <w:ind w:left="0" w:right="0"/>
              <w:rPr>
                <w:rFonts w:hint="default"/>
              </w:rPr>
            </w:pPr>
            <w:r>
              <w:rPr>
                <w:rFonts w:hint="default" w:ascii="Times New Roman" w:hAnsi="Times New Roman" w:eastAsia="Times New Roman" w:cs="Times New Roman"/>
                <w:sz w:val="20"/>
                <w:szCs w:val="20"/>
              </w:rPr>
              <w:t>3467.70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石财农【2021】113号关于提前下达2022年</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农田建设补助资金（地方政府债券）的通知</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790.00</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灌溉排水工程施工</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B020910</w:t>
            </w:r>
          </w:p>
        </w:tc>
        <w:tc>
          <w:tcPr>
            <w:tcW w:w="9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790.00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790.00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790.00</w:t>
            </w: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石财农【2021】115号提前下达2022年</w:t>
            </w:r>
            <w:r>
              <w:rPr>
                <w:rFonts w:hint="eastAsia" w:ascii="Times New Roman" w:hAnsi="Times New Roman" w:eastAsia="宋体" w:cs="Times New Roman"/>
                <w:sz w:val="20"/>
                <w:szCs w:val="20"/>
                <w:lang w:eastAsia="zh-CN"/>
              </w:rPr>
              <w:t>区级</w:t>
            </w:r>
            <w:r>
              <w:rPr>
                <w:rFonts w:hint="default" w:ascii="Times New Roman" w:hAnsi="Times New Roman" w:eastAsia="Times New Roman" w:cs="Times New Roman"/>
                <w:sz w:val="20"/>
                <w:szCs w:val="20"/>
              </w:rPr>
              <w:t>农业生产发展资金（奶业振兴）</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540.54</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家禽遗产材料</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A120404</w:t>
            </w:r>
          </w:p>
        </w:tc>
        <w:tc>
          <w:tcPr>
            <w:tcW w:w="9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枚</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360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0.20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72.00</w:t>
            </w: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石财农【2021】79号下达2022年中央土地指标跨省域调剂收入安排的支出预算（农村“厕所革命”整村推进奖补）</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水质污染防治设备</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A032402</w:t>
            </w:r>
          </w:p>
        </w:tc>
        <w:tc>
          <w:tcPr>
            <w:tcW w:w="9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套</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259.00</w:t>
            </w: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77.70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石财农【2021】85号下达2022年中央农田建设补助资金</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2447.00</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灌溉排水工程施工</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B020910</w:t>
            </w:r>
          </w:p>
        </w:tc>
        <w:tc>
          <w:tcPr>
            <w:tcW w:w="9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2447.00</w:t>
            </w: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2447.00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石财农【2021】91号下达2022年市级农业转移支付资金（高标准农田建设）</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灌溉排水工程施工</w:t>
            </w:r>
          </w:p>
        </w:tc>
        <w:tc>
          <w:tcPr>
            <w:tcW w:w="924"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B020910</w:t>
            </w:r>
          </w:p>
        </w:tc>
        <w:tc>
          <w:tcPr>
            <w:tcW w:w="924"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p>
        </w:tc>
        <w:tc>
          <w:tcPr>
            <w:tcW w:w="924"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81.00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石家庄市鹿泉区农业农村局（含所属单位）上年末固定资产金额为2150.31万元（详见下表）。本年度拟购置固定资产总额为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pPr>
              <w:pStyle w:val="9"/>
              <w:widowControl/>
              <w:spacing w:beforeAutospacing="0" w:afterAutospacing="0"/>
              <w:ind w:left="0" w:right="0"/>
              <w:rPr>
                <w:rFonts w:hint="default"/>
              </w:rPr>
            </w:pPr>
            <w:r>
              <w:rPr>
                <w:rFonts w:hint="default" w:ascii="Times New Roman" w:hAnsi="Times New Roman" w:eastAsia="Times New Roman" w:cs="Times New Roman"/>
                <w:sz w:val="20"/>
                <w:szCs w:val="20"/>
              </w:rPr>
              <w:t>326石家庄市鹿泉区农业农村局</w:t>
            </w:r>
            <w:r>
              <w:rPr>
                <w:rFonts w:hint="eastAsia" w:ascii="Times New Roman" w:hAnsi="Times New Roman" w:eastAsia="宋体" w:cs="Times New Roman"/>
                <w:sz w:val="20"/>
                <w:szCs w:val="20"/>
                <w:lang w:val="en-US" w:eastAsia="zh-CN"/>
              </w:rPr>
              <w:t xml:space="preserve">                                                                                                   </w:t>
            </w:r>
            <w:r>
              <w:rPr>
                <w:rFonts w:hint="default" w:ascii="Times New Roman" w:hAnsi="Times New Roman" w:eastAsia="Times New Roman" w:cs="Times New Roman"/>
                <w:sz w:val="20"/>
                <w:szCs w:val="20"/>
              </w:rPr>
              <w:t>截止时间：202</w:t>
            </w:r>
            <w:r>
              <w:rPr>
                <w:rFonts w:hint="eastAsia" w:ascii="Times New Roman" w:hAnsi="Times New Roman" w:eastAsia="Times New Roman" w:cs="Times New Roman"/>
                <w:sz w:val="20"/>
                <w:szCs w:val="20"/>
                <w:lang w:val="en-US" w:eastAsia="zh-CN"/>
              </w:rPr>
              <w:t>1</w:t>
            </w:r>
            <w:r>
              <w:rPr>
                <w:rFonts w:hint="default" w:ascii="Times New Roman" w:hAnsi="Times New Roman" w:eastAsia="Times New Roman" w:cs="Times New Roman"/>
                <w:sz w:val="20"/>
                <w:szCs w:val="20"/>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项   目</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数量</w:t>
            </w:r>
          </w:p>
        </w:tc>
        <w:tc>
          <w:tcPr>
            <w:tcW w:w="4933" w:type="dxa"/>
            <w:vAlign w:val="center"/>
          </w:tcPr>
          <w:p>
            <w:pPr>
              <w:pStyle w:val="10"/>
              <w:widowControl/>
              <w:spacing w:beforeAutospacing="0" w:afterAutospacing="0"/>
              <w:ind w:left="0" w:right="0"/>
              <w:rPr>
                <w:rFonts w:hint="default"/>
              </w:rPr>
            </w:pPr>
            <w:r>
              <w:rPr>
                <w:rFonts w:hint="default" w:ascii="Times New Roman" w:hAnsi="Times New Roman" w:eastAsia="Times New Roman" w:cs="Times New Roman"/>
                <w:sz w:val="20"/>
                <w:szCs w:val="20"/>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资产总额</w:t>
            </w:r>
          </w:p>
        </w:tc>
        <w:tc>
          <w:tcPr>
            <w:tcW w:w="4933" w:type="dxa"/>
            <w:vAlign w:val="center"/>
          </w:tcPr>
          <w:p>
            <w:pPr>
              <w:pStyle w:val="13"/>
              <w:widowControl/>
              <w:spacing w:beforeAutospacing="0" w:afterAutospacing="0"/>
              <w:ind w:left="0" w:right="0"/>
              <w:rPr>
                <w:rFonts w:hint="default"/>
              </w:rPr>
            </w:pP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2150.31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1、房屋（平方米）</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4188.20</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　　其中：办公用房（平方米）</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1045.70</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122.30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2、车辆（台、辆）</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16</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163.92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3、单价在20万元以上的设备</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3</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207.22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widowControl/>
              <w:spacing w:beforeAutospacing="0" w:afterAutospacing="0"/>
              <w:ind w:left="0" w:right="0"/>
              <w:rPr>
                <w:rFonts w:hint="default"/>
              </w:rPr>
            </w:pPr>
            <w:r>
              <w:rPr>
                <w:rFonts w:hint="default" w:ascii="Times New Roman" w:hAnsi="Times New Roman" w:eastAsia="Times New Roman" w:cs="Times New Roman"/>
                <w:sz w:val="20"/>
                <w:szCs w:val="20"/>
              </w:rPr>
              <w:t>4、其他固定资产</w:t>
            </w:r>
          </w:p>
        </w:tc>
        <w:tc>
          <w:tcPr>
            <w:tcW w:w="4933" w:type="dxa"/>
            <w:vAlign w:val="center"/>
          </w:tcPr>
          <w:p>
            <w:pPr>
              <w:pStyle w:val="13"/>
              <w:widowControl/>
              <w:spacing w:beforeAutospacing="0" w:afterAutospacing="0"/>
              <w:ind w:left="0" w:right="0"/>
              <w:rPr>
                <w:rFonts w:hint="default"/>
              </w:rPr>
            </w:pPr>
            <w:r>
              <w:rPr>
                <w:rFonts w:hint="default" w:ascii="Times New Roman" w:hAnsi="Times New Roman" w:eastAsia="Times New Roman" w:cs="Times New Roman"/>
                <w:sz w:val="20"/>
                <w:szCs w:val="20"/>
              </w:rPr>
              <w:t>2134</w:t>
            </w:r>
          </w:p>
        </w:tc>
        <w:tc>
          <w:tcPr>
            <w:tcW w:w="4933" w:type="dxa"/>
            <w:vAlign w:val="center"/>
          </w:tcPr>
          <w:p>
            <w:pPr>
              <w:pStyle w:val="11"/>
              <w:widowControl/>
              <w:spacing w:beforeAutospacing="0" w:afterAutospacing="0"/>
              <w:ind w:left="0" w:right="0"/>
              <w:rPr>
                <w:rFonts w:hint="default"/>
              </w:rPr>
            </w:pPr>
            <w:r>
              <w:rPr>
                <w:rFonts w:hint="default" w:ascii="Times New Roman" w:hAnsi="Times New Roman" w:eastAsia="Times New Roman" w:cs="Times New Roman"/>
                <w:sz w:val="20"/>
                <w:szCs w:val="20"/>
              </w:rPr>
              <w:t>1581.38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18" w:name="_GoBack"/>
      <w:bookmarkEnd w:id="18"/>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86"/>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MS PGothic">
    <w:panose1 w:val="020B0600070205080204"/>
    <w:charset w:val="80"/>
    <w:family w:val="auto"/>
    <w:pitch w:val="default"/>
    <w:sig w:usb0="E00002FF" w:usb1="6AC7FDFB" w:usb2="00000012" w:usb3="00000000" w:csb0="4002009F" w:csb1="DFD7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4"/>
  <w:bordersDoNotSurroundHeader w:val="0"/>
  <w:bordersDoNotSurroundFooter w:val="0"/>
  <w:documentProtection w:enforcement="0"/>
  <w:defaultTabStop w:val="720"/>
  <w:evenAndOddHeaders w:val="1"/>
  <w:displayHorizontalDrawingGridEvery w:val="1"/>
  <w:displayVerticalDrawingGridEvery w:val="1"/>
  <w:noPunctuationKerning w:val="1"/>
  <w:characterSpacingControl w:val="doNotCompres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00172A27"/>
    <w:rsid w:val="00A05947"/>
    <w:rsid w:val="013B3503"/>
    <w:rsid w:val="01557403"/>
    <w:rsid w:val="021F7AAD"/>
    <w:rsid w:val="028C61A4"/>
    <w:rsid w:val="03FD0897"/>
    <w:rsid w:val="0457222B"/>
    <w:rsid w:val="04A721C3"/>
    <w:rsid w:val="050C2B6D"/>
    <w:rsid w:val="06705212"/>
    <w:rsid w:val="06751A90"/>
    <w:rsid w:val="071E1739"/>
    <w:rsid w:val="07523BBB"/>
    <w:rsid w:val="076038FD"/>
    <w:rsid w:val="08AD5B46"/>
    <w:rsid w:val="09184D77"/>
    <w:rsid w:val="09BC51EB"/>
    <w:rsid w:val="09D542E1"/>
    <w:rsid w:val="09F31262"/>
    <w:rsid w:val="0C5F3362"/>
    <w:rsid w:val="0E396B57"/>
    <w:rsid w:val="0E404637"/>
    <w:rsid w:val="0EDC3C6E"/>
    <w:rsid w:val="0FD31B50"/>
    <w:rsid w:val="10723AF0"/>
    <w:rsid w:val="10ED4953"/>
    <w:rsid w:val="11D86281"/>
    <w:rsid w:val="124709C8"/>
    <w:rsid w:val="12597FFB"/>
    <w:rsid w:val="12953A0A"/>
    <w:rsid w:val="129E325B"/>
    <w:rsid w:val="12B13F34"/>
    <w:rsid w:val="13126EAF"/>
    <w:rsid w:val="1395665E"/>
    <w:rsid w:val="13E743DB"/>
    <w:rsid w:val="149956E8"/>
    <w:rsid w:val="14BA6754"/>
    <w:rsid w:val="158C14E9"/>
    <w:rsid w:val="16015E16"/>
    <w:rsid w:val="165669B3"/>
    <w:rsid w:val="177108B7"/>
    <w:rsid w:val="18955B21"/>
    <w:rsid w:val="193C01C2"/>
    <w:rsid w:val="1A035C67"/>
    <w:rsid w:val="1A5C3B8D"/>
    <w:rsid w:val="1AED4CD2"/>
    <w:rsid w:val="1B82223F"/>
    <w:rsid w:val="1C512181"/>
    <w:rsid w:val="1CDE24E1"/>
    <w:rsid w:val="1D783E38"/>
    <w:rsid w:val="1E1C5A2D"/>
    <w:rsid w:val="1EBA0128"/>
    <w:rsid w:val="1EF421A0"/>
    <w:rsid w:val="1F0E6E76"/>
    <w:rsid w:val="220C65CA"/>
    <w:rsid w:val="22CC6B62"/>
    <w:rsid w:val="22E935A0"/>
    <w:rsid w:val="233E5662"/>
    <w:rsid w:val="23F64D8F"/>
    <w:rsid w:val="243F5FD3"/>
    <w:rsid w:val="24F35FAE"/>
    <w:rsid w:val="24FB5BFE"/>
    <w:rsid w:val="25A9353B"/>
    <w:rsid w:val="27C97CD5"/>
    <w:rsid w:val="27E46300"/>
    <w:rsid w:val="287C2FFC"/>
    <w:rsid w:val="29DA7114"/>
    <w:rsid w:val="2A3D53A2"/>
    <w:rsid w:val="2A6D29D6"/>
    <w:rsid w:val="2A755335"/>
    <w:rsid w:val="2A7E12F7"/>
    <w:rsid w:val="2B7042D3"/>
    <w:rsid w:val="2BA7393C"/>
    <w:rsid w:val="2BE45C98"/>
    <w:rsid w:val="2E365D60"/>
    <w:rsid w:val="2E4F57B2"/>
    <w:rsid w:val="2EBD39DD"/>
    <w:rsid w:val="2EC65614"/>
    <w:rsid w:val="2F8816CE"/>
    <w:rsid w:val="2FB326A2"/>
    <w:rsid w:val="300A115E"/>
    <w:rsid w:val="31F04D40"/>
    <w:rsid w:val="329A5AD0"/>
    <w:rsid w:val="341344FC"/>
    <w:rsid w:val="34536A6A"/>
    <w:rsid w:val="34C157C0"/>
    <w:rsid w:val="34F551BF"/>
    <w:rsid w:val="3531517E"/>
    <w:rsid w:val="35364995"/>
    <w:rsid w:val="3549701D"/>
    <w:rsid w:val="36EE24D5"/>
    <w:rsid w:val="38887C54"/>
    <w:rsid w:val="38E6427E"/>
    <w:rsid w:val="3B27454B"/>
    <w:rsid w:val="3C217AB5"/>
    <w:rsid w:val="3D5E72BC"/>
    <w:rsid w:val="3E9140FF"/>
    <w:rsid w:val="3F697DD0"/>
    <w:rsid w:val="413A5867"/>
    <w:rsid w:val="416E7C67"/>
    <w:rsid w:val="41B934C0"/>
    <w:rsid w:val="42072AE7"/>
    <w:rsid w:val="420B37F2"/>
    <w:rsid w:val="42DD58BF"/>
    <w:rsid w:val="43EA4D64"/>
    <w:rsid w:val="44040694"/>
    <w:rsid w:val="44372678"/>
    <w:rsid w:val="44AC68B4"/>
    <w:rsid w:val="45134858"/>
    <w:rsid w:val="45921A31"/>
    <w:rsid w:val="466C1008"/>
    <w:rsid w:val="468165DA"/>
    <w:rsid w:val="46EC05E8"/>
    <w:rsid w:val="47210E42"/>
    <w:rsid w:val="47562B8C"/>
    <w:rsid w:val="47700CF9"/>
    <w:rsid w:val="47A066A2"/>
    <w:rsid w:val="48D46053"/>
    <w:rsid w:val="49300BA2"/>
    <w:rsid w:val="49867383"/>
    <w:rsid w:val="4B394349"/>
    <w:rsid w:val="4B98264D"/>
    <w:rsid w:val="4C924DA0"/>
    <w:rsid w:val="4CBA5157"/>
    <w:rsid w:val="4D5C2AD0"/>
    <w:rsid w:val="4EBB1751"/>
    <w:rsid w:val="50592CC2"/>
    <w:rsid w:val="50911A22"/>
    <w:rsid w:val="509B29BA"/>
    <w:rsid w:val="50BF0009"/>
    <w:rsid w:val="50E1397A"/>
    <w:rsid w:val="52496EA3"/>
    <w:rsid w:val="53106254"/>
    <w:rsid w:val="53793BA0"/>
    <w:rsid w:val="53B22BA0"/>
    <w:rsid w:val="542A68E9"/>
    <w:rsid w:val="5444108C"/>
    <w:rsid w:val="548263D4"/>
    <w:rsid w:val="54A820BC"/>
    <w:rsid w:val="54D167FB"/>
    <w:rsid w:val="562508CF"/>
    <w:rsid w:val="56D65686"/>
    <w:rsid w:val="576D201F"/>
    <w:rsid w:val="57B0086C"/>
    <w:rsid w:val="57FB3D90"/>
    <w:rsid w:val="584D6EB8"/>
    <w:rsid w:val="58620690"/>
    <w:rsid w:val="58947520"/>
    <w:rsid w:val="58AB003F"/>
    <w:rsid w:val="58B21713"/>
    <w:rsid w:val="590C24AA"/>
    <w:rsid w:val="59342BE6"/>
    <w:rsid w:val="5A5917F2"/>
    <w:rsid w:val="5AC24977"/>
    <w:rsid w:val="5B867F38"/>
    <w:rsid w:val="5BD42EE4"/>
    <w:rsid w:val="5C36065D"/>
    <w:rsid w:val="5C4A1B0F"/>
    <w:rsid w:val="5C724D7D"/>
    <w:rsid w:val="5CA27621"/>
    <w:rsid w:val="5CF03439"/>
    <w:rsid w:val="5D8D42D1"/>
    <w:rsid w:val="5E1075E1"/>
    <w:rsid w:val="5F6A5084"/>
    <w:rsid w:val="5F97530B"/>
    <w:rsid w:val="5FAC5C6D"/>
    <w:rsid w:val="607B1C59"/>
    <w:rsid w:val="60E012A7"/>
    <w:rsid w:val="61031499"/>
    <w:rsid w:val="615566D7"/>
    <w:rsid w:val="621619FB"/>
    <w:rsid w:val="63DC7B57"/>
    <w:rsid w:val="65945781"/>
    <w:rsid w:val="65D2271B"/>
    <w:rsid w:val="66AA3863"/>
    <w:rsid w:val="67286C5A"/>
    <w:rsid w:val="687419EA"/>
    <w:rsid w:val="68E403E8"/>
    <w:rsid w:val="69981E7E"/>
    <w:rsid w:val="6A676A89"/>
    <w:rsid w:val="6A75304E"/>
    <w:rsid w:val="6AEB77FD"/>
    <w:rsid w:val="6C6860E7"/>
    <w:rsid w:val="6C7E7F74"/>
    <w:rsid w:val="6D351FB7"/>
    <w:rsid w:val="6D4C0FC1"/>
    <w:rsid w:val="6E263389"/>
    <w:rsid w:val="6E9C66BD"/>
    <w:rsid w:val="6F825C93"/>
    <w:rsid w:val="70503E6C"/>
    <w:rsid w:val="70EB6429"/>
    <w:rsid w:val="71D1469B"/>
    <w:rsid w:val="733E6258"/>
    <w:rsid w:val="7361367B"/>
    <w:rsid w:val="73715FE5"/>
    <w:rsid w:val="73B711C6"/>
    <w:rsid w:val="743C1E83"/>
    <w:rsid w:val="746933F6"/>
    <w:rsid w:val="74B83528"/>
    <w:rsid w:val="74CB0193"/>
    <w:rsid w:val="75695DD7"/>
    <w:rsid w:val="758A6369"/>
    <w:rsid w:val="76B344CD"/>
    <w:rsid w:val="77792F92"/>
    <w:rsid w:val="77A86823"/>
    <w:rsid w:val="77D6332B"/>
    <w:rsid w:val="78475954"/>
    <w:rsid w:val="790E1A88"/>
    <w:rsid w:val="79372519"/>
    <w:rsid w:val="79C3512B"/>
    <w:rsid w:val="7A4C3BA2"/>
    <w:rsid w:val="7A9D6FB6"/>
    <w:rsid w:val="7B5909EE"/>
    <w:rsid w:val="7C362B72"/>
    <w:rsid w:val="7DEF6849"/>
    <w:rsid w:val="7DFD0A98"/>
    <w:rsid w:val="7E1B3FE0"/>
    <w:rsid w:val="7F035F71"/>
    <w:rsid w:val="7F5D1B03"/>
    <w:rsid w:val="7FB47C68"/>
    <w:rsid w:val="7FF4035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zh-CN" w:bidi="ar-SA"/>
    </w:rPr>
  </w:style>
  <w:style w:type="character" w:default="1" w:styleId="4">
    <w:name w:val="Default Paragraph Font"/>
    <w:unhideWhenUsed/>
    <w:uiPriority w:val="1"/>
  </w:style>
  <w:style w:type="table" w:default="1" w:styleId="5">
    <w:name w:val="Normal Table"/>
    <w:unhideWhenUsed/>
    <w:qFormat/>
    <w:uiPriority w:val="99"/>
    <w:pPr>
      <w:widowControl/>
      <w:spacing w:before="0" w:beforeAutospacing="0" w:after="0" w:afterAutospacing="0"/>
      <w:ind w:left="0" w:right="0"/>
    </w:pPr>
    <w:rPr>
      <w:rFonts w:hint="default" w:ascii="Times New Roman" w:hAnsi="Times New Roman" w:eastAsia="Times New Roman" w:cs="Times New Roman"/>
      <w:sz w:val="20"/>
      <w:szCs w:val="20"/>
    </w:rPr>
    <w:tblPr>
      <w:tblLayout w:type="fixed"/>
      <w:tblCellMar>
        <w:top w:w="0" w:type="dxa"/>
        <w:left w:w="108" w:type="dxa"/>
        <w:bottom w:w="0" w:type="dxa"/>
        <w:right w:w="108" w:type="dxa"/>
      </w:tblCellMar>
    </w:tblPr>
  </w:style>
  <w:style w:type="paragraph" w:customStyle="1" w:styleId="2">
    <w:name w:val="无间隔1"/>
    <w:basedOn w:val="1"/>
    <w:qFormat/>
    <w:uiPriority w:val="0"/>
    <w:pPr>
      <w:keepNext w:val="0"/>
      <w:keepLines w:val="0"/>
      <w:widowControl w:val="0"/>
      <w:suppressLineNumbers w:val="0"/>
      <w:spacing w:before="0" w:beforeAutospacing="0" w:after="0" w:afterAutospacing="0"/>
      <w:ind w:left="0" w:right="0"/>
      <w:jc w:val="both"/>
    </w:pPr>
    <w:rPr>
      <w:rFonts w:hint="eastAsia" w:ascii="宋体" w:hAnsi="宋体" w:eastAsia="仿宋_GB2312" w:cs="宋体"/>
      <w:kern w:val="2"/>
      <w:sz w:val="32"/>
      <w:szCs w:val="32"/>
      <w:lang w:val="en-US" w:eastAsia="zh-CN" w:bidi="ar"/>
    </w:rPr>
  </w:style>
  <w:style w:type="paragraph" w:styleId="3">
    <w:name w:val="Normal (Web)"/>
    <w:basedOn w:val="1"/>
    <w:unhideWhenUsed/>
    <w:uiPriority w:val="0"/>
    <w:rPr>
      <w:sz w:val="24"/>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0</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2022-02-24T17:04:00Z</dcterms:created>
  <dc:creator>Administrator</dc:creator>
  <cp:lastModifiedBy>Administrator</cp:lastModifiedBy>
  <dcterms:modified xsi:type="dcterms:W3CDTF">2023-08-04T08:24:38Z</dcterms:modified>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