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宋体"/>
          <w:b/>
          <w:bCs/>
          <w:sz w:val="36"/>
          <w:szCs w:val="32"/>
          <w:lang w:eastAsia="zh-CN"/>
        </w:rPr>
      </w:pPr>
      <w:r>
        <w:rPr>
          <w:rFonts w:hint="eastAsia" w:ascii="宋体"/>
          <w:b/>
          <w:bCs/>
          <w:sz w:val="36"/>
          <w:szCs w:val="32"/>
          <w:lang w:eastAsia="zh-CN"/>
        </w:rPr>
        <w:t>中共石家庄市鹿泉区委办公室宣传推介</w:t>
      </w:r>
    </w:p>
    <w:p>
      <w:pPr>
        <w:spacing w:line="360" w:lineRule="auto"/>
        <w:ind w:left="0" w:leftChars="0" w:right="0" w:rightChars="0" w:firstLine="0" w:firstLineChars="0"/>
        <w:jc w:val="center"/>
        <w:rPr>
          <w:rFonts w:hint="eastAsia" w:ascii="宋体"/>
          <w:b/>
          <w:bCs/>
          <w:sz w:val="36"/>
          <w:szCs w:val="32"/>
        </w:rPr>
      </w:pP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宋体"/>
          <w:b/>
          <w:bCs/>
          <w:sz w:val="36"/>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中共石家庄市鹿泉区委办公室宣传推介项目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在中央、省、市级别相关报刊杂志上宣传推介鹿泉形象的相关费用，以期推广鹿泉优质形象，吸引更多的外商，前来鹿泉投资、参观学习，并对鹿泉的建设招揽商机和资金有所帮助。</w:t>
      </w:r>
    </w:p>
    <w:p>
      <w:pPr>
        <w:adjustRightInd w:val="0"/>
        <w:snapToGrid w:val="0"/>
        <w:spacing w:line="360" w:lineRule="auto"/>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该项目预算资金10万元，全部由我区财政拨付</w:t>
      </w:r>
    </w:p>
    <w:p>
      <w:pPr>
        <w:numPr>
          <w:ilvl w:val="0"/>
          <w:numId w:val="1"/>
        </w:num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绩效评价工作情况</w:t>
      </w:r>
    </w:p>
    <w:p>
      <w:pPr>
        <w:keepNext w:val="0"/>
        <w:keepLines w:val="0"/>
        <w:pageBreakBefore w:val="0"/>
        <w:widowControl w:val="0"/>
        <w:kinsoku/>
        <w:wordWrap/>
        <w:overflowPunct/>
        <w:topLinePunct w:val="0"/>
        <w:autoSpaceDE/>
        <w:autoSpaceDN/>
        <w:bidi w:val="0"/>
        <w:spacing w:line="578" w:lineRule="exact"/>
        <w:ind w:right="0" w:rightChars="0" w:firstLine="640" w:firstLineChars="200"/>
        <w:textAlignment w:val="auto"/>
        <w:outlineLvl w:val="9"/>
        <w:rPr>
          <w:rFonts w:hint="eastAsia" w:ascii="仿宋_GB2312" w:eastAsia="仿宋_GB2312"/>
          <w:sz w:val="32"/>
          <w:szCs w:val="32"/>
        </w:rPr>
      </w:pPr>
      <w:r>
        <w:rPr>
          <w:rFonts w:hint="eastAsia" w:ascii="仿宋_GB2312" w:eastAsia="仿宋_GB2312"/>
          <w:sz w:val="32"/>
          <w:szCs w:val="32"/>
          <w:lang w:val="en-US" w:eastAsia="zh-CN"/>
        </w:rPr>
        <w:t xml:space="preserve"> </w:t>
      </w:r>
      <w:r>
        <w:rPr>
          <w:rFonts w:hint="eastAsia" w:ascii="仿宋_GB2312" w:eastAsia="仿宋_GB2312"/>
          <w:sz w:val="32"/>
          <w:szCs w:val="32"/>
        </w:rPr>
        <w:t>区委办评价工作组人员通过</w:t>
      </w:r>
      <w:r>
        <w:rPr>
          <w:rFonts w:hint="eastAsia" w:ascii="仿宋_GB2312" w:eastAsia="仿宋_GB2312"/>
          <w:sz w:val="32"/>
          <w:szCs w:val="32"/>
          <w:lang w:eastAsia="zh-CN"/>
        </w:rPr>
        <w:t>杂志的宣传量及外商的考察数量来评价</w:t>
      </w:r>
      <w:r>
        <w:rPr>
          <w:rFonts w:hint="eastAsia" w:ascii="仿宋_GB2312" w:eastAsia="仿宋_GB2312"/>
          <w:sz w:val="32"/>
          <w:szCs w:val="32"/>
        </w:rPr>
        <w:t>，可长期使用情况进行综合评价。</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黑体" w:hAnsi="黑体" w:eastAsia="黑体" w:cs="黑体"/>
          <w:b/>
          <w:bCs/>
          <w:sz w:val="32"/>
          <w:szCs w:val="32"/>
        </w:rPr>
      </w:pPr>
      <w:r>
        <w:rPr>
          <w:rFonts w:hint="eastAsia" w:ascii="仿宋_GB2312" w:eastAsia="仿宋_GB2312"/>
          <w:b/>
          <w:bCs/>
          <w:sz w:val="32"/>
          <w:szCs w:val="32"/>
          <w:lang w:val="en-US" w:eastAsia="zh-CN"/>
        </w:rPr>
        <w:t xml:space="preserve"> </w:t>
      </w:r>
      <w:r>
        <w:rPr>
          <w:rFonts w:hint="eastAsia" w:ascii="黑体" w:hAnsi="黑体" w:eastAsia="黑体" w:cs="黑体"/>
          <w:sz w:val="32"/>
          <w:szCs w:val="32"/>
        </w:rPr>
        <w:t>三、项目执行及绩效实现情况</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楷体_GB2312" w:hAnsi="楷体_GB2312" w:eastAsia="楷体_GB2312" w:cs="楷体_GB2312"/>
          <w:sz w:val="32"/>
          <w:szCs w:val="32"/>
        </w:rPr>
      </w:pPr>
      <w:r>
        <w:rPr>
          <w:rFonts w:hint="eastAsia" w:ascii="楷体_GB2312" w:hAnsi="楷体_GB2312" w:eastAsia="楷体_GB2312" w:cs="楷体_GB2312"/>
          <w:sz w:val="32"/>
          <w:szCs w:val="32"/>
        </w:rPr>
        <w:t xml:space="preserve">   （一）项目投入</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1.</w:t>
      </w:r>
      <w:r>
        <w:rPr>
          <w:rFonts w:ascii="仿宋_GB2312" w:eastAsia="仿宋_GB2312"/>
          <w:sz w:val="32"/>
          <w:szCs w:val="32"/>
        </w:rPr>
        <w:t>项目</w:t>
      </w:r>
      <w:r>
        <w:rPr>
          <w:rFonts w:hint="eastAsia" w:ascii="仿宋_GB2312" w:eastAsia="仿宋_GB2312"/>
          <w:sz w:val="32"/>
          <w:szCs w:val="32"/>
        </w:rPr>
        <w:t>立项情况分析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该项目的申请、设立过程符合相关省委办公厅相关规定，所设的绩效目标依据充分、符合客观实际，绩效指标清晰、细化可衡量。根据指标体系评分标准可评100分。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2.资金落实情况分析。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实际到位资金与计划投入资金的比率与到位及时率，根据指标体系评分标准计算分值可评100分。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ascii="楷体_GB2312" w:hAnsi="楷体_GB2312" w:eastAsia="楷体_GB2312" w:cs="楷体_GB2312"/>
          <w:sz w:val="32"/>
          <w:szCs w:val="32"/>
        </w:rPr>
      </w:pPr>
      <w:r>
        <w:rPr>
          <w:rFonts w:hint="eastAsia" w:ascii="楷体_GB2312" w:hAnsi="楷体_GB2312" w:eastAsia="楷体_GB2312" w:cs="楷体_GB2312"/>
          <w:sz w:val="32"/>
          <w:szCs w:val="32"/>
        </w:rPr>
        <w:t>（二）项目实施过程</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1.业务管理情况分析</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我单位管理制度健全性、制度执行有效性和项目质量可控性等情况进行分析后，根据指标体系评分标准计算分值可评100分。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2.财务管理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我单位财务管理制度健全性、资金使用合规性和财务监控有效性等情况进行分析后，根据指标体系评分标准可评100分。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仿宋_GB2312" w:eastAsia="仿宋_GB2312"/>
          <w:b/>
          <w:bCs/>
          <w:sz w:val="32"/>
          <w:szCs w:val="32"/>
        </w:rPr>
      </w:pPr>
      <w:r>
        <w:rPr>
          <w:rFonts w:hint="eastAsia"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可保障我区</w:t>
      </w:r>
      <w:r>
        <w:rPr>
          <w:rFonts w:hint="eastAsia" w:ascii="仿宋_GB2312" w:hAnsi="仿宋_GB2312" w:eastAsia="仿宋_GB2312" w:cs="仿宋_GB2312"/>
          <w:sz w:val="32"/>
          <w:szCs w:val="32"/>
          <w:lang w:eastAsia="zh-CN"/>
        </w:rPr>
        <w:t>更多招商引资项目的实施</w:t>
      </w:r>
      <w:r>
        <w:rPr>
          <w:rFonts w:hint="eastAsia" w:ascii="仿宋_GB2312" w:hAnsi="仿宋_GB2312" w:eastAsia="仿宋_GB2312" w:cs="仿宋_GB2312"/>
          <w:sz w:val="32"/>
          <w:szCs w:val="32"/>
        </w:rPr>
        <w:t>，根据指标体系评分标准可评100分。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 xml:space="preserve">   </w:t>
      </w:r>
      <w:r>
        <w:rPr>
          <w:rFonts w:hint="eastAsia" w:ascii="仿宋_GB2312" w:hAnsi="仿宋_GB2312" w:eastAsia="仿宋_GB2312" w:cs="仿宋_GB2312"/>
          <w:sz w:val="32"/>
          <w:szCs w:val="32"/>
        </w:rPr>
        <w:t>（四）项目效果</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可保障我区</w:t>
      </w:r>
      <w:r>
        <w:rPr>
          <w:rFonts w:hint="eastAsia" w:ascii="仿宋_GB2312" w:hAnsi="仿宋_GB2312" w:eastAsia="仿宋_GB2312" w:cs="仿宋_GB2312"/>
          <w:sz w:val="32"/>
          <w:szCs w:val="32"/>
          <w:lang w:eastAsia="zh-CN"/>
        </w:rPr>
        <w:t>更多招商引资项目的实施</w:t>
      </w:r>
      <w:r>
        <w:rPr>
          <w:rFonts w:hint="eastAsia" w:ascii="仿宋_GB2312" w:hAnsi="仿宋_GB2312" w:eastAsia="仿宋_GB2312" w:cs="仿宋_GB2312"/>
          <w:sz w:val="32"/>
          <w:szCs w:val="32"/>
        </w:rPr>
        <w:t>，服务</w:t>
      </w:r>
      <w:bookmarkStart w:id="0" w:name="_GoBack"/>
      <w:bookmarkEnd w:id="0"/>
      <w:r>
        <w:rPr>
          <w:rFonts w:hint="eastAsia" w:ascii="仿宋_GB2312" w:hAnsi="仿宋_GB2312" w:eastAsia="仿宋_GB2312" w:cs="仿宋_GB2312"/>
          <w:sz w:val="32"/>
          <w:szCs w:val="32"/>
        </w:rPr>
        <w:t>对象满意度可达100%根据指标体系评分标准可评100分。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黑体" w:hAnsi="黑体" w:eastAsia="黑体"/>
          <w:sz w:val="32"/>
          <w:szCs w:val="32"/>
        </w:rPr>
      </w:pPr>
      <w:r>
        <w:rPr>
          <w:rFonts w:hint="eastAsia" w:ascii="黑体" w:hAnsi="黑体" w:eastAsia="黑体"/>
          <w:sz w:val="32"/>
          <w:szCs w:val="32"/>
        </w:rPr>
        <w:t>四、项目综合评价结论和评价等级</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仿宋_GB2312" w:eastAsia="仿宋_GB2312"/>
          <w:sz w:val="32"/>
          <w:szCs w:val="32"/>
        </w:rPr>
        <w:t>根据项目执行情况和项目绩效情况，给出总得分，指标体系设定满分100分，得出综合评价结论和项目综合绩效评价等级。项目综合绩效评价分为4个等级：得分</w:t>
      </w:r>
      <w:r>
        <w:rPr>
          <w:rFonts w:ascii="Arial" w:hAnsi="Arial" w:eastAsia="仿宋_GB2312" w:cs="Arial"/>
          <w:sz w:val="32"/>
          <w:szCs w:val="32"/>
        </w:rPr>
        <w:t>≥</w:t>
      </w:r>
      <w:r>
        <w:rPr>
          <w:rFonts w:hint="eastAsia" w:ascii="仿宋_GB2312" w:eastAsia="仿宋_GB2312"/>
          <w:sz w:val="32"/>
          <w:szCs w:val="32"/>
        </w:rPr>
        <w:t>85分为优秀；75</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85分为良好；60</w:t>
      </w:r>
      <w:r>
        <w:rPr>
          <w:rFonts w:ascii="Arial" w:hAnsi="Arial" w:eastAsia="仿宋_GB2312" w:cs="Arial"/>
          <w:sz w:val="32"/>
          <w:szCs w:val="32"/>
        </w:rPr>
        <w:t>≤</w:t>
      </w:r>
      <w:r>
        <w:rPr>
          <w:rFonts w:hint="eastAsia" w:ascii="仿宋_GB2312" w:eastAsia="仿宋_GB2312"/>
          <w:sz w:val="32"/>
          <w:szCs w:val="32"/>
        </w:rPr>
        <w:t>得分</w:t>
      </w:r>
      <w:r>
        <w:rPr>
          <w:rFonts w:hint="eastAsia" w:ascii="仿宋_GB2312" w:hAnsi="仿宋_GB2312" w:eastAsia="仿宋_GB2312"/>
          <w:sz w:val="32"/>
          <w:szCs w:val="32"/>
        </w:rPr>
        <w:t>＜</w:t>
      </w:r>
      <w:r>
        <w:rPr>
          <w:rFonts w:hint="eastAsia" w:ascii="仿宋_GB2312" w:eastAsia="仿宋_GB2312"/>
          <w:sz w:val="32"/>
          <w:szCs w:val="32"/>
        </w:rPr>
        <w:t>75分为一般；得分</w:t>
      </w:r>
      <w:r>
        <w:rPr>
          <w:rFonts w:hint="eastAsia" w:ascii="仿宋_GB2312" w:hAnsi="仿宋_GB2312" w:eastAsia="仿宋_GB2312"/>
          <w:sz w:val="32"/>
          <w:szCs w:val="32"/>
        </w:rPr>
        <w:t>＜</w:t>
      </w:r>
      <w:r>
        <w:rPr>
          <w:rFonts w:hint="eastAsia" w:ascii="仿宋_GB2312" w:eastAsia="仿宋_GB2312"/>
          <w:sz w:val="32"/>
          <w:szCs w:val="32"/>
        </w:rPr>
        <w:t>60分为较差。综合上述指标该项目评分100分。</w:t>
      </w:r>
    </w:p>
    <w:p>
      <w:pPr>
        <w:keepNext w:val="0"/>
        <w:keepLines w:val="0"/>
        <w:pageBreakBefore w:val="0"/>
        <w:widowControl w:val="0"/>
        <w:kinsoku/>
        <w:wordWrap/>
        <w:overflowPunct/>
        <w:topLinePunct w:val="0"/>
        <w:autoSpaceDE/>
        <w:autoSpaceDN/>
        <w:bidi w:val="0"/>
        <w:spacing w:line="578" w:lineRule="exact"/>
        <w:ind w:left="0" w:leftChars="0" w:right="0" w:rightChars="0" w:firstLine="640" w:firstLineChars="200"/>
        <w:textAlignment w:val="auto"/>
        <w:outlineLvl w:val="9"/>
        <w:rPr>
          <w:rFonts w:ascii="仿宋_GB2312" w:eastAsia="仿宋_GB2312"/>
          <w:sz w:val="32"/>
          <w:szCs w:val="32"/>
        </w:rPr>
      </w:pPr>
      <w:r>
        <w:rPr>
          <w:rFonts w:hint="eastAsia" w:ascii="黑体" w:hAnsi="黑体" w:eastAsia="黑体"/>
          <w:sz w:val="32"/>
          <w:szCs w:val="32"/>
        </w:rPr>
        <w:t>五、存在的问题及改进措施</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ascii="仿宋" w:hAnsi="仿宋" w:eastAsia="仿宋" w:cs="仿宋"/>
          <w:sz w:val="32"/>
          <w:szCs w:val="32"/>
        </w:rPr>
      </w:pPr>
      <w:r>
        <w:rPr>
          <w:rFonts w:hint="eastAsia" w:ascii="楷体_GB2312" w:hAnsi="楷体_GB2312" w:eastAsia="楷体_GB2312"/>
          <w:b/>
          <w:bCs/>
          <w:sz w:val="32"/>
          <w:szCs w:val="32"/>
        </w:rPr>
        <w:t xml:space="preserve">   </w:t>
      </w:r>
      <w:r>
        <w:rPr>
          <w:rFonts w:hint="eastAsia" w:ascii="仿宋" w:hAnsi="仿宋" w:eastAsia="仿宋" w:cs="仿宋"/>
          <w:sz w:val="32"/>
          <w:szCs w:val="32"/>
        </w:rPr>
        <w:t>该项目不存在任何问题。</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ascii="仿宋_GB2312" w:eastAsia="仿宋_GB2312"/>
          <w:sz w:val="32"/>
          <w:szCs w:val="32"/>
        </w:rPr>
      </w:pPr>
      <w:r>
        <w:rPr>
          <w:rFonts w:hint="eastAsia" w:ascii="黑体" w:eastAsia="黑体"/>
          <w:sz w:val="32"/>
          <w:szCs w:val="32"/>
        </w:rPr>
        <w:t>六、评价工作组人员名单及签字</w:t>
      </w:r>
      <w:r>
        <w:rPr>
          <w:rFonts w:hint="eastAsia" w:ascii="仿宋_GB2312" w:eastAsia="仿宋_GB2312"/>
          <w:sz w:val="32"/>
          <w:szCs w:val="32"/>
        </w:rPr>
        <w:t>（姓名、工作单位、职务、职称）</w:t>
      </w:r>
    </w:p>
    <w:p>
      <w:pPr>
        <w:keepNext w:val="0"/>
        <w:keepLines w:val="0"/>
        <w:pageBreakBefore w:val="0"/>
        <w:widowControl w:val="0"/>
        <w:kinsoku/>
        <w:wordWrap/>
        <w:overflowPunct/>
        <w:topLinePunct w:val="0"/>
        <w:autoSpaceDE/>
        <w:autoSpaceDN/>
        <w:bidi w:val="0"/>
        <w:spacing w:line="578" w:lineRule="exact"/>
        <w:ind w:left="0" w:leftChars="0" w:right="0" w:rightChars="0"/>
        <w:textAlignment w:val="auto"/>
        <w:outlineLvl w:val="9"/>
        <w:rPr>
          <w:rFonts w:hint="eastAsia" w:ascii="仿宋_GB2312" w:eastAsia="仿宋_GB2312"/>
          <w:sz w:val="32"/>
          <w:szCs w:val="32"/>
        </w:rPr>
      </w:pPr>
      <w:r>
        <w:rPr>
          <w:rFonts w:hint="eastAsia" w:ascii="仿宋_GB2312" w:eastAsia="仿宋_GB2312"/>
          <w:sz w:val="32"/>
          <w:szCs w:val="32"/>
        </w:rPr>
        <w:t xml:space="preserve">  张泽辉，鹿泉区委办公室，信息中心主任。</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葛亚安，鹿泉区委办公室，科员</w:t>
      </w:r>
    </w:p>
    <w:p>
      <w:pPr>
        <w:keepNext w:val="0"/>
        <w:keepLines w:val="0"/>
        <w:pageBreakBefore w:val="0"/>
        <w:widowControl w:val="0"/>
        <w:kinsoku/>
        <w:wordWrap/>
        <w:overflowPunct/>
        <w:topLinePunct w:val="0"/>
        <w:autoSpaceDE/>
        <w:autoSpaceDN/>
        <w:bidi w:val="0"/>
        <w:spacing w:line="578" w:lineRule="exact"/>
        <w:ind w:left="0" w:leftChars="0" w:right="0" w:rightChars="0" w:firstLine="320" w:firstLineChars="1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黄玉辉，鹿泉区委办公室，科员</w:t>
      </w:r>
    </w:p>
    <w:p>
      <w:pPr>
        <w:keepNext w:val="0"/>
        <w:keepLines w:val="0"/>
        <w:pageBreakBefore w:val="0"/>
        <w:widowControl w:val="0"/>
        <w:kinsoku/>
        <w:wordWrap/>
        <w:overflowPunct/>
        <w:topLinePunct w:val="0"/>
        <w:autoSpaceDE/>
        <w:autoSpaceDN/>
        <w:bidi w:val="0"/>
        <w:spacing w:line="578" w:lineRule="exact"/>
        <w:ind w:right="0" w:rightChars="0" w:firstLine="640" w:firstLineChars="200"/>
        <w:textAlignment w:val="auto"/>
        <w:outlineLvl w:val="9"/>
        <w:rPr>
          <w:rFonts w:hint="eastAsia" w:ascii="仿宋_GB2312" w:eastAsia="仿宋_GB2312"/>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adjustRightInd w:val="0"/>
        <w:snapToGrid w:val="0"/>
        <w:spacing w:line="360" w:lineRule="auto"/>
        <w:ind w:firstLine="640" w:firstLineChars="200"/>
        <w:rPr>
          <w:rFonts w:hint="eastAsia" w:ascii="仿宋_GB2312" w:eastAsia="仿宋_GB2312"/>
          <w:sz w:val="32"/>
          <w:szCs w:val="32"/>
        </w:rPr>
      </w:pP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D6DB571"/>
    <w:multiLevelType w:val="singleLevel"/>
    <w:tmpl w:val="2D6DB571"/>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2"/>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30F1EE4"/>
    <w:rsid w:val="08E0657A"/>
    <w:rsid w:val="0C34002A"/>
    <w:rsid w:val="22263D3A"/>
    <w:rsid w:val="25B0459D"/>
    <w:rsid w:val="2A2941B7"/>
    <w:rsid w:val="30585831"/>
    <w:rsid w:val="410622F2"/>
    <w:rsid w:val="619024D3"/>
    <w:rsid w:val="6DDC4369"/>
    <w:rsid w:val="787D06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Office_11.8.2.11019_F1E327BC-269C-435d-A152-05C5408002CA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dcterms:modified xsi:type="dcterms:W3CDTF">2024-03-06T02:47:29Z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2052-11.8.2.11019</vt:lpwstr>
  </property>
  <property fmtid="{D5CDD505-2E9C-101B-9397-08002B2CF9AE}" pid="3" name="ICV">
    <vt:lpwstr>0693CFE1F708425CB3C382713148A1D1</vt:lpwstr>
  </property>
</Properties>
</file>