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jc w:val="left"/>
        <w:rPr>
          <w:rFonts w:cs="Times New Roman"/>
        </w:rPr>
      </w:pPr>
    </w:p>
    <w:p>
      <w:pPr>
        <w:widowControl/>
        <w:jc w:val="left"/>
        <w:rPr>
          <w:rFonts w:cs="Times New Roman"/>
        </w:rPr>
      </w:pPr>
      <w:r>
        <w:pict>
          <v:shape id="背景 耗崽" o:spid="_x0000_s1037" o:spt="75" type="#_x0000_t75" style="position:absolute;left:0pt;margin-left:-128.8pt;margin-top:26.6pt;height:872.7pt;width:624.4pt;mso-position-horizontal-relative:margin;mso-position-vertical-relative:margin;z-index:251659264;mso-width-relative:page;mso-height-relative:page;" filled="f" o:preferrelative="t" stroked="f" coordsize="21600,21600">
            <v:path/>
            <v:fill on="f" focussize="0,0"/>
            <v:stroke on="f"/>
            <v:imagedata r:id="rId7" o:title=""/>
            <o:lock v:ext="edit" aspectratio="t"/>
          </v:shape>
        </w:pict>
      </w:r>
      <w:r>
        <w:pict>
          <v:group id="1033" o:spid="_x0000_s1088" o:spt="203" style="position:absolute;left:0pt;margin-left:11.65pt;margin-top:57.4pt;height:68.65pt;width:451.7pt;z-index:251672576;mso-width-relative:page;mso-height-relative:page;" coordorigin="6119,3077" coordsize="9034,1373">
            <o:lock v:ext="edit" aspectratio="f"/>
            <v:rect id="1034" o:spid="_x0000_s1089" o:spt="1" style="position:absolute;left:6119;top:3077;height:1187;width:9034;" filled="f" stroked="f" coordsize="21600,21600">
              <v:path/>
              <v:fill on="f" focussize="0,0"/>
              <v:stroke on="f" joinstyle="miter"/>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90" o:spt="20" style="position:absolute;left:6226;top:4450;height:0;width:8700;" filled="f" stroked="t" coordsize="21600,21600">
              <v:path arrowok="t"/>
              <v:fill on="f" focussize="0,0"/>
              <v:stroke weight="2.25pt" color="#42719B" joinstyle="miter" dashstyle="1 1"/>
              <v:imagedata o:title=""/>
              <o:lock v:ext="edit" aspectratio="f"/>
            </v:line>
          </v:group>
        </w:pict>
      </w:r>
      <w:r>
        <w:pict>
          <v:rect id="1032" o:spid="_x0000_s1032" o:spt="1" style="position:absolute;left:0pt;margin-left:-19.95pt;margin-top:125.65pt;height:44.9pt;width:432.6pt;z-index:251659264;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group id="_x0000_s1085" o:spid="_x0000_s1085" o:spt="203" style="position:absolute;left:0pt;margin-left:-83pt;margin-top:199pt;height:274.95pt;width:613.65pt;z-index:251666432;mso-width-relative:page;mso-height-relative:page;" coordorigin="5240,6098" coordsize="12273,5499">
            <o:lock v:ext="edit"/>
            <v:rect id="1030" o:spid="_x0000_s1086"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87" o:spt="75" type="#_x0000_t75" style="position:absolute;left:5240;top:6098;height:5499;width:10027;" filled="f" o:preferrelative="t" stroked="f" coordsize="21600,21600">
              <v:path/>
              <v:fill on="f" focussize="0,0"/>
              <v:stroke on="f" joinstyle="miter"/>
              <v:imagedata r:id="rId8" embosscolor="#FFFFFF" o:title=""/>
              <o:lock v:ext="edit" aspectratio="t"/>
            </v:shape>
          </v:group>
        </w:pict>
      </w:r>
      <w:r>
        <w:pict>
          <v:rect id="1028" o:spid="_x0000_s1026" o:spt="1" style="position:absolute;left:0pt;margin-left:23.2pt;margin-top:504.45pt;height:111.75pt;width:431.7pt;z-index:251659264;mso-width-relative:page;mso-height-relative:page;" filled="f" stroked="f" coordsize="21600,21600">
            <v:path/>
            <v:fill on="f" focussize="0,0"/>
            <v:stroke on="f"/>
            <v:imagedata o:title=""/>
            <o:lock v:ext="edit"/>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：318001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：石家庄市鹿泉区财政局（本级）</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9264;mso-width-relative:page;mso-height-relative:page;" filled="f" o:preferrelative="t" stroked="f" coordsize="21600,21600">
            <v:path/>
            <v:fill on="f" focussize="0,0"/>
            <v:stroke on="f" joinstyle="miter"/>
            <v:imagedata r:id="rId9" o:title=""/>
            <o:lock v:ext="edit" aspectratio="t"/>
          </v:shape>
        </w:pict>
      </w:r>
      <w:r>
        <w:pict>
          <v:rect id="1027" o:spid="_x0000_s1028" o:spt="1" style="position:absolute;left:0pt;margin-left:88.2pt;margin-top:625.4pt;height:41pt;width:256.7pt;z-index:251659264;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eastAsia="zh-CN"/>
                    </w:rPr>
                    <w:t>三</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rect>
        </w:pict>
      </w:r>
      <w:r>
        <w:pict>
          <v:group id="1029" o:spid="_x0000_s1029" o:spt="203" style="position:absolute;left:0pt;margin-left:-83pt;margin-top:196.75pt;height:274.95pt;width:613.65pt;z-index:251659264;mso-width-relative:page;mso-height-relative:page;" coordorigin="5240,6098" coordsize="12273,5499203">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8" embosscolor="#FFFFFF" o:title=""/>
              <o:lock v:ext="edit" aspectratio="t"/>
            </v:shape>
          </v:group>
        </w:pict>
      </w:r>
      <w:r>
        <w:pict>
          <v:rect id="1036" o:spid="_x0000_s1036" o:spt="1" style="position:absolute;left:0pt;margin-left:39.25pt;margin-top:-19.3pt;height:62.05pt;width:223.1pt;z-index:251659264;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w:t>
                  </w:r>
                  <w:r>
                    <w:rPr>
                      <w:rFonts w:hint="eastAsia" w:ascii="方正魏碑简体" w:hAnsi="Arial" w:eastAsia="方正魏碑简体" w:cs="方正魏碑简体"/>
                      <w:b/>
                      <w:bCs/>
                      <w:color w:val="002060"/>
                      <w:spacing w:val="60"/>
                      <w:kern w:val="24"/>
                      <w:sz w:val="72"/>
                      <w:szCs w:val="72"/>
                      <w:lang w:val="en-US" w:eastAsia="zh-CN"/>
                    </w:rPr>
                    <w:t>2</w:t>
                  </w:r>
                  <w:r>
                    <w:rPr>
                      <w:rFonts w:hint="eastAsia" w:ascii="方正魏碑简体" w:hAnsi="Arial" w:eastAsia="方正魏碑简体" w:cs="方正魏碑简体"/>
                      <w:b/>
                      <w:bCs/>
                      <w:color w:val="002060"/>
                      <w:spacing w:val="60"/>
                      <w:kern w:val="24"/>
                      <w:sz w:val="72"/>
                      <w:szCs w:val="72"/>
                    </w:rPr>
                    <w:t>年度</w:t>
                  </w:r>
                </w:p>
              </w:txbxContent>
            </v:textbox>
          </v:rect>
        </w:pict>
      </w:r>
      <w:r>
        <w:rPr>
          <w:rFonts w:cs="Times New Roman"/>
        </w:rPr>
        <w:br w:type="page"/>
      </w:r>
    </w:p>
    <w:p>
      <w:pPr>
        <w:spacing w:line="600" w:lineRule="auto"/>
        <w:jc w:val="center"/>
        <w:rPr>
          <w:rFonts w:ascii="黑体" w:hAnsi="黑体" w:eastAsia="黑体" w:cs="Times New Roman"/>
          <w:sz w:val="56"/>
          <w:szCs w:val="56"/>
        </w:rPr>
      </w:pPr>
      <w:r>
        <w:pict>
          <v:shape id="图片 71" o:spid="_x0000_s1038" o:spt="75" alt="32313538393631303b32313538393632373bc4bfc2bc" type="#_x0000_t75" style="position:absolute;left:0pt;margin-left:100.4pt;margin-top:20.4pt;height:50.35pt;width:50.35pt;mso-position-vertical-relative:margin;z-index:251659264;mso-width-relative:page;mso-height-relative:page;" filled="f" o:preferrelative="t" stroked="f" coordsize="21600,21600">
            <v:path/>
            <v:fill on="f" focussize="0,0"/>
            <v:stroke on="f" joinstyle="miter"/>
            <v:imagedata r:id="rId10"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目录</w:t>
      </w: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hint="eastAsia" w:ascii="Times New Roman" w:hAnsi="Times New Roman" w:eastAsia="黑体" w:cs="黑体"/>
          <w:sz w:val="32"/>
          <w:szCs w:val="32"/>
          <w:lang w:val="en-US" w:eastAsia="zh-CN"/>
        </w:rPr>
        <w:t xml:space="preserve">   </w:t>
      </w:r>
      <w:r>
        <w:rPr>
          <w:rFonts w:hint="eastAsia" w:ascii="Times New Roman" w:hAnsi="Times New Roman" w:eastAsia="黑体" w:cs="Times New Roman"/>
          <w:sz w:val="32"/>
          <w:szCs w:val="32"/>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一、单位职责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年度单位决算报表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2</w:t>
      </w:r>
      <w:r>
        <w:rPr>
          <w:rFonts w:hint="eastAsia" w:ascii="Times New Roman" w:hAnsi="Times New Roman" w:eastAsia="黑体" w:cs="黑体"/>
          <w:sz w:val="32"/>
          <w:szCs w:val="32"/>
        </w:rPr>
        <w:t>年单位决算情况说明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headerReference r:id="rId3"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42.25pt;margin-top:206.15pt;height:58.25pt;width:58.25pt;mso-position-vertical-relative:margin;z-index:251659264;mso-width-relative:page;mso-height-relative:page;" filled="f" o:preferrelative="t" stroked="f" coordsize="21600,21600">
            <v:path/>
            <v:fill on="f" focussize="0,0"/>
            <v:stroke on="f" joinstyle="miter"/>
            <v:imagedata r:id="rId11" o:title=""/>
            <o:lock v:ext="edit" aspectratio="t"/>
          </v:shape>
        </w:pict>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第一部分单位概况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pageBreakBefore w:val="0"/>
        <w:widowControl w:val="0"/>
        <w:kinsoku/>
        <w:wordWrap/>
        <w:overflowPunct/>
        <w:topLinePunct w:val="0"/>
        <w:autoSpaceDE/>
        <w:autoSpaceDN/>
        <w:bidi w:val="0"/>
        <w:adjustRightInd/>
        <w:snapToGrid/>
        <w:spacing w:before="0" w:after="0" w:line="578" w:lineRule="atLeast"/>
        <w:ind w:left="0" w:leftChars="0" w:right="0" w:rightChars="0" w:firstLine="640" w:firstLineChars="200"/>
        <w:jc w:val="left"/>
        <w:textAlignment w:val="auto"/>
        <w:rPr>
          <w:rFonts w:ascii="黑体" w:eastAsia="黑体" w:cs="Times New Roman"/>
          <w:b w:val="0"/>
          <w:bCs w:val="0"/>
          <w:kern w:val="0"/>
          <w:sz w:val="32"/>
          <w:szCs w:val="32"/>
        </w:rPr>
      </w:pPr>
      <w:r>
        <w:rPr>
          <w:rFonts w:hint="eastAsia" w:ascii="黑体" w:eastAsia="黑体" w:cs="黑体"/>
          <w:b w:val="0"/>
          <w:bCs w:val="0"/>
          <w:kern w:val="0"/>
          <w:sz w:val="32"/>
          <w:szCs w:val="32"/>
        </w:rPr>
        <w:t>一、单位职责</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1、贯彻落实国家财政、税收、国有资本与财务、会计的法规和政策。</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2、根据全区国民经济和社会发展规划，拟定全区财政发展战略和中长期规划的建议。</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3、按法律程序向区人民代表大会报告财政预算草案和预算执行情况。监督财政预算执行情况。</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4、运用财税政策实施宏观调控，制定区与乡（镇）区的分配政策，促进经济事业发展。</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5、管理财政收入。制定年度财政收入计划，落实财政增收措施，管理和落实收入减免政策，负责区级筹融资业务。</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6、管理全区财政支出。落实年度支出预算，确保公教人员工资发放和政权机构的正常运转，保证重点支出需要。制定开支标准和支出政策，实行集中支付管理，管理政府采购和控制社会集团消费。负责全区政府采购、集中收费和政府投资评审的管理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7、负责管理全区国有资产，组织实施清产核资、产权界定、股权管理，负责国有资本金统计分析，指导资产评估业务。</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8、负责政府性基金和行政事业性收费等非税收入资金的管理工作。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9、管理财政投资建设项目的融资，参与立项、招投标工作，对工程项目建设全过程进行监管，并对项目的预算决算进行审核。</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10、负责政府投资的经营性项目的资本注入、参股、收益和监督管理，主要包括：重点项目资本金和其他财政性资金。</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11、管理区级财政社会保障支出。</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12、管理和指导全区会计工作。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13、负责监督检查财税方针政策、法规和制度的执行情况，拟定全区财政、财务、会计工作的地方管理办法。</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14、监督财政性资金的使用情况，查处违反财经纪律的案件。</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15、制定财政科学研究和教育培训规划；组织财政人员培训；负责财政信息和财政宣传工作。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16、指导会计学会、珠算协会等有关社会团体的工作。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17、按照有关规定，管理全区农业开发工作。</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18、负责制定本区政府采购相关政策；确定政府采购项目的采购方式；监管政府采购活动；对政府采购情况进行监督检查。</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19、研究拟定区级预算绩效管理制度、办法并组织实施；负责审查区直部门预算绩效目标和指标；负责组织和监督区直部门预算绩效的执行。</w:t>
      </w:r>
    </w:p>
    <w:p>
      <w:pPr>
        <w:keepNext w:val="0"/>
        <w:keepLines w:val="0"/>
        <w:pageBreakBefore w:val="0"/>
        <w:widowControl w:val="0"/>
        <w:kinsoku/>
        <w:wordWrap/>
        <w:overflowPunct/>
        <w:topLinePunct w:val="0"/>
        <w:autoSpaceDE/>
        <w:autoSpaceDN/>
        <w:bidi w:val="0"/>
        <w:adjustRightInd/>
        <w:snapToGrid/>
        <w:spacing w:line="578" w:lineRule="atLeast"/>
        <w:ind w:left="0" w:leftChars="0" w:right="0" w:rightChars="0" w:firstLine="640" w:firstLineChars="200"/>
        <w:jc w:val="both"/>
        <w:textAlignment w:val="auto"/>
        <w:outlineLvl w:val="9"/>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20、承办区政府交办的其他事项。</w:t>
      </w:r>
    </w:p>
    <w:p>
      <w:pPr>
        <w:rPr>
          <w:sz w:val="32"/>
          <w:szCs w:val="32"/>
        </w:rPr>
      </w:pPr>
    </w:p>
    <w:p>
      <w:pPr>
        <w:keepNext/>
        <w:keepLines/>
        <w:pageBreakBefore w:val="0"/>
        <w:widowControl w:val="0"/>
        <w:numPr>
          <w:ilvl w:val="0"/>
          <w:numId w:val="1"/>
        </w:numPr>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0"/>
        <w:rPr>
          <w:rFonts w:ascii="黑体" w:eastAsia="黑体" w:cs="黑体"/>
          <w:kern w:val="0"/>
          <w:sz w:val="32"/>
          <w:szCs w:val="32"/>
        </w:rPr>
      </w:pPr>
      <w:r>
        <w:rPr>
          <w:rFonts w:hint="eastAsia" w:ascii="黑体" w:eastAsia="黑体" w:cs="黑体"/>
          <w:kern w:val="0"/>
          <w:sz w:val="32"/>
          <w:szCs w:val="32"/>
        </w:rPr>
        <w:t>机构设置</w:t>
      </w:r>
    </w:p>
    <w:p>
      <w:pPr>
        <w:pageBreakBefore w:val="0"/>
        <w:widowControl w:val="0"/>
        <w:kinsoku/>
        <w:wordWrap/>
        <w:overflowPunct/>
        <w:topLinePunct w:val="0"/>
        <w:autoSpaceDE/>
        <w:autoSpaceDN/>
        <w:bidi w:val="0"/>
        <w:adjustRightInd/>
        <w:snapToGrid/>
        <w:spacing w:line="578" w:lineRule="exact"/>
        <w:ind w:left="0" w:leftChars="0" w:right="0" w:rightChars="0" w:firstLine="640" w:firstLineChars="200"/>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从决算编报单位构成看，纳入2022年度本单位决算汇编范围的独立核算单位（以下简称“单位”）共1个，具体情况如下：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序号</w:t>
            </w:r>
          </w:p>
        </w:tc>
        <w:tc>
          <w:tcPr>
            <w:tcW w:w="348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单位名称</w:t>
            </w:r>
          </w:p>
        </w:tc>
        <w:tc>
          <w:tcPr>
            <w:tcW w:w="244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单位基本性质</w:t>
            </w:r>
          </w:p>
        </w:tc>
        <w:tc>
          <w:tcPr>
            <w:tcW w:w="2665" w:type="dxa"/>
            <w:vAlign w:val="center"/>
          </w:tcPr>
          <w:p>
            <w:pPr>
              <w:spacing w:line="560" w:lineRule="exact"/>
              <w:jc w:val="center"/>
              <w:rPr>
                <w:rFonts w:ascii="仿宋" w:hAnsi="仿宋" w:eastAsia="仿宋" w:cs="仿宋"/>
                <w:b/>
                <w:bCs/>
                <w:kern w:val="0"/>
                <w:sz w:val="28"/>
                <w:szCs w:val="28"/>
              </w:rPr>
            </w:pPr>
            <w:r>
              <w:rPr>
                <w:rFonts w:hint="eastAsia" w:ascii="仿宋_GB2312" w:eastAsia="仿宋_GB2312" w:cs="仿宋_GB2312"/>
                <w:b/>
                <w:bCs/>
                <w:kern w:val="0"/>
                <w:sz w:val="28"/>
                <w:szCs w:val="28"/>
                <w:lang w:val="en-US" w:eastAsia="zh-CN"/>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1</w:t>
            </w:r>
          </w:p>
        </w:tc>
        <w:tc>
          <w:tcPr>
            <w:tcW w:w="3485" w:type="dxa"/>
          </w:tcPr>
          <w:p>
            <w:pPr>
              <w:spacing w:line="560" w:lineRule="exact"/>
              <w:rPr>
                <w:rFonts w:ascii="仿宋" w:hAnsi="仿宋" w:eastAsia="仿宋" w:cs="仿宋"/>
                <w:kern w:val="0"/>
                <w:sz w:val="24"/>
                <w:szCs w:val="24"/>
              </w:rPr>
            </w:pPr>
            <w:r>
              <w:rPr>
                <w:rFonts w:hint="eastAsia" w:ascii="仿宋_GB2312" w:eastAsia="仿宋_GB2312" w:cs="仿宋_GB2312"/>
                <w:kern w:val="0"/>
                <w:sz w:val="24"/>
                <w:szCs w:val="24"/>
                <w:lang w:val="en-US" w:eastAsia="zh-CN"/>
              </w:rPr>
              <w:t>石家庄市鹿泉区财政局（本级）</w:t>
            </w:r>
          </w:p>
        </w:tc>
        <w:tc>
          <w:tcPr>
            <w:tcW w:w="244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行政单位</w:t>
            </w:r>
          </w:p>
        </w:tc>
        <w:tc>
          <w:tcPr>
            <w:tcW w:w="2665" w:type="dxa"/>
          </w:tcPr>
          <w:p>
            <w:pPr>
              <w:spacing w:line="560" w:lineRule="exact"/>
              <w:jc w:val="center"/>
              <w:rPr>
                <w:rFonts w:ascii="仿宋" w:hAnsi="仿宋" w:eastAsia="仿宋" w:cs="仿宋"/>
                <w:kern w:val="0"/>
                <w:sz w:val="24"/>
                <w:szCs w:val="24"/>
              </w:rPr>
            </w:pPr>
            <w:r>
              <w:rPr>
                <w:rFonts w:hint="eastAsia" w:ascii="仿宋_GB2312" w:eastAsia="仿宋_GB2312" w:cs="仿宋_GB2312"/>
                <w:kern w:val="0"/>
                <w:sz w:val="24"/>
                <w:szCs w:val="24"/>
                <w:lang w:val="en-US" w:eastAsia="zh-CN"/>
              </w:rPr>
              <w:t>财政拨款</w:t>
            </w:r>
          </w:p>
        </w:tc>
      </w:tr>
    </w:tbl>
    <w:p>
      <w:pPr>
        <w:spacing w:line="580" w:lineRule="exact"/>
        <w:ind w:firstLine="640" w:firstLineChars="200"/>
        <w:rPr>
          <w:rFonts w:ascii="仿宋_GB2312" w:eastAsia="仿宋_GB2312" w:cs="Arial Black"/>
          <w:kern w:val="0"/>
          <w:sz w:val="32"/>
          <w:szCs w:val="32"/>
        </w:rPr>
      </w:pPr>
    </w:p>
    <w:p>
      <w:pPr>
        <w:keepNext/>
        <w:keepLines/>
        <w:spacing w:line="580" w:lineRule="exact"/>
        <w:jc w:val="left"/>
        <w:outlineLvl w:val="0"/>
        <w:rPr>
          <w:rFonts w:ascii="仿宋_GB2312" w:eastAsia="仿宋_GB2312" w:cs="仿宋_GB2312"/>
          <w:kern w:val="0"/>
          <w:sz w:val="32"/>
          <w:szCs w:val="32"/>
          <w:u w:val="single" w:color="FFFFFF" w:themeColor="background1"/>
        </w:rPr>
      </w:pP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tcBorders>
              <w:top w:val="nil"/>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hint="eastAsia" w:ascii="黑体" w:hAnsi="黑体" w:eastAsia="黑体" w:cs="黑体"/>
          <w:color w:val="000000"/>
          <w:sz w:val="44"/>
          <w:szCs w:val="44"/>
        </w:rPr>
      </w:pPr>
    </w:p>
    <w:p>
      <w:pPr>
        <w:widowControl/>
        <w:spacing w:after="160" w:line="580" w:lineRule="exact"/>
        <w:ind w:firstLine="420" w:firstLineChars="200"/>
        <w:rPr>
          <w:rFonts w:hint="eastAsia" w:ascii="黑体" w:hAnsi="黑体" w:eastAsia="黑体" w:cs="黑体"/>
          <w:color w:val="000000"/>
          <w:sz w:val="44"/>
          <w:szCs w:val="44"/>
        </w:rPr>
      </w:pPr>
      <w:r>
        <w:pict>
          <v:shape id="图片 70" o:spid="_x0000_s1040" o:spt="75" alt="32303235303832303b32303235353434303bcec4bcfeb1edb8f1" type="#_x0000_t75" style="position:absolute;left:0pt;margin-left:24.75pt;margin-top:78.4pt;height:45.6pt;width:45.6pt;mso-position-vertical-relative:margin;z-index:251659264;mso-width-relative:page;mso-height-relative:page;" filled="f" o:preferrelative="t" stroked="f" coordsize="21600,21600">
            <v:path/>
            <v:fill on="f" focussize="0,0"/>
            <v:stroke on="f" joinstyle="miter"/>
            <v:imagedata r:id="rId12" o:title=""/>
            <o:lock v:ext="edit" aspectratio="t"/>
          </v:shape>
        </w:pict>
      </w:r>
    </w:p>
    <w:p>
      <w:pPr>
        <w:widowControl/>
        <w:spacing w:after="160" w:line="580" w:lineRule="exact"/>
        <w:ind w:firstLine="880" w:firstLineChars="200"/>
        <w:rPr>
          <w:rFonts w:hint="eastAsia" w:ascii="黑体" w:hAnsi="黑体" w:eastAsia="黑体" w:cs="黑体"/>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5"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年度单位决算表</w:t>
      </w:r>
    </w:p>
    <w:tbl>
      <w:tblPr>
        <w:tblStyle w:val="5"/>
        <w:tblpPr w:leftFromText="180" w:rightFromText="180" w:vertAnchor="text" w:horzAnchor="page" w:tblpXSpec="center" w:tblpY="330"/>
        <w:tblOverlap w:val="never"/>
        <w:tblW w:w="9570" w:type="dxa"/>
        <w:jc w:val="center"/>
        <w:tblLayout w:type="fixed"/>
        <w:tblCellMar>
          <w:top w:w="0" w:type="dxa"/>
          <w:left w:w="0" w:type="dxa"/>
          <w:bottom w:w="0" w:type="dxa"/>
          <w:right w:w="0" w:type="dxa"/>
        </w:tblCellMar>
      </w:tblPr>
      <w:tblGrid>
        <w:gridCol w:w="3416"/>
        <w:gridCol w:w="308"/>
        <w:gridCol w:w="200"/>
        <w:gridCol w:w="1056"/>
        <w:gridCol w:w="3062"/>
        <w:gridCol w:w="482"/>
        <w:gridCol w:w="1046"/>
      </w:tblGrid>
      <w:tr>
        <w:tblPrEx>
          <w:tblCellMar>
            <w:top w:w="0" w:type="dxa"/>
            <w:left w:w="0" w:type="dxa"/>
            <w:bottom w:w="0" w:type="dxa"/>
            <w:right w:w="0" w:type="dxa"/>
          </w:tblCellMar>
        </w:tblPrEx>
        <w:trPr>
          <w:trHeight w:val="298" w:hRule="atLeast"/>
          <w:jc w:val="center"/>
        </w:trPr>
        <w:tc>
          <w:tcPr>
            <w:tcW w:w="9570" w:type="dxa"/>
            <w:gridSpan w:val="7"/>
            <w:tcBorders>
              <w:top w:val="nil"/>
              <w:left w:val="nil"/>
              <w:bottom w:val="nil"/>
              <w:right w:val="nil"/>
            </w:tcBorders>
            <w:tcMar>
              <w:top w:w="15" w:type="dxa"/>
              <w:left w:w="15" w:type="dxa"/>
              <w:right w:w="15" w:type="dxa"/>
            </w:tcMar>
            <w:vAlign w:val="bottom"/>
          </w:tcPr>
          <w:p>
            <w:pPr>
              <w:spacing w:line="400" w:lineRule="exact"/>
              <w:jc w:val="center"/>
              <w:rPr>
                <w:rFonts w:ascii="黑体" w:hAnsi="宋体" w:eastAsia="黑体" w:cs="Times New Roman"/>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416"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308"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125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459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01</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60" w:hRule="atLeast"/>
          <w:jc w:val="center"/>
        </w:trPr>
        <w:tc>
          <w:tcPr>
            <w:tcW w:w="3416" w:type="dxa"/>
            <w:tcBorders>
              <w:top w:val="nil"/>
              <w:left w:val="nil"/>
              <w:bottom w:val="nil"/>
              <w:right w:val="nil"/>
            </w:tcBorders>
            <w:tcMar>
              <w:top w:w="15" w:type="dxa"/>
              <w:left w:w="15" w:type="dxa"/>
              <w:right w:w="15" w:type="dxa"/>
            </w:tcMar>
            <w:vAlign w:val="bottom"/>
          </w:tcPr>
          <w:p>
            <w:pPr>
              <w:widowControl/>
              <w:jc w:val="left"/>
              <w:textAlignment w:val="bottom"/>
              <w:rPr>
                <w:rFonts w:ascii="宋体" w:cs="Times New Roman"/>
                <w:color w:val="000000"/>
                <w:sz w:val="18"/>
                <w:szCs w:val="18"/>
              </w:rPr>
            </w:pPr>
            <w:r>
              <w:rPr>
                <w:rFonts w:hint="eastAsia" w:ascii="宋体" w:hAnsi="宋体" w:cs="宋体"/>
                <w:color w:val="000000"/>
                <w:kern w:val="0"/>
                <w:sz w:val="18"/>
                <w:szCs w:val="18"/>
              </w:rPr>
              <w:t>单位：石家庄市鹿泉区财政局本级</w:t>
            </w:r>
          </w:p>
        </w:tc>
        <w:tc>
          <w:tcPr>
            <w:tcW w:w="308" w:type="dxa"/>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125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18"/>
                <w:szCs w:val="18"/>
              </w:rPr>
            </w:pPr>
          </w:p>
        </w:tc>
        <w:tc>
          <w:tcPr>
            <w:tcW w:w="4590"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98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收入</w:t>
            </w:r>
          </w:p>
        </w:tc>
        <w:tc>
          <w:tcPr>
            <w:tcW w:w="459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ascii="宋体" w:hAnsi="宋体" w:cs="宋体"/>
                <w:color w:val="000000"/>
              </w:rPr>
              <w:t>支出</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r>
      <w:tr>
        <w:tblPrEx>
          <w:tblCellMar>
            <w:top w:w="0" w:type="dxa"/>
            <w:left w:w="0" w:type="dxa"/>
            <w:bottom w:w="0" w:type="dxa"/>
            <w:right w:w="0" w:type="dxa"/>
          </w:tblCellMar>
        </w:tblPrEx>
        <w:trPr>
          <w:trHeight w:val="210"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13,539.43</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一、一般公共服务支出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13,202.18</w:t>
            </w:r>
          </w:p>
        </w:tc>
      </w:tr>
      <w:tr>
        <w:tblPrEx>
          <w:tblCellMar>
            <w:top w:w="0" w:type="dxa"/>
            <w:left w:w="0" w:type="dxa"/>
            <w:bottom w:w="0" w:type="dxa"/>
            <w:right w:w="0" w:type="dxa"/>
          </w:tblCellMar>
        </w:tblPrEx>
        <w:trPr>
          <w:trHeight w:val="353"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二、政府性基金预算财政拨款收入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二、外交支出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三、国有资本经营预算财政拨款收入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三、国防支出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四、上级补助收入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四、公共安全支出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五、事业收入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五、教育支出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六、经营收入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六、科学技术支出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七、附属单位上缴收入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七、文化旅游体育与传媒支出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八、其他收入</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8.00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八、社会保障和就业支出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39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181.72</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9</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九、卫生健康支出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40</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66.46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10</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十、节能环保支出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41</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十一、城乡社区支出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十二、农林水支出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十三、交通运输支出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十四、资源勘探工业信息等支出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十五、商业服务业等支出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十六、金融支出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十七、援助其他地区支出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49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19</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十九、住房保障支出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50</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93.16</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20</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二十、粮油物资储备支出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51</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21</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二十一、国有资本经营预算支出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52</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rPr>
            </w:pPr>
            <w:r>
              <w:t>22</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kern w:val="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rPr>
            </w:pPr>
            <w:r>
              <w:rPr>
                <w:rFonts w:hint="eastAsia" w:cs="宋体"/>
              </w:rPr>
              <w:t>二十二、灾害防治及应急管理支出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rPr>
            </w:pPr>
            <w:r>
              <w:t>53</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kern w:val="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23</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二十三、其他支出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54</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24</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二十四、债务还本支出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55</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25</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textAlignment w:val="center"/>
              <w:rPr>
                <w:rFonts w:ascii="宋体" w:cs="Times New Roman"/>
                <w:b/>
                <w:bCs/>
                <w:color w:val="000000"/>
              </w:rPr>
            </w:pPr>
            <w:r>
              <w:rPr>
                <w:rFonts w:hint="eastAsia" w:cs="宋体"/>
              </w:rPr>
              <w:t>二十五、债务付息支出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56</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26</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二十六、抗疫特别国债安排的支出</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57</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2"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本年收入合计</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27</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13,547.43</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本年支出合计</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58</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13,546.55</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使用非财政拨款结余</w:t>
            </w:r>
          </w:p>
        </w:tc>
        <w:tc>
          <w:tcPr>
            <w:tcW w:w="50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28</w:t>
            </w:r>
          </w:p>
        </w:tc>
        <w:tc>
          <w:tcPr>
            <w:tcW w:w="105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结余分配</w:t>
            </w:r>
          </w:p>
        </w:tc>
        <w:tc>
          <w:tcPr>
            <w:tcW w:w="4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59</w:t>
            </w:r>
          </w:p>
        </w:tc>
        <w:tc>
          <w:tcPr>
            <w:tcW w:w="104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6" w:hRule="atLeast"/>
          <w:jc w:val="center"/>
        </w:trPr>
        <w:tc>
          <w:tcPr>
            <w:tcW w:w="3416" w:type="dxa"/>
            <w:tcBorders>
              <w:top w:val="nil"/>
              <w:left w:val="single" w:color="000000" w:sz="4" w:space="0"/>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年初结转和结余</w:t>
            </w:r>
          </w:p>
        </w:tc>
        <w:tc>
          <w:tcPr>
            <w:tcW w:w="508" w:type="dxa"/>
            <w:gridSpan w:val="2"/>
            <w:tcBorders>
              <w:top w:val="nil"/>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29</w:t>
            </w:r>
          </w:p>
        </w:tc>
        <w:tc>
          <w:tcPr>
            <w:tcW w:w="105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1.73</w:t>
            </w:r>
          </w:p>
        </w:tc>
        <w:tc>
          <w:tcPr>
            <w:tcW w:w="3062" w:type="dxa"/>
            <w:tcBorders>
              <w:top w:val="nil"/>
              <w:left w:val="nil"/>
              <w:bottom w:val="single" w:color="auto" w:sz="4" w:space="0"/>
              <w:right w:val="single" w:color="000000" w:sz="4" w:space="0"/>
            </w:tcBorders>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年末结转和结余</w:t>
            </w:r>
          </w:p>
        </w:tc>
        <w:tc>
          <w:tcPr>
            <w:tcW w:w="482" w:type="dxa"/>
            <w:tcBorders>
              <w:top w:val="nil"/>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t>60</w:t>
            </w:r>
          </w:p>
        </w:tc>
        <w:tc>
          <w:tcPr>
            <w:tcW w:w="104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2.61</w:t>
            </w:r>
          </w:p>
        </w:tc>
      </w:tr>
      <w:tr>
        <w:tblPrEx>
          <w:tblCellMar>
            <w:top w:w="0" w:type="dxa"/>
            <w:left w:w="0" w:type="dxa"/>
            <w:bottom w:w="0" w:type="dxa"/>
            <w:right w:w="0" w:type="dxa"/>
          </w:tblCellMar>
        </w:tblPrEx>
        <w:trPr>
          <w:trHeight w:val="306" w:hRule="atLeast"/>
          <w:jc w:val="center"/>
        </w:trPr>
        <w:tc>
          <w:tcPr>
            <w:tcW w:w="341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p>
        </w:tc>
        <w:tc>
          <w:tcPr>
            <w:tcW w:w="508"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30</w:t>
            </w:r>
          </w:p>
        </w:tc>
        <w:tc>
          <w:tcPr>
            <w:tcW w:w="105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cs="Times New Roman"/>
                <w:color w:val="000000"/>
              </w:rPr>
            </w:pPr>
          </w:p>
        </w:tc>
        <w:tc>
          <w:tcPr>
            <w:tcW w:w="306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p>
        </w:tc>
        <w:tc>
          <w:tcPr>
            <w:tcW w:w="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61</w:t>
            </w:r>
          </w:p>
        </w:tc>
        <w:tc>
          <w:tcPr>
            <w:tcW w:w="104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left"/>
              <w:rPr>
                <w:rFonts w:ascii="宋体" w:cs="Times New Roman"/>
                <w:color w:val="000000"/>
              </w:rPr>
            </w:pPr>
          </w:p>
        </w:tc>
      </w:tr>
      <w:tr>
        <w:tblPrEx>
          <w:tblCellMar>
            <w:top w:w="0" w:type="dxa"/>
            <w:left w:w="0" w:type="dxa"/>
            <w:bottom w:w="0" w:type="dxa"/>
            <w:right w:w="0" w:type="dxa"/>
          </w:tblCellMar>
        </w:tblPrEx>
        <w:trPr>
          <w:trHeight w:val="429" w:hRule="atLeast"/>
          <w:jc w:val="center"/>
        </w:trPr>
        <w:tc>
          <w:tcPr>
            <w:tcW w:w="341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08"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31</w:t>
            </w:r>
          </w:p>
        </w:tc>
        <w:tc>
          <w:tcPr>
            <w:tcW w:w="105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13,549.16</w:t>
            </w:r>
          </w:p>
        </w:tc>
        <w:tc>
          <w:tcPr>
            <w:tcW w:w="306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pPr>
            <w:r>
              <w:t>62</w:t>
            </w:r>
          </w:p>
        </w:tc>
        <w:tc>
          <w:tcPr>
            <w:tcW w:w="104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rPr>
            </w:pPr>
            <w:r>
              <w:rPr>
                <w:rFonts w:hint="eastAsia" w:ascii="宋体" w:hAnsi="宋体" w:eastAsia="宋体" w:cs="宋体"/>
                <w:i w:val="0"/>
                <w:color w:val="000000"/>
                <w:kern w:val="0"/>
                <w:sz w:val="22"/>
                <w:szCs w:val="22"/>
                <w:u w:val="none"/>
                <w:lang w:val="en-US" w:eastAsia="zh-CN" w:bidi="ar"/>
              </w:rPr>
              <w:t>13,549.16</w:t>
            </w:r>
          </w:p>
        </w:tc>
      </w:tr>
      <w:tr>
        <w:tblPrEx>
          <w:tblCellMar>
            <w:top w:w="0" w:type="dxa"/>
            <w:left w:w="0" w:type="dxa"/>
            <w:bottom w:w="0" w:type="dxa"/>
            <w:right w:w="0" w:type="dxa"/>
          </w:tblCellMar>
        </w:tblPrEx>
        <w:trPr>
          <w:trHeight w:val="306" w:hRule="atLeast"/>
          <w:jc w:val="center"/>
        </w:trPr>
        <w:tc>
          <w:tcPr>
            <w:tcW w:w="9570" w:type="dxa"/>
            <w:gridSpan w:val="7"/>
            <w:tcBorders>
              <w:top w:val="single" w:color="auto" w:sz="4" w:space="0"/>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sz w:val="20"/>
                <w:szCs w:val="20"/>
              </w:rPr>
              <w:t>注：本表反映单位本年度的总收支和年末结转结余情况。本套报表金额单位转换时可能存在尾数误差。</w:t>
            </w:r>
          </w:p>
        </w:tc>
      </w:tr>
    </w:tbl>
    <w:p>
      <w:pPr>
        <w:widowControl/>
        <w:jc w:val="left"/>
        <w:textAlignment w:val="center"/>
        <w:rPr>
          <w:rFonts w:cs="Times New Roman"/>
          <w:sz w:val="20"/>
          <w:szCs w:val="20"/>
        </w:rPr>
      </w:pPr>
      <w:r>
        <w:rPr>
          <w:rFonts w:cs="Times New Roman"/>
          <w:sz w:val="20"/>
          <w:szCs w:val="20"/>
        </w:rPr>
        <w:br w:type="page"/>
      </w:r>
    </w:p>
    <w:tbl>
      <w:tblPr>
        <w:tblStyle w:val="5"/>
        <w:tblW w:w="9581" w:type="dxa"/>
        <w:jc w:val="center"/>
        <w:tblLayout w:type="fixed"/>
        <w:tblCellMar>
          <w:top w:w="0" w:type="dxa"/>
          <w:left w:w="0" w:type="dxa"/>
          <w:bottom w:w="0" w:type="dxa"/>
          <w:right w:w="0" w:type="dxa"/>
        </w:tblCellMar>
      </w:tblPr>
      <w:tblGrid>
        <w:gridCol w:w="1081"/>
        <w:gridCol w:w="86"/>
        <w:gridCol w:w="86"/>
        <w:gridCol w:w="1562"/>
        <w:gridCol w:w="1091"/>
        <w:gridCol w:w="1275"/>
        <w:gridCol w:w="532"/>
        <w:gridCol w:w="966"/>
        <w:gridCol w:w="966"/>
        <w:gridCol w:w="966"/>
        <w:gridCol w:w="970"/>
      </w:tblGrid>
      <w:tr>
        <w:tblPrEx>
          <w:tblCellMar>
            <w:top w:w="0" w:type="dxa"/>
            <w:left w:w="0" w:type="dxa"/>
            <w:bottom w:w="0" w:type="dxa"/>
            <w:right w:w="0" w:type="dxa"/>
          </w:tblCellMar>
        </w:tblPrEx>
        <w:trPr>
          <w:trHeight w:val="670" w:hRule="atLeast"/>
          <w:jc w:val="center"/>
        </w:trPr>
        <w:tc>
          <w:tcPr>
            <w:tcW w:w="9581"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8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57" w:hRule="atLeast"/>
          <w:jc w:val="center"/>
        </w:trPr>
        <w:tc>
          <w:tcPr>
            <w:tcW w:w="3906"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12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0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815"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09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127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53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9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附属单位上缴收入</w:t>
            </w:r>
          </w:p>
        </w:tc>
        <w:tc>
          <w:tcPr>
            <w:tcW w:w="97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tblPrEx>
          <w:tblCellMar>
            <w:top w:w="0" w:type="dxa"/>
            <w:left w:w="0" w:type="dxa"/>
            <w:bottom w:w="0" w:type="dxa"/>
            <w:right w:w="0" w:type="dxa"/>
          </w:tblCellMar>
        </w:tblPrEx>
        <w:trPr>
          <w:trHeight w:val="380" w:hRule="atLeast"/>
          <w:jc w:val="center"/>
        </w:trPr>
        <w:tc>
          <w:tcPr>
            <w:tcW w:w="125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5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25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25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2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281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tblPrEx>
          <w:tblCellMar>
            <w:top w:w="0" w:type="dxa"/>
            <w:left w:w="0" w:type="dxa"/>
            <w:bottom w:w="0" w:type="dxa"/>
            <w:right w:w="0" w:type="dxa"/>
          </w:tblCellMar>
        </w:tblPrEx>
        <w:trPr>
          <w:trHeight w:val="385" w:hRule="atLeast"/>
          <w:jc w:val="center"/>
        </w:trPr>
        <w:tc>
          <w:tcPr>
            <w:tcW w:w="281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13,547.43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13,539.43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13,203.06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13,195.06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13,203.06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13,195.06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2010603</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color w:val="000000"/>
                <w:kern w:val="0"/>
                <w:sz w:val="22"/>
                <w:szCs w:val="22"/>
                <w:u w:val="none"/>
                <w:lang w:val="en-US" w:eastAsia="zh-CN" w:bidi="ar"/>
              </w:rPr>
              <w:t xml:space="preserve">  机关服务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24.44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24.44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lang w:val="en-US"/>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11,437.26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11,437.26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125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156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09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27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5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6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9581" w:type="dxa"/>
            <w:gridSpan w:val="11"/>
            <w:tcBorders>
              <w:top w:val="nil"/>
              <w:left w:val="nil"/>
              <w:bottom w:val="nil"/>
              <w:right w:val="nil"/>
            </w:tcBorders>
            <w:tcMar>
              <w:top w:w="15" w:type="dxa"/>
              <w:left w:w="15" w:type="dxa"/>
              <w:right w:w="15" w:type="dxa"/>
            </w:tcMar>
            <w:vAlign w:val="center"/>
          </w:tcPr>
          <w:p>
            <w:pPr>
              <w:jc w:val="left"/>
              <w:rPr>
                <w:rFonts w:ascii="宋体" w:cs="Times New Roman"/>
                <w:color w:val="000000"/>
                <w:sz w:val="22"/>
                <w:szCs w:val="22"/>
              </w:rPr>
            </w:pPr>
            <w:r>
              <w:rPr>
                <w:rFonts w:hint="eastAsia" w:ascii="宋体" w:cs="Times New Roman"/>
                <w:color w:val="000000"/>
                <w:sz w:val="22"/>
                <w:szCs w:val="22"/>
              </w:rPr>
              <w:t>注：本表反映单位本年度取得的各项收入情况。</w:t>
            </w:r>
          </w:p>
        </w:tc>
      </w:tr>
    </w:tbl>
    <w:p>
      <w:pPr>
        <w:rPr>
          <w:rFonts w:cs="Times New Roman"/>
        </w:rPr>
      </w:pPr>
      <w:r>
        <w:rPr>
          <w:rFonts w:cs="Times New Roman"/>
        </w:rPr>
        <w:br w:type="page"/>
      </w:r>
    </w:p>
    <w:tbl>
      <w:tblPr>
        <w:tblStyle w:val="5"/>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3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13,546.55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1,649.43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11,897.12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13,202.18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11,894.10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13,202.18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11,894.10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注：本表反映单位本年度各项支出情况。</w:t>
            </w:r>
          </w:p>
        </w:tc>
      </w:tr>
    </w:tbl>
    <w:p>
      <w:pPr>
        <w:rPr>
          <w:rFonts w:cs="Times New Roman"/>
        </w:rPr>
      </w:pPr>
      <w:r>
        <w:rPr>
          <w:rFonts w:cs="Times New Roman"/>
        </w:rPr>
        <w:br w:type="page"/>
      </w:r>
    </w:p>
    <w:tbl>
      <w:tblPr>
        <w:tblStyle w:val="5"/>
        <w:tblW w:w="11146" w:type="dxa"/>
        <w:jc w:val="center"/>
        <w:tblLayout w:type="fixed"/>
        <w:tblCellMar>
          <w:top w:w="0" w:type="dxa"/>
          <w:left w:w="0" w:type="dxa"/>
          <w:bottom w:w="0" w:type="dxa"/>
          <w:right w:w="0" w:type="dxa"/>
        </w:tblCellMar>
      </w:tblPr>
      <w:tblGrid>
        <w:gridCol w:w="3086"/>
        <w:gridCol w:w="675"/>
        <w:gridCol w:w="582"/>
        <w:gridCol w:w="3409"/>
        <w:gridCol w:w="505"/>
        <w:gridCol w:w="536"/>
        <w:gridCol w:w="760"/>
        <w:gridCol w:w="767"/>
        <w:gridCol w:w="826"/>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tcMar>
              <w:top w:w="15" w:type="dxa"/>
              <w:left w:w="15" w:type="dxa"/>
              <w:right w:w="15" w:type="dxa"/>
            </w:tcMar>
            <w:vAlign w:val="bottom"/>
          </w:tcPr>
          <w:p>
            <w:pPr>
              <w:snapToGrid w:val="0"/>
              <w:spacing w:line="200" w:lineRule="atLeast"/>
              <w:jc w:val="center"/>
              <w:rPr>
                <w:rFonts w:ascii="黑体" w:hAnsi="宋体" w:eastAsia="黑体" w:cs="Times New Roman"/>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0" w:hRule="atLeast"/>
          <w:jc w:val="center"/>
        </w:trPr>
        <w:tc>
          <w:tcPr>
            <w:tcW w:w="30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4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10" w:hRule="atLeast"/>
          <w:jc w:val="center"/>
        </w:trPr>
        <w:tc>
          <w:tcPr>
            <w:tcW w:w="3086" w:type="dxa"/>
            <w:tcBorders>
              <w:top w:val="nil"/>
              <w:left w:val="nil"/>
              <w:bottom w:val="nil"/>
              <w:right w:val="nil"/>
            </w:tcBorders>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单位：石家庄市鹿泉区财政局本级</w:t>
            </w:r>
          </w:p>
        </w:tc>
        <w:tc>
          <w:tcPr>
            <w:tcW w:w="67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4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889"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收入</w:t>
            </w:r>
          </w:p>
        </w:tc>
        <w:tc>
          <w:tcPr>
            <w:tcW w:w="6803"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sz w:val="22"/>
                <w:szCs w:val="22"/>
              </w:rPr>
              <w:t>支出</w:t>
            </w:r>
          </w:p>
        </w:tc>
      </w:tr>
      <w:tr>
        <w:tblPrEx>
          <w:tblCellMar>
            <w:top w:w="0" w:type="dxa"/>
            <w:left w:w="0" w:type="dxa"/>
            <w:bottom w:w="0" w:type="dxa"/>
            <w:right w:w="0" w:type="dxa"/>
          </w:tblCellMar>
        </w:tblPrEx>
        <w:trPr>
          <w:trHeight w:val="1085"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金额</w:t>
            </w:r>
          </w:p>
          <w:p>
            <w:pPr>
              <w:widowControl/>
              <w:jc w:val="center"/>
              <w:textAlignment w:val="center"/>
              <w:rPr>
                <w:rFonts w:cs="Times New Roman"/>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合计</w:t>
            </w:r>
          </w:p>
          <w:p>
            <w:pPr>
              <w:widowControl/>
              <w:jc w:val="center"/>
              <w:textAlignment w:val="center"/>
              <w:rPr>
                <w:rFonts w:cs="Times New Roman"/>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一般公共预算财政拨款</w:t>
            </w:r>
          </w:p>
          <w:p>
            <w:pPr>
              <w:widowControl/>
              <w:jc w:val="center"/>
              <w:textAlignment w:val="center"/>
              <w:rPr>
                <w:rFonts w:cs="Times New Roman"/>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政府性基金预算财政拨款</w:t>
            </w:r>
          </w:p>
          <w:p>
            <w:pPr>
              <w:widowControl/>
              <w:jc w:val="center"/>
              <w:textAlignment w:val="center"/>
              <w:rPr>
                <w:rFonts w:cs="Times New Roman"/>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国有资本经营预算财政拨款</w:t>
            </w:r>
          </w:p>
          <w:p>
            <w:pPr>
              <w:widowControl/>
              <w:jc w:val="center"/>
              <w:textAlignment w:val="center"/>
              <w:rPr>
                <w:rFonts w:cs="Times New Roman"/>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栏次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pPr>
            <w:r>
              <w:t>5</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13,539.43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二、政府性基金预算财政拨款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二、外交支出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三、国有资本经营财政拨款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三、国防支出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五、教育支出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七、文化旅游体育与传媒支出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八、社会保障和就业支出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九、卫生健康支出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十、节能环保支出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十一、城乡社区支出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十二、农林水支出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十三、交通运输支出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十四、资源勘探工业信息等支出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十五、商业服务业等支出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十六、金融支出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十七、援助其他地区支出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49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19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十九、住房保障支出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二十、粮油物资储备支出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rPr>
              <w:t>二十一、国有资本经营预算支出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二十二、灾害防治及应急管理支出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23</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二十三、其他支出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55</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24</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二十四、债务还本支出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56</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25</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textAlignment w:val="center"/>
              <w:rPr>
                <w:rFonts w:ascii="宋体" w:cs="Times New Roman"/>
                <w:b/>
                <w:bCs/>
                <w:color w:val="000000"/>
                <w:sz w:val="22"/>
                <w:szCs w:val="22"/>
              </w:rPr>
            </w:pPr>
            <w:r>
              <w:rPr>
                <w:rFonts w:hint="eastAsia" w:cs="宋体"/>
              </w:rPr>
              <w:t>二十五、债务付息支出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57</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26</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二十六、抗疫特别国债安排的支出</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58</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本年收入合计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27</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13,539.43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本年支出合计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59</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13,538.55</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13,538.55</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年初财政拨款结转和结余</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28</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1.73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年末财政拨款结转和结余</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60</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2.61</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2.61</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r>
              <w:rPr>
                <w:rFonts w:hint="eastAsia" w:cs="宋体"/>
              </w:rPr>
              <w:t>一般公共预算财政拨款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29</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1.73</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61</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ind w:firstLine="210" w:firstLineChars="100"/>
              <w:textAlignment w:val="center"/>
              <w:rPr>
                <w:rFonts w:ascii="宋体" w:cs="Times New Roman"/>
                <w:b/>
                <w:bCs/>
                <w:color w:val="000000"/>
                <w:sz w:val="22"/>
                <w:szCs w:val="22"/>
              </w:rPr>
            </w:pPr>
            <w:r>
              <w:rPr>
                <w:rFonts w:hint="eastAsia" w:cs="宋体"/>
              </w:rPr>
              <w:t>政府性基金预算财政拨款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30</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t>62</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ind w:firstLine="210" w:firstLineChars="100"/>
              <w:textAlignment w:val="center"/>
              <w:rPr>
                <w:rFonts w:ascii="宋体" w:cs="Times New Roman"/>
                <w:b/>
                <w:bCs/>
                <w:color w:val="000000"/>
                <w:kern w:val="0"/>
                <w:sz w:val="22"/>
                <w:szCs w:val="22"/>
              </w:rPr>
            </w:pPr>
            <w:r>
              <w:rPr>
                <w:rFonts w:hint="eastAsia" w:cs="宋体"/>
              </w:rPr>
              <w:t>国有资本经营预算财政拨款</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31</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63</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32</w:t>
            </w:r>
          </w:p>
        </w:tc>
        <w:tc>
          <w:tcPr>
            <w:tcW w:w="58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34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5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t>64</w:t>
            </w:r>
          </w:p>
        </w:tc>
        <w:tc>
          <w:tcPr>
            <w:tcW w:w="53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76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13,541.16</w:t>
            </w:r>
          </w:p>
        </w:tc>
        <w:tc>
          <w:tcPr>
            <w:tcW w:w="767"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82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注：本表反映单位本年度一般公共预算财政拨款、政府性基金预算财政拨款和国有资本经营预算财政拨款的总收支和年末结转结余情况。</w:t>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p>
        </w:tc>
      </w:tr>
    </w:tbl>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tbl>
      <w:tblPr>
        <w:tblStyle w:val="5"/>
        <w:tblpPr w:leftFromText="180" w:rightFromText="180" w:vertAnchor="text" w:horzAnchor="page" w:tblpX="1169" w:tblpY="322"/>
        <w:tblOverlap w:val="never"/>
        <w:tblW w:w="9600" w:type="dxa"/>
        <w:tblInd w:w="0" w:type="dxa"/>
        <w:tblLayout w:type="fixed"/>
        <w:tblCellMar>
          <w:top w:w="0" w:type="dxa"/>
          <w:left w:w="0" w:type="dxa"/>
          <w:bottom w:w="0" w:type="dxa"/>
          <w:right w:w="0" w:type="dxa"/>
        </w:tblCellMar>
      </w:tblPr>
      <w:tblGrid>
        <w:gridCol w:w="1125"/>
        <w:gridCol w:w="90"/>
        <w:gridCol w:w="90"/>
        <w:gridCol w:w="1965"/>
        <w:gridCol w:w="180"/>
        <w:gridCol w:w="1710"/>
        <w:gridCol w:w="2232"/>
        <w:gridCol w:w="2208"/>
      </w:tblGrid>
      <w:tr>
        <w:tblPrEx>
          <w:tblCellMar>
            <w:top w:w="0" w:type="dxa"/>
            <w:left w:w="0" w:type="dxa"/>
            <w:bottom w:w="0" w:type="dxa"/>
            <w:right w:w="0" w:type="dxa"/>
          </w:tblCellMar>
        </w:tblPrEx>
        <w:trPr>
          <w:trHeight w:val="549" w:hRule="atLeast"/>
        </w:trPr>
        <w:tc>
          <w:tcPr>
            <w:tcW w:w="9600" w:type="dxa"/>
            <w:gridSpan w:val="8"/>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trPr>
        <w:tc>
          <w:tcPr>
            <w:tcW w:w="11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89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trPr>
        <w:tc>
          <w:tcPr>
            <w:tcW w:w="5160" w:type="dxa"/>
            <w:gridSpan w:val="6"/>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444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3450"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61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312" w:hRule="atLeast"/>
        </w:trPr>
        <w:tc>
          <w:tcPr>
            <w:tcW w:w="13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7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22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12" w:hRule="atLeast"/>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trPr>
        <w:tc>
          <w:tcPr>
            <w:tcW w:w="3450"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trPr>
        <w:tc>
          <w:tcPr>
            <w:tcW w:w="3450"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13,538.55</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1,649.43</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11,889.12</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11,886.10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财政事务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13,194.18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11,886.10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1,308.08</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2010602</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9.59</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2010603</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24.44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2010604</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预算改革业务</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2010607</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信息化建设</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64.94</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2010608</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财政委托业务支出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329.42</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2010699</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其他财政事务支出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11,436.38</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181.72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89.50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92.22</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66.46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农林水支出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农村综合改革</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2130799</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其他农村综合改革支出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3.03</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2145" w:type="dxa"/>
            <w:gridSpan w:val="2"/>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710"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32"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93.16</w:t>
            </w:r>
          </w:p>
        </w:tc>
        <w:tc>
          <w:tcPr>
            <w:tcW w:w="2208"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9600" w:type="dxa"/>
            <w:gridSpan w:val="8"/>
            <w:tcBorders>
              <w:top w:val="single" w:color="auto" w:sz="4" w:space="0"/>
              <w:left w:val="nil"/>
              <w:bottom w:val="nil"/>
              <w:right w:val="nil"/>
            </w:tcBorders>
            <w:tcMar>
              <w:top w:w="15" w:type="dxa"/>
              <w:left w:w="15" w:type="dxa"/>
              <w:right w:w="15" w:type="dxa"/>
            </w:tcMar>
            <w:vAlign w:val="center"/>
          </w:tcPr>
          <w:p>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注：本表反映单位本年度一般公共预算财政拨款支出情况。</w:t>
            </w:r>
          </w:p>
        </w:tc>
      </w:tr>
    </w:tbl>
    <w:p>
      <w:pPr>
        <w:widowControl/>
        <w:jc w:val="left"/>
        <w:textAlignment w:val="center"/>
        <w:rPr>
          <w:rFonts w:ascii="宋体" w:cs="Times New Roman"/>
          <w:color w:val="000000"/>
          <w:kern w:val="0"/>
          <w:sz w:val="20"/>
          <w:szCs w:val="20"/>
        </w:rPr>
      </w:pPr>
      <w:r>
        <w:rPr>
          <w:rFonts w:cs="Times New Roman"/>
        </w:rPr>
        <w:br w:type="page"/>
      </w:r>
    </w:p>
    <w:p>
      <w:pPr>
        <w:widowControl/>
        <w:jc w:val="left"/>
        <w:textAlignment w:val="center"/>
        <w:rPr>
          <w:rFonts w:ascii="宋体" w:cs="Times New Roman"/>
          <w:color w:val="000000"/>
          <w:kern w:val="0"/>
          <w:sz w:val="20"/>
          <w:szCs w:val="20"/>
        </w:rPr>
      </w:pPr>
    </w:p>
    <w:p>
      <w:pPr>
        <w:rPr>
          <w:rFonts w:cs="Times New Roman"/>
        </w:rPr>
      </w:pPr>
    </w:p>
    <w:tbl>
      <w:tblPr>
        <w:tblStyle w:val="5"/>
        <w:tblW w:w="10000" w:type="dxa"/>
        <w:jc w:val="center"/>
        <w:shd w:val="clear" w:color="auto" w:fill="FFFFFF" w:themeFill="background1"/>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shd w:val="clear" w:color="auto" w:fill="FFFFFF" w:themeFill="background1"/>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FFFFFF" w:themeFill="background1"/>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FFFFFF" w:themeFill="background1"/>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06</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55" w:hRule="atLeast"/>
          <w:jc w:val="center"/>
        </w:trPr>
        <w:tc>
          <w:tcPr>
            <w:tcW w:w="4266" w:type="dxa"/>
            <w:gridSpan w:val="4"/>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1599"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FFFFFF" w:themeFill="background1"/>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FFFFFF" w:themeFill="background1"/>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932"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83"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65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科目编码</w:t>
            </w:r>
          </w:p>
        </w:tc>
        <w:tc>
          <w:tcPr>
            <w:tcW w:w="1599"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68"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744"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891"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32"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932"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83"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65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599"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6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44"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1891"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c>
          <w:tcPr>
            <w:tcW w:w="732"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工资福利支出</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1,328.19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商品和服务支出</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206.45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债务利息及费用支出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基本工资</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244.21</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办公费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1.21</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30701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国内债务付息</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津贴补贴</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141.33</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印刷费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6.67</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30702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国外债务付息</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奖金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13.65</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30203</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咨询费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资本性支出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30106</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伙食补助费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手续费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30107</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绩效工资</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129.36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水费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2.52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办公设备购置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30108</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92.22</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电费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10.62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31003</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专用设备购置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30109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职业年金缴费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邮电费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13.08</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31005</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基础设施建设</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30110</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37.47</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取暖费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31006</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大型修缮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28.99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30209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物业管理费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4.36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差旅费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0.81</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31008</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物资储备</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住房公积金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93.16</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30212</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31009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土地补偿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30114</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医疗费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30213</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维修（护）费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10.15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安置补助</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30199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543.44</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租赁费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对个人和家庭的补助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114.78</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会议费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拆迁补偿</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离休费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11.78</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培训费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31013</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30302</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退休费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36.49</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公务接待费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31019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30303</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退职（役）费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30218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专用材料费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31021</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30304</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抚恤金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30224</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被装购置费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31022</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无形资产购置</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30305</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生活补助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3.14</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30225</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专用燃料费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31099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30306</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救济费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30226</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劳务费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2.42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其他支出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30307</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医疗费补助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30227</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委托业务费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124.35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39907</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30308</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助学金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30228</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工会经费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5.45</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39908</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30309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奖励金</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63.37</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30229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福利费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8.56</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39909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经常性赠与</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30310</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30231</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8.09</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39910</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资本性赠与</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30311</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代缴社会保险费</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30239</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12.12</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39999</w:t>
            </w: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其他支出</w:t>
            </w: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30399</w:t>
            </w:r>
          </w:p>
        </w:tc>
        <w:tc>
          <w:tcPr>
            <w:tcW w:w="19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kern w:val="0"/>
                <w:sz w:val="20"/>
                <w:szCs w:val="20"/>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78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30240</w:t>
            </w:r>
          </w:p>
        </w:tc>
        <w:tc>
          <w:tcPr>
            <w:tcW w:w="1599"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76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7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932"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83"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c>
          <w:tcPr>
            <w:tcW w:w="655"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30299</w:t>
            </w:r>
          </w:p>
        </w:tc>
        <w:tc>
          <w:tcPr>
            <w:tcW w:w="1599"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768"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0.05</w:t>
            </w:r>
          </w:p>
        </w:tc>
        <w:tc>
          <w:tcPr>
            <w:tcW w:w="744"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1891"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left"/>
              <w:rPr>
                <w:rFonts w:ascii="宋体" w:cs="Times New Roman"/>
                <w:color w:val="000000"/>
                <w:sz w:val="20"/>
                <w:szCs w:val="20"/>
              </w:rPr>
            </w:pPr>
          </w:p>
        </w:tc>
        <w:tc>
          <w:tcPr>
            <w:tcW w:w="732" w:type="dxa"/>
            <w:tcBorders>
              <w:top w:val="nil"/>
              <w:left w:val="nil"/>
              <w:bottom w:val="single" w:color="auto" w:sz="4" w:space="0"/>
              <w:right w:val="single" w:color="000000" w:sz="4" w:space="0"/>
            </w:tcBorders>
            <w:shd w:val="clear" w:color="auto" w:fill="FFFFFF" w:themeFill="background1"/>
            <w:tcMar>
              <w:top w:w="15" w:type="dxa"/>
              <w:left w:w="15" w:type="dxa"/>
              <w:right w:w="15" w:type="dxa"/>
            </w:tcMar>
            <w:vAlign w:val="center"/>
          </w:tcPr>
          <w:p>
            <w:pPr>
              <w:jc w:val="right"/>
              <w:rPr>
                <w:rFonts w:ascii="宋体" w:cs="Times New Roman"/>
                <w:color w:val="000000"/>
                <w:sz w:val="20"/>
                <w:szCs w:val="20"/>
              </w:rPr>
            </w:pPr>
          </w:p>
        </w:tc>
      </w:tr>
      <w:tr>
        <w:tblPrEx>
          <w:tblCellMar>
            <w:top w:w="0" w:type="dxa"/>
            <w:left w:w="0" w:type="dxa"/>
            <w:bottom w:w="0" w:type="dxa"/>
            <w:right w:w="0" w:type="dxa"/>
          </w:tblCellMar>
        </w:tblPrEx>
        <w:trPr>
          <w:trHeight w:val="446"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1,442.97</w:t>
            </w:r>
          </w:p>
        </w:tc>
        <w:tc>
          <w:tcPr>
            <w:tcW w:w="5657" w:type="dxa"/>
            <w:gridSpan w:val="5"/>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206.45</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FFFFFF" w:themeFill="background1"/>
            <w:tcMar>
              <w:top w:w="15" w:type="dxa"/>
              <w:left w:w="15" w:type="dxa"/>
              <w:right w:w="15" w:type="dxa"/>
            </w:tcMar>
            <w:vAlign w:val="center"/>
          </w:tcPr>
          <w:p>
            <w:pPr>
              <w:widowControl/>
              <w:jc w:val="left"/>
              <w:textAlignment w:val="center"/>
              <w:rPr>
                <w:rFonts w:ascii="宋体" w:cs="Times New Roman"/>
                <w:color w:val="000000"/>
                <w:sz w:val="20"/>
                <w:szCs w:val="20"/>
              </w:rPr>
            </w:pPr>
            <w:r>
              <w:rPr>
                <w:rFonts w:hint="eastAsia" w:ascii="宋体" w:hAnsi="宋体" w:cs="宋体"/>
                <w:color w:val="000000"/>
                <w:sz w:val="20"/>
                <w:szCs w:val="20"/>
              </w:rPr>
              <w:t>注：本表反映单位本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c>
      </w:tr>
    </w:tbl>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tbl>
      <w:tblPr>
        <w:tblStyle w:val="5"/>
        <w:tblW w:w="9511" w:type="dxa"/>
        <w:jc w:val="center"/>
        <w:tblLayout w:type="fixed"/>
        <w:tblCellMar>
          <w:top w:w="0" w:type="dxa"/>
          <w:left w:w="0" w:type="dxa"/>
          <w:bottom w:w="0" w:type="dxa"/>
          <w:right w:w="0" w:type="dxa"/>
        </w:tblCellMar>
      </w:tblPr>
      <w:tblGrid>
        <w:gridCol w:w="1100"/>
        <w:gridCol w:w="87"/>
        <w:gridCol w:w="87"/>
        <w:gridCol w:w="1589"/>
        <w:gridCol w:w="1108"/>
        <w:gridCol w:w="1108"/>
        <w:gridCol w:w="1108"/>
        <w:gridCol w:w="1108"/>
        <w:gridCol w:w="1108"/>
        <w:gridCol w:w="1108"/>
      </w:tblGrid>
      <w:tr>
        <w:tblPrEx>
          <w:tblCellMar>
            <w:top w:w="0" w:type="dxa"/>
            <w:left w:w="0" w:type="dxa"/>
            <w:bottom w:w="0" w:type="dxa"/>
            <w:right w:w="0" w:type="dxa"/>
          </w:tblCellMar>
        </w:tblPrEx>
        <w:trPr>
          <w:trHeight w:val="780" w:hRule="atLeast"/>
          <w:jc w:val="center"/>
        </w:trPr>
        <w:tc>
          <w:tcPr>
            <w:tcW w:w="9511"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10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8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1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3971"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21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863"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3324"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11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274"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15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27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27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286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286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27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58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10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sz w:val="24"/>
          <w:szCs w:val="24"/>
        </w:rPr>
        <w:t>注：本单位本年度无相关收入（或支出、收支及结转结余等）情况，按要求空表列示。</w:t>
      </w:r>
    </w:p>
    <w:p>
      <w:pPr>
        <w:rPr>
          <w:rFonts w:cs="Times New Roman"/>
        </w:rPr>
      </w:pPr>
    </w:p>
    <w:p>
      <w:pPr>
        <w:rPr>
          <w:rFonts w:cs="Times New Roman"/>
        </w:rPr>
      </w:pPr>
    </w:p>
    <w:p>
      <w:pPr>
        <w:rPr>
          <w:rFonts w:cs="Times New Roman"/>
        </w:rPr>
      </w:pPr>
    </w:p>
    <w:p>
      <w:pPr>
        <w:rPr>
          <w:rFonts w:cs="Times New Roman"/>
        </w:rPr>
      </w:pPr>
    </w:p>
    <w:tbl>
      <w:tblPr>
        <w:tblStyle w:val="5"/>
        <w:tblW w:w="9590" w:type="dxa"/>
        <w:jc w:val="center"/>
        <w:tblLayout w:type="fixed"/>
        <w:tblCellMar>
          <w:top w:w="0" w:type="dxa"/>
          <w:left w:w="0" w:type="dxa"/>
          <w:bottom w:w="0" w:type="dxa"/>
          <w:right w:w="0" w:type="dxa"/>
        </w:tblCellMar>
      </w:tblPr>
      <w:tblGrid>
        <w:gridCol w:w="921"/>
        <w:gridCol w:w="91"/>
        <w:gridCol w:w="91"/>
        <w:gridCol w:w="4450"/>
        <w:gridCol w:w="851"/>
        <w:gridCol w:w="1648"/>
        <w:gridCol w:w="1538"/>
      </w:tblGrid>
      <w:tr>
        <w:tblPrEx>
          <w:tblCellMar>
            <w:top w:w="0" w:type="dxa"/>
            <w:left w:w="0" w:type="dxa"/>
            <w:bottom w:w="0" w:type="dxa"/>
            <w:right w:w="0" w:type="dxa"/>
          </w:tblCellMar>
        </w:tblPrEx>
        <w:trPr>
          <w:trHeight w:val="840" w:hRule="atLeast"/>
          <w:jc w:val="center"/>
        </w:trPr>
        <w:tc>
          <w:tcPr>
            <w:tcW w:w="9590"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92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4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5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8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553"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85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86"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553"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403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555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555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4"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445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85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64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c>
          <w:tcPr>
            <w:tcW w:w="15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sz w:val="24"/>
          <w:szCs w:val="24"/>
        </w:rPr>
        <w:t>注：本单位本年度无相关支出情况，按要求空表列示。</w:t>
      </w:r>
    </w:p>
    <w:p>
      <w:pPr>
        <w:rPr>
          <w:rFonts w:cs="Times New Roman"/>
        </w:rPr>
      </w:pPr>
    </w:p>
    <w:tbl>
      <w:tblPr>
        <w:tblStyle w:val="5"/>
        <w:tblW w:w="9455" w:type="dxa"/>
        <w:jc w:val="center"/>
        <w:tblLayout w:type="fixed"/>
        <w:tblCellMar>
          <w:top w:w="0" w:type="dxa"/>
          <w:left w:w="0" w:type="dxa"/>
          <w:bottom w:w="0" w:type="dxa"/>
          <w:right w:w="0" w:type="dxa"/>
        </w:tblCellMar>
      </w:tblPr>
      <w:tblGrid>
        <w:gridCol w:w="1267"/>
        <w:gridCol w:w="1686"/>
        <w:gridCol w:w="1565"/>
        <w:gridCol w:w="1565"/>
        <w:gridCol w:w="1565"/>
        <w:gridCol w:w="185"/>
        <w:gridCol w:w="1622"/>
      </w:tblGrid>
      <w:tr>
        <w:tblPrEx>
          <w:tblCellMar>
            <w:top w:w="0" w:type="dxa"/>
            <w:left w:w="0" w:type="dxa"/>
            <w:bottom w:w="0" w:type="dxa"/>
            <w:right w:w="0" w:type="dxa"/>
          </w:tblCellMar>
        </w:tblPrEx>
        <w:trPr>
          <w:trHeight w:val="638" w:hRule="atLeast"/>
          <w:jc w:val="center"/>
        </w:trPr>
        <w:tc>
          <w:tcPr>
            <w:tcW w:w="9455"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cs="Times New Roman"/>
              </w:rPr>
            </w:pPr>
            <w:r>
              <w:rPr>
                <w:rFonts w:hint="eastAsia" w:ascii="黑体" w:hAnsi="宋体" w:eastAsia="黑体" w:cs="黑体"/>
                <w:color w:val="000000"/>
                <w:kern w:val="0"/>
                <w:sz w:val="32"/>
                <w:szCs w:val="32"/>
              </w:rPr>
              <w:t>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5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w:t>
            </w:r>
            <w:r>
              <w:rPr>
                <w:rFonts w:hint="eastAsia" w:ascii="宋体" w:hAnsi="宋体" w:cs="宋体"/>
                <w:color w:val="000000"/>
                <w:kern w:val="0"/>
                <w:sz w:val="20"/>
                <w:szCs w:val="20"/>
                <w:lang w:val="en-US" w:eastAsia="zh-CN"/>
              </w:rPr>
              <w:t>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rPr>
              <w:t>单位：石家庄市鹿泉区财政局本级</w:t>
            </w: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750"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22" w:type="dxa"/>
            <w:tcBorders>
              <w:top w:val="nil"/>
              <w:left w:val="nil"/>
              <w:bottom w:val="nil"/>
              <w:right w:val="nil"/>
            </w:tcBorders>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455" w:type="dxa"/>
            <w:gridSpan w:val="7"/>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807" w:type="dxa"/>
            <w:gridSpan w:val="2"/>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807" w:type="dxa"/>
            <w:gridSpan w:val="2"/>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10.10</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8.10</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417" w:hRule="atLeast"/>
          <w:jc w:val="center"/>
        </w:trPr>
        <w:tc>
          <w:tcPr>
            <w:tcW w:w="9455" w:type="dxa"/>
            <w:gridSpan w:val="7"/>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807" w:type="dxa"/>
            <w:gridSpan w:val="2"/>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807" w:type="dxa"/>
            <w:gridSpan w:val="2"/>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807"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8.09</w:t>
            </w:r>
          </w:p>
        </w:tc>
        <w:tc>
          <w:tcPr>
            <w:tcW w:w="1807" w:type="dxa"/>
            <w:gridSpan w:val="2"/>
            <w:tcBorders>
              <w:top w:val="nil"/>
              <w:left w:val="nil"/>
              <w:bottom w:val="single" w:color="auto" w:sz="4" w:space="0"/>
              <w:right w:val="single" w:color="auto" w:sz="4" w:space="0"/>
            </w:tcBorders>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0.00</w:t>
            </w:r>
          </w:p>
        </w:tc>
      </w:tr>
    </w:tbl>
    <w:p>
      <w:pPr>
        <w:rPr>
          <w:rFonts w:cs="Times New Roman"/>
        </w:rPr>
      </w:pPr>
      <w:r>
        <w:rPr>
          <w:rFonts w:hint="eastAsia" w:ascii="宋体" w:hAnsi="宋体" w:cs="宋体"/>
        </w:rPr>
        <w:t>注：本表反映单位本年度“三公”经费支出预决算情况。</w:t>
      </w:r>
    </w:p>
    <w:p>
      <w:pPr>
        <w:rPr>
          <w:rFonts w:cs="Times New Roman"/>
          <w:b/>
          <w:bCs/>
        </w:rPr>
      </w:pPr>
      <w:r>
        <w:rPr>
          <w:rFonts w:cs="Times New Roman"/>
          <w:b/>
          <w:bCs/>
        </w:rPr>
        <w:br w:type="page"/>
      </w:r>
    </w:p>
    <w:p>
      <w:pPr>
        <w:widowControl/>
        <w:spacing w:after="160" w:line="580" w:lineRule="exact"/>
        <w:ind w:firstLine="663" w:firstLineChars="316"/>
      </w:pPr>
      <w:r>
        <w:pict>
          <v:shape id="图片 74" o:spid="_x0000_s1042" o:spt="75" alt="32303036343138343b32303038313639313bcafdbeddb7d6cef6" type="#_x0000_t75" style="position:absolute;left:0pt;margin-left:12.35pt;margin-top:263.1pt;height:52pt;width:52pt;mso-position-vertical-relative:margin;z-index:251659264;mso-width-relative:page;mso-height-relative:page;" filled="f" o:preferrelative="t" stroked="f" coordsize="21600,21600">
            <v:path/>
            <v:fill on="f" focussize="0,0"/>
            <v:stroke on="f" joinstyle="miter"/>
            <v:imagedata r:id="rId13" o:title=""/>
            <o:lock v:ext="edit" aspectratio="t"/>
          </v:shape>
        </w:pict>
      </w: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663" w:firstLineChars="316"/>
      </w:pPr>
    </w:p>
    <w:p>
      <w:pPr>
        <w:widowControl/>
        <w:spacing w:after="160" w:line="580" w:lineRule="exact"/>
        <w:ind w:firstLine="1390" w:firstLineChars="316"/>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w:t>
      </w:r>
      <w:r>
        <w:rPr>
          <w:rFonts w:hint="eastAsia" w:ascii="黑体" w:hAnsi="黑体" w:eastAsia="黑体" w:cs="黑体"/>
          <w:color w:val="000000"/>
          <w:sz w:val="44"/>
          <w:szCs w:val="44"/>
          <w:lang w:val="en-US" w:eastAsia="zh-CN"/>
        </w:rPr>
        <w:t>2</w:t>
      </w:r>
      <w:r>
        <w:rPr>
          <w:rFonts w:hint="eastAsia" w:ascii="黑体" w:hAnsi="黑体" w:eastAsia="黑体" w:cs="黑体"/>
          <w:color w:val="000000"/>
          <w:sz w:val="44"/>
          <w:szCs w:val="44"/>
        </w:rPr>
        <w:t>年度单位决算情况说明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年度收、支总计（含结转和结余）</w:t>
      </w:r>
      <w:bookmarkStart w:id="0" w:name="OLE_LINK1"/>
      <w:r>
        <w:rPr>
          <w:rFonts w:hint="eastAsia" w:ascii="仿宋_GB2312" w:eastAsia="仿宋_GB2312" w:cs="仿宋_GB2312"/>
          <w:kern w:val="0"/>
          <w:sz w:val="32"/>
          <w:szCs w:val="32"/>
          <w:lang w:val="en-US" w:eastAsia="zh-CN"/>
        </w:rPr>
        <w:t>13549.16</w:t>
      </w:r>
      <w:bookmarkEnd w:id="0"/>
      <w:r>
        <w:rPr>
          <w:rFonts w:hint="eastAsia" w:ascii="仿宋_GB2312" w:eastAsia="仿宋_GB2312" w:cs="仿宋_GB2312"/>
          <w:kern w:val="0"/>
          <w:sz w:val="32"/>
          <w:szCs w:val="32"/>
        </w:rPr>
        <w:t>万元。与202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年度决算相比，收支各</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11866.9</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705.4</w:t>
      </w:r>
      <w:r>
        <w:rPr>
          <w:rFonts w:hint="eastAsia" w:ascii="仿宋_GB2312" w:eastAsia="仿宋_GB2312" w:cs="仿宋_GB2312"/>
          <w:kern w:val="0"/>
          <w:sz w:val="32"/>
          <w:szCs w:val="32"/>
        </w:rPr>
        <w:t>%（如图1），主要原因是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lang w:val="en-US" w:eastAsia="zh-CN"/>
        </w:rPr>
        <w:t>。</w:t>
      </w:r>
    </w:p>
    <w:p>
      <w:pPr>
        <w:adjustRightInd w:val="0"/>
        <w:snapToGrid w:val="0"/>
        <w:spacing w:line="600" w:lineRule="exact"/>
        <w:ind w:firstLine="420" w:firstLineChars="200"/>
        <w:rPr>
          <w:rFonts w:ascii="仿宋" w:hAnsi="仿宋" w:eastAsia="仿宋" w:cs="仿宋"/>
          <w:sz w:val="32"/>
          <w:szCs w:val="32"/>
        </w:rPr>
      </w:pPr>
      <w:r>
        <w:pict>
          <v:shape id="_x0000_s1079" o:spid="_x0000_s1079" o:spt="75" type="#_x0000_t75" style="position:absolute;left:0pt;margin-left:29.2pt;margin-top:16.7pt;height:213.75pt;width:371.3pt;z-index:-251656192;mso-width-relative:page;mso-height-relative:page;" filled="f" o:preferrelative="t" stroked="f" coordsize="21600,21600" o:gfxdata="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">
            <v:path/>
            <v:fill on="f" focussize="0,0"/>
            <v:stroke on="f"/>
            <v:imagedata r:id="rId14" o:title=""/>
            <o:lock v:ext="edit" aspectratio="t"/>
          </v:shape>
        </w:pict>
      </w: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keepNext/>
        <w:keepLines/>
        <w:snapToGrid w:val="0"/>
        <w:spacing w:line="580" w:lineRule="exact"/>
        <w:outlineLvl w:val="1"/>
        <w:rPr>
          <w:rFonts w:ascii="黑体" w:eastAsia="黑体" w:cs="黑体"/>
          <w:sz w:val="32"/>
          <w:szCs w:val="32"/>
        </w:rPr>
      </w:pPr>
    </w:p>
    <w:p>
      <w:pPr>
        <w:keepNext/>
        <w:keepLines/>
        <w:snapToGrid w:val="0"/>
        <w:spacing w:line="580" w:lineRule="exact"/>
        <w:outlineLvl w:val="1"/>
        <w:rPr>
          <w:rFonts w:ascii="黑体" w:eastAsia="黑体" w:cs="黑体"/>
          <w:sz w:val="32"/>
          <w:szCs w:val="32"/>
        </w:rPr>
      </w:pPr>
    </w:p>
    <w:p>
      <w:pPr>
        <w:keepNext/>
        <w:keepLines/>
        <w:snapToGrid w:val="0"/>
        <w:spacing w:line="580" w:lineRule="exact"/>
        <w:outlineLvl w:val="1"/>
        <w:rPr>
          <w:rFonts w:ascii="黑体" w:eastAsia="黑体" w:cs="黑体"/>
          <w:sz w:val="32"/>
          <w:szCs w:val="32"/>
        </w:rPr>
      </w:pPr>
    </w:p>
    <w:p>
      <w:pPr>
        <w:adjustRightInd w:val="0"/>
        <w:snapToGrid w:val="0"/>
        <w:spacing w:after="160" w:line="400" w:lineRule="exact"/>
        <w:jc w:val="center"/>
        <w:rPr>
          <w:rFonts w:ascii="黑体" w:eastAsia="黑体" w:cs="黑体"/>
          <w:sz w:val="32"/>
          <w:szCs w:val="32"/>
        </w:rPr>
      </w:pPr>
      <w:r>
        <w:rPr>
          <w:rFonts w:hint="eastAsia" w:ascii="仿宋" w:hAnsi="仿宋" w:eastAsia="仿宋" w:cs="仿宋"/>
          <w:sz w:val="28"/>
          <w:szCs w:val="28"/>
        </w:rPr>
        <w:t>图1：202</w:t>
      </w:r>
      <w:r>
        <w:rPr>
          <w:rFonts w:hint="eastAsia" w:ascii="仿宋" w:hAnsi="仿宋" w:eastAsia="仿宋" w:cs="仿宋"/>
          <w:sz w:val="28"/>
          <w:szCs w:val="28"/>
          <w:lang w:val="en-US" w:eastAsia="zh-CN"/>
        </w:rPr>
        <w:t>1</w:t>
      </w:r>
      <w:r>
        <w:rPr>
          <w:rFonts w:hint="eastAsia" w:ascii="仿宋" w:hAnsi="仿宋" w:eastAsia="仿宋" w:cs="仿宋"/>
          <w:sz w:val="28"/>
          <w:szCs w:val="28"/>
        </w:rPr>
        <w:t>-202</w:t>
      </w:r>
      <w:r>
        <w:rPr>
          <w:rFonts w:hint="eastAsia" w:ascii="仿宋" w:hAnsi="仿宋" w:eastAsia="仿宋" w:cs="仿宋"/>
          <w:sz w:val="28"/>
          <w:szCs w:val="28"/>
          <w:lang w:val="en-US" w:eastAsia="zh-CN"/>
        </w:rPr>
        <w:t>2</w:t>
      </w:r>
      <w:r>
        <w:rPr>
          <w:rFonts w:hint="eastAsia" w:ascii="仿宋" w:hAnsi="仿宋" w:eastAsia="仿宋" w:cs="仿宋"/>
          <w:sz w:val="28"/>
          <w:szCs w:val="28"/>
        </w:rPr>
        <w:t>年收支总计对比情况</w:t>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二、收入决算情况说明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年度收入合计</w:t>
      </w:r>
      <w:r>
        <w:rPr>
          <w:rFonts w:hint="eastAsia" w:ascii="仿宋_GB2312" w:eastAsia="仿宋_GB2312" w:cs="仿宋_GB2312"/>
          <w:kern w:val="0"/>
          <w:sz w:val="32"/>
          <w:szCs w:val="32"/>
          <w:lang w:val="en-US" w:eastAsia="zh-CN"/>
        </w:rPr>
        <w:t>13547.43</w:t>
      </w:r>
      <w:r>
        <w:rPr>
          <w:rFonts w:hint="eastAsia" w:ascii="仿宋_GB2312" w:eastAsia="仿宋_GB2312" w:cs="仿宋_GB2312"/>
          <w:kern w:val="0"/>
          <w:sz w:val="32"/>
          <w:szCs w:val="32"/>
        </w:rPr>
        <w:t>万元，其中：财政拨款收入</w:t>
      </w:r>
      <w:r>
        <w:rPr>
          <w:rFonts w:hint="eastAsia" w:ascii="仿宋_GB2312" w:eastAsia="仿宋_GB2312" w:cs="仿宋_GB2312"/>
          <w:kern w:val="0"/>
          <w:sz w:val="32"/>
          <w:szCs w:val="32"/>
          <w:lang w:val="en-US" w:eastAsia="zh-CN"/>
        </w:rPr>
        <w:t>13539.43</w:t>
      </w:r>
      <w:r>
        <w:rPr>
          <w:rFonts w:hint="eastAsia" w:ascii="仿宋_GB2312" w:eastAsia="仿宋_GB2312" w:cs="仿宋_GB2312"/>
          <w:kern w:val="0"/>
          <w:sz w:val="32"/>
          <w:szCs w:val="32"/>
        </w:rPr>
        <w:t>万元，占99.</w:t>
      </w:r>
      <w:r>
        <w:rPr>
          <w:rFonts w:hint="eastAsia" w:ascii="仿宋_GB2312" w:eastAsia="仿宋_GB2312" w:cs="仿宋_GB2312"/>
          <w:kern w:val="0"/>
          <w:sz w:val="32"/>
          <w:szCs w:val="32"/>
          <w:lang w:val="en-US" w:eastAsia="zh-CN"/>
        </w:rPr>
        <w:t>9</w:t>
      </w:r>
      <w:r>
        <w:rPr>
          <w:rFonts w:hint="eastAsia" w:ascii="仿宋_GB2312" w:eastAsia="仿宋_GB2312" w:cs="仿宋_GB2312"/>
          <w:kern w:val="0"/>
          <w:sz w:val="32"/>
          <w:szCs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eastAsia="仿宋_GB2312" w:cs="仿宋_GB2312"/>
          <w:kern w:val="0"/>
          <w:sz w:val="32"/>
          <w:szCs w:val="32"/>
          <w:lang w:eastAsia="zh-CN"/>
        </w:rPr>
        <w:t>事业收入</w:t>
      </w:r>
      <w:r>
        <w:rPr>
          <w:rFonts w:hint="eastAsia" w:ascii="仿宋_GB2312" w:eastAsia="仿宋_GB2312" w:cs="仿宋_GB2312"/>
          <w:kern w:val="0"/>
          <w:sz w:val="32"/>
          <w:szCs w:val="32"/>
          <w:lang w:val="en-US" w:eastAsia="zh-CN"/>
        </w:rPr>
        <w:t>0万元，占0%；经营收入0万元，占0%；附属单位上缴收入0万元，占0%；</w:t>
      </w:r>
      <w:r>
        <w:rPr>
          <w:rFonts w:hint="eastAsia" w:ascii="仿宋_GB2312" w:eastAsia="仿宋_GB2312" w:cs="仿宋_GB2312"/>
          <w:kern w:val="0"/>
          <w:sz w:val="32"/>
          <w:szCs w:val="32"/>
        </w:rPr>
        <w:t>其他收入</w:t>
      </w:r>
      <w:r>
        <w:rPr>
          <w:rFonts w:hint="eastAsia" w:ascii="仿宋_GB2312" w:eastAsia="仿宋_GB2312" w:cs="仿宋_GB2312"/>
          <w:kern w:val="0"/>
          <w:sz w:val="32"/>
          <w:szCs w:val="32"/>
          <w:lang w:val="en-US" w:eastAsia="zh-CN"/>
        </w:rPr>
        <w:t>8</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ascii="仿宋" w:hAnsi="仿宋" w:eastAsia="仿宋" w:cs="仿宋"/>
          <w:sz w:val="32"/>
          <w:szCs w:val="32"/>
        </w:rPr>
      </w:pPr>
      <w:bookmarkStart w:id="14" w:name="_GoBack"/>
      <w:bookmarkEnd w:id="14"/>
      <w:r>
        <w:rPr>
          <w:rFonts w:hint="eastAsia" w:ascii="仿宋_GB2312" w:eastAsia="仿宋_GB2312" w:cs="仿宋_GB2312"/>
          <w:kern w:val="0"/>
          <w:sz w:val="32"/>
          <w:szCs w:val="32"/>
        </w:rPr>
        <w:t>按功能分类看：行政运行</w:t>
      </w:r>
      <w:bookmarkStart w:id="1" w:name="OLE_LINK2"/>
      <w:r>
        <w:rPr>
          <w:rFonts w:hint="eastAsia" w:ascii="仿宋_GB2312" w:eastAsia="仿宋_GB2312" w:cs="仿宋_GB2312"/>
          <w:kern w:val="0"/>
          <w:sz w:val="32"/>
          <w:szCs w:val="32"/>
          <w:lang w:val="en-US" w:eastAsia="zh-CN"/>
        </w:rPr>
        <w:t>1308.08</w:t>
      </w:r>
      <w:bookmarkEnd w:id="1"/>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9.7</w:t>
      </w:r>
      <w:r>
        <w:rPr>
          <w:rFonts w:hint="eastAsia" w:ascii="仿宋_GB2312" w:eastAsia="仿宋_GB2312" w:cs="仿宋_GB2312"/>
          <w:kern w:val="0"/>
          <w:sz w:val="32"/>
          <w:szCs w:val="32"/>
        </w:rPr>
        <w:t>%；一般行政管理事务</w:t>
      </w:r>
      <w:bookmarkStart w:id="2" w:name="OLE_LINK3"/>
      <w:r>
        <w:rPr>
          <w:rFonts w:hint="eastAsia" w:ascii="仿宋_GB2312" w:eastAsia="仿宋_GB2312" w:cs="仿宋_GB2312"/>
          <w:kern w:val="0"/>
          <w:sz w:val="32"/>
          <w:szCs w:val="32"/>
          <w:lang w:val="en-US" w:eastAsia="zh-CN"/>
        </w:rPr>
        <w:t>9.59</w:t>
      </w:r>
      <w:bookmarkEnd w:id="2"/>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%；其他财政专项业务费支出</w:t>
      </w:r>
      <w:bookmarkStart w:id="3" w:name="OLE_LINK4"/>
      <w:r>
        <w:rPr>
          <w:rFonts w:hint="eastAsia" w:ascii="仿宋_GB2312" w:eastAsia="仿宋_GB2312" w:cs="仿宋_GB2312"/>
          <w:kern w:val="0"/>
          <w:sz w:val="32"/>
          <w:szCs w:val="32"/>
          <w:lang w:val="en-US" w:eastAsia="zh-CN"/>
        </w:rPr>
        <w:t>11888.41</w:t>
      </w:r>
      <w:bookmarkEnd w:id="3"/>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87.7</w:t>
      </w:r>
      <w:r>
        <w:rPr>
          <w:rFonts w:hint="eastAsia" w:ascii="仿宋_GB2312" w:eastAsia="仿宋_GB2312" w:cs="仿宋_GB2312"/>
          <w:kern w:val="0"/>
          <w:sz w:val="32"/>
          <w:szCs w:val="32"/>
        </w:rPr>
        <w:t>% ；社会保障、医疗、住房公积金等支出</w:t>
      </w:r>
      <w:bookmarkStart w:id="4" w:name="OLE_LINK5"/>
      <w:r>
        <w:rPr>
          <w:rFonts w:hint="eastAsia" w:ascii="仿宋_GB2312" w:eastAsia="仿宋_GB2312" w:cs="仿宋_GB2312"/>
          <w:kern w:val="0"/>
          <w:sz w:val="32"/>
          <w:szCs w:val="32"/>
          <w:lang w:val="en-US" w:eastAsia="zh-CN"/>
        </w:rPr>
        <w:t>341.35</w:t>
      </w:r>
      <w:bookmarkEnd w:id="4"/>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2.5</w:t>
      </w:r>
      <w:r>
        <w:rPr>
          <w:rFonts w:hint="eastAsia" w:ascii="仿宋_GB2312" w:eastAsia="仿宋_GB2312" w:cs="仿宋_GB2312"/>
          <w:kern w:val="0"/>
          <w:sz w:val="32"/>
          <w:szCs w:val="32"/>
        </w:rPr>
        <w:t>%（见图2）。</w:t>
      </w:r>
    </w:p>
    <w:p>
      <w:pPr>
        <w:adjustRightInd w:val="0"/>
        <w:snapToGrid w:val="0"/>
        <w:spacing w:line="600" w:lineRule="exact"/>
      </w:pPr>
      <w:r>
        <w:pict>
          <v:shape id="图表 2" o:spid="_x0000_s1080" o:spt="75" type="#_x0000_t75" style="position:absolute;left:0pt;margin-left:44.25pt;margin-top:2.95pt;height:177.85pt;width:339pt;z-index:-251655168;mso-width-relative:page;mso-height-relative:page;" filled="f" o:preferrelative="t" stroked="f" coordsize="21600,21600" o:gfxdata="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">
            <v:path/>
            <v:fill on="f" focussize="0,0"/>
            <v:stroke on="f"/>
            <v:imagedata r:id="rId15" o:title=""/>
            <o:lock v:ext="edit" aspectratio="f"/>
          </v:shape>
        </w:pict>
      </w:r>
    </w:p>
    <w:p>
      <w:pPr>
        <w:adjustRightInd w:val="0"/>
        <w:snapToGrid w:val="0"/>
        <w:spacing w:line="600" w:lineRule="exact"/>
      </w:pPr>
    </w:p>
    <w:p>
      <w:pPr>
        <w:adjustRightInd w:val="0"/>
        <w:snapToGrid w:val="0"/>
        <w:spacing w:line="600" w:lineRule="exact"/>
      </w:pPr>
    </w:p>
    <w:p>
      <w:pPr>
        <w:adjustRightInd w:val="0"/>
        <w:snapToGrid w:val="0"/>
        <w:spacing w:line="600" w:lineRule="exact"/>
      </w:pPr>
    </w:p>
    <w:p>
      <w:pPr>
        <w:adjustRightInd w:val="0"/>
        <w:snapToGrid w:val="0"/>
        <w:spacing w:line="600" w:lineRule="exact"/>
      </w:pPr>
    </w:p>
    <w:p>
      <w:pPr>
        <w:keepNext/>
        <w:keepLines/>
        <w:snapToGrid w:val="0"/>
        <w:spacing w:line="580" w:lineRule="exact"/>
        <w:outlineLvl w:val="1"/>
        <w:rPr>
          <w:rFonts w:ascii="黑体" w:eastAsia="黑体" w:cs="黑体"/>
          <w:sz w:val="32"/>
          <w:szCs w:val="32"/>
        </w:rPr>
      </w:pPr>
    </w:p>
    <w:p>
      <w:pPr>
        <w:keepNext/>
        <w:keepLines/>
        <w:snapToGrid w:val="0"/>
        <w:spacing w:line="580" w:lineRule="exact"/>
        <w:ind w:firstLine="1400" w:firstLineChars="500"/>
        <w:outlineLvl w:val="1"/>
        <w:rPr>
          <w:rFonts w:ascii="黑体" w:eastAsia="黑体" w:cs="黑体"/>
          <w:sz w:val="32"/>
          <w:szCs w:val="32"/>
        </w:rPr>
      </w:pPr>
      <w:r>
        <w:rPr>
          <w:rFonts w:hint="eastAsia" w:ascii="仿宋" w:hAnsi="仿宋" w:eastAsia="仿宋" w:cs="仿宋"/>
          <w:sz w:val="28"/>
          <w:szCs w:val="28"/>
        </w:rPr>
        <w:t>图2：收入决算构成情况（按支出功能分类）</w:t>
      </w:r>
    </w:p>
    <w:p>
      <w:pPr>
        <w:keepNext/>
        <w:keepLines/>
        <w:pageBreakBefore w:val="0"/>
        <w:widowControl w:val="0"/>
        <w:kinsoku/>
        <w:wordWrap/>
        <w:overflowPunct/>
        <w:topLinePunct w:val="0"/>
        <w:autoSpaceDE/>
        <w:autoSpaceDN/>
        <w:bidi w:val="0"/>
        <w:adjustRightInd/>
        <w:snapToGrid w:val="0"/>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三、支出决算情况说明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年度本年支出合计</w:t>
      </w:r>
      <w:r>
        <w:rPr>
          <w:rFonts w:hint="eastAsia" w:ascii="仿宋_GB2312" w:eastAsia="仿宋_GB2312" w:cs="仿宋_GB2312"/>
          <w:kern w:val="0"/>
          <w:sz w:val="32"/>
          <w:szCs w:val="32"/>
          <w:lang w:val="en-US" w:eastAsia="zh-CN"/>
        </w:rPr>
        <w:t>13546.55</w:t>
      </w:r>
      <w:r>
        <w:rPr>
          <w:rFonts w:hint="eastAsia" w:ascii="仿宋_GB2312" w:eastAsia="仿宋_GB2312" w:cs="仿宋_GB2312"/>
          <w:kern w:val="0"/>
          <w:sz w:val="32"/>
          <w:szCs w:val="32"/>
        </w:rPr>
        <w:t>万元，按支出性质看，基本支出</w:t>
      </w:r>
      <w:bookmarkStart w:id="5" w:name="OLE_LINK6"/>
      <w:r>
        <w:rPr>
          <w:rFonts w:hint="eastAsia" w:ascii="仿宋_GB2312" w:eastAsia="仿宋_GB2312" w:cs="仿宋_GB2312"/>
          <w:kern w:val="0"/>
          <w:sz w:val="32"/>
          <w:szCs w:val="32"/>
          <w:lang w:val="en-US" w:eastAsia="zh-CN"/>
        </w:rPr>
        <w:t>1649.43</w:t>
      </w:r>
      <w:bookmarkEnd w:id="5"/>
      <w:r>
        <w:rPr>
          <w:rFonts w:hint="eastAsia" w:ascii="仿宋_GB2312" w:eastAsia="仿宋_GB2312" w:cs="仿宋_GB2312"/>
          <w:kern w:val="0"/>
          <w:sz w:val="32"/>
          <w:szCs w:val="32"/>
        </w:rPr>
        <w:t>万元，占全部支出的</w:t>
      </w:r>
      <w:r>
        <w:rPr>
          <w:rFonts w:hint="eastAsia" w:ascii="仿宋_GB2312" w:eastAsia="仿宋_GB2312" w:cs="仿宋_GB2312"/>
          <w:kern w:val="0"/>
          <w:sz w:val="32"/>
          <w:szCs w:val="32"/>
          <w:lang w:val="en-US" w:eastAsia="zh-CN"/>
        </w:rPr>
        <w:t>12.2</w:t>
      </w:r>
      <w:r>
        <w:rPr>
          <w:rFonts w:hint="eastAsia" w:ascii="仿宋_GB2312" w:eastAsia="仿宋_GB2312" w:cs="仿宋_GB2312"/>
          <w:kern w:val="0"/>
          <w:sz w:val="32"/>
          <w:szCs w:val="32"/>
        </w:rPr>
        <w:t>%，项目支出</w:t>
      </w:r>
      <w:bookmarkStart w:id="6" w:name="OLE_LINK7"/>
      <w:r>
        <w:rPr>
          <w:rFonts w:hint="eastAsia" w:ascii="仿宋_GB2312" w:eastAsia="仿宋_GB2312" w:cs="仿宋_GB2312"/>
          <w:kern w:val="0"/>
          <w:sz w:val="32"/>
          <w:szCs w:val="32"/>
          <w:lang w:val="en-US" w:eastAsia="zh-CN"/>
        </w:rPr>
        <w:t>11897.12</w:t>
      </w:r>
      <w:bookmarkEnd w:id="6"/>
      <w:r>
        <w:rPr>
          <w:rFonts w:hint="eastAsia" w:ascii="仿宋_GB2312" w:eastAsia="仿宋_GB2312" w:cs="仿宋_GB2312"/>
          <w:kern w:val="0"/>
          <w:sz w:val="32"/>
          <w:szCs w:val="32"/>
        </w:rPr>
        <w:t>万元，占全部支出的</w:t>
      </w:r>
      <w:r>
        <w:rPr>
          <w:rFonts w:hint="eastAsia" w:ascii="仿宋_GB2312" w:eastAsia="仿宋_GB2312" w:cs="仿宋_GB2312"/>
          <w:kern w:val="0"/>
          <w:sz w:val="32"/>
          <w:szCs w:val="32"/>
          <w:lang w:val="en-US" w:eastAsia="zh-CN"/>
        </w:rPr>
        <w:t>87.8</w:t>
      </w:r>
      <w:r>
        <w:rPr>
          <w:rFonts w:hint="eastAsia" w:ascii="仿宋_GB2312" w:eastAsia="仿宋_GB2312" w:cs="仿宋_GB2312"/>
          <w:kern w:val="0"/>
          <w:sz w:val="32"/>
          <w:szCs w:val="32"/>
        </w:rPr>
        <w:t>%。（见图3）。</w:t>
      </w:r>
    </w:p>
    <w:p>
      <w:pPr>
        <w:adjustRightInd w:val="0"/>
        <w:snapToGrid w:val="0"/>
        <w:spacing w:line="580" w:lineRule="exact"/>
        <w:ind w:firstLine="420" w:firstLineChars="200"/>
        <w:rPr>
          <w:rFonts w:ascii="仿宋" w:hAnsi="仿宋" w:eastAsia="仿宋" w:cs="仿宋"/>
          <w:sz w:val="28"/>
          <w:szCs w:val="28"/>
        </w:rPr>
      </w:pPr>
      <w:r>
        <w:pict>
          <v:shape id="图表 1" o:spid="_x0000_s1081" o:spt="75" type="#_x0000_t75" style="position:absolute;left:0pt;margin-left:24pt;margin-top:2.95pt;height:219.05pt;width:361.5pt;z-index:-251654144;mso-width-relative:page;mso-height-relative:page;" filled="f" o:preferrelative="t" stroked="f" coordsize="21600,21600" o:gfxdata="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">
            <v:path/>
            <v:fill on="f" focussize="0,0"/>
            <v:stroke on="f"/>
            <v:imagedata r:id="rId16" o:title=""/>
            <o:lock v:ext="edit" aspectratio="f"/>
          </v:shape>
        </w:pict>
      </w:r>
    </w:p>
    <w:p>
      <w:pPr>
        <w:keepNext/>
        <w:keepLines/>
        <w:snapToGrid w:val="0"/>
        <w:spacing w:line="580" w:lineRule="exact"/>
        <w:ind w:firstLine="1400" w:firstLineChars="500"/>
        <w:outlineLvl w:val="1"/>
        <w:rPr>
          <w:rFonts w:ascii="仿宋" w:hAnsi="仿宋" w:eastAsia="仿宋" w:cs="仿宋"/>
          <w:sz w:val="28"/>
          <w:szCs w:val="28"/>
        </w:rPr>
      </w:pPr>
    </w:p>
    <w:p>
      <w:pPr>
        <w:keepNext/>
        <w:keepLines/>
        <w:snapToGrid w:val="0"/>
        <w:spacing w:line="580" w:lineRule="exact"/>
        <w:outlineLvl w:val="1"/>
        <w:rPr>
          <w:rFonts w:ascii="仿宋" w:hAnsi="仿宋" w:eastAsia="仿宋" w:cs="仿宋"/>
          <w:sz w:val="28"/>
          <w:szCs w:val="28"/>
        </w:rPr>
      </w:pPr>
    </w:p>
    <w:p>
      <w:pPr>
        <w:keepNext/>
        <w:keepLines/>
        <w:snapToGrid w:val="0"/>
        <w:spacing w:line="580" w:lineRule="exact"/>
        <w:outlineLvl w:val="1"/>
        <w:rPr>
          <w:rFonts w:ascii="仿宋" w:hAnsi="仿宋" w:eastAsia="仿宋" w:cs="仿宋"/>
          <w:sz w:val="28"/>
          <w:szCs w:val="28"/>
        </w:rPr>
      </w:pPr>
    </w:p>
    <w:p>
      <w:pPr>
        <w:spacing w:line="580" w:lineRule="exact"/>
        <w:ind w:firstLine="640" w:firstLineChars="200"/>
        <w:outlineLvl w:val="1"/>
        <w:rPr>
          <w:rFonts w:ascii="黑体" w:eastAsia="黑体" w:cs="黑体"/>
          <w:sz w:val="32"/>
          <w:szCs w:val="32"/>
        </w:rPr>
      </w:pPr>
    </w:p>
    <w:p>
      <w:pPr>
        <w:keepNext/>
        <w:keepLines/>
        <w:snapToGrid w:val="0"/>
        <w:spacing w:line="580" w:lineRule="exact"/>
        <w:outlineLvl w:val="1"/>
        <w:rPr>
          <w:rFonts w:hint="eastAsia" w:ascii="仿宋" w:hAnsi="仿宋" w:eastAsia="仿宋" w:cs="仿宋"/>
          <w:sz w:val="28"/>
          <w:szCs w:val="28"/>
        </w:rPr>
      </w:pPr>
    </w:p>
    <w:p>
      <w:pPr>
        <w:keepNext/>
        <w:keepLines/>
        <w:snapToGrid w:val="0"/>
        <w:spacing w:line="580" w:lineRule="exact"/>
        <w:ind w:firstLine="1400" w:firstLineChars="500"/>
        <w:outlineLvl w:val="1"/>
        <w:rPr>
          <w:rFonts w:ascii="仿宋_GB2312" w:hAnsi="Times New Roman" w:eastAsia="仿宋_GB2312" w:cs="仿宋_GB2312"/>
          <w:sz w:val="32"/>
          <w:szCs w:val="32"/>
        </w:rPr>
      </w:pPr>
      <w:r>
        <w:rPr>
          <w:rFonts w:hint="eastAsia" w:ascii="仿宋" w:hAnsi="仿宋" w:eastAsia="仿宋" w:cs="仿宋"/>
          <w:sz w:val="28"/>
          <w:szCs w:val="28"/>
        </w:rPr>
        <w:t>图3:支出决算构成情况（按支出性质分类）</w:t>
      </w:r>
    </w:p>
    <w:p>
      <w:pPr>
        <w:keepNext w:val="0"/>
        <w:keepLines w:val="0"/>
        <w:pageBreakBefore w:val="0"/>
        <w:widowControl w:val="0"/>
        <w:kinsoku/>
        <w:wordWrap/>
        <w:overflowPunct/>
        <w:topLinePunct w:val="0"/>
        <w:autoSpaceDE/>
        <w:autoSpaceDN/>
        <w:bidi w:val="0"/>
        <w:adjustRightInd/>
        <w:spacing w:line="578" w:lineRule="exact"/>
        <w:ind w:left="0" w:leftChars="0" w:right="0" w:rightChars="0" w:firstLine="640" w:firstLineChars="200"/>
        <w:textAlignment w:val="auto"/>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keepNext w:val="0"/>
        <w:keepLines w:val="0"/>
        <w:pageBreakBefore w:val="0"/>
        <w:widowControl w:val="0"/>
        <w:kinsoku/>
        <w:wordWrap/>
        <w:overflowPunct/>
        <w:topLinePunct w:val="0"/>
        <w:autoSpaceDE/>
        <w:autoSpaceDN/>
        <w:bidi w:val="0"/>
        <w:adjustRightInd/>
        <w:snapToGrid w:val="0"/>
        <w:spacing w:line="578" w:lineRule="exact"/>
        <w:ind w:left="0" w:leftChars="0" w:right="0" w:rightChars="0" w:firstLine="643" w:firstLineChars="200"/>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w:t>
      </w:r>
      <w:r>
        <w:rPr>
          <w:rFonts w:hint="eastAsia" w:ascii="楷体_GB2312" w:hAnsi="Times New Roman" w:eastAsia="楷体_GB2312" w:cs="楷体_GB2312"/>
          <w:b/>
          <w:bCs/>
          <w:sz w:val="32"/>
          <w:szCs w:val="32"/>
          <w:lang w:val="en-US" w:eastAsia="zh-CN"/>
        </w:rPr>
        <w:t>1</w:t>
      </w:r>
      <w:r>
        <w:rPr>
          <w:rFonts w:hint="eastAsia" w:ascii="楷体_GB2312" w:hAnsi="Times New Roman" w:eastAsia="楷体_GB2312" w:cs="楷体_GB2312"/>
          <w:b/>
          <w:bCs/>
          <w:sz w:val="32"/>
          <w:szCs w:val="32"/>
        </w:rPr>
        <w:t>年度决算对比情况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420" w:firstLineChars="200"/>
        <w:jc w:val="left"/>
        <w:textAlignment w:val="auto"/>
        <w:outlineLvl w:val="9"/>
        <w:rPr>
          <w:rFonts w:hint="eastAsia" w:ascii="仿宋_GB2312" w:eastAsia="仿宋_GB2312" w:cs="仿宋_GB2312"/>
          <w:kern w:val="0"/>
          <w:sz w:val="32"/>
          <w:szCs w:val="32"/>
          <w:lang w:val="en-US" w:eastAsia="zh-CN"/>
        </w:rPr>
      </w:pPr>
      <w:r>
        <w:pict>
          <v:shape id="_x0000_s1082" o:spid="_x0000_s1082" o:spt="75" type="#_x0000_t75" style="position:absolute;left:0pt;margin-left:45.75pt;margin-top:229.55pt;height:210.05pt;width:361.5pt;z-index:-251653120;mso-width-relative:page;mso-height-relative:page;" filled="f" o:preferrelative="t" stroked="f" coordsize="21600,21600" o:gfxdata="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">
            <v:path/>
            <v:fill on="f" focussize="0,0"/>
            <v:stroke on="f"/>
            <v:imagedata r:id="rId17" o:title=""/>
            <o:lock v:ext="edit" aspectratio="f"/>
          </v:shape>
        </w:pic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年度形成的财政拨款收支均为一般公共预算财政拨款，其中本年收入</w:t>
      </w:r>
      <w:bookmarkStart w:id="7" w:name="OLE_LINK8"/>
      <w:r>
        <w:rPr>
          <w:rFonts w:hint="eastAsia" w:ascii="仿宋_GB2312" w:eastAsia="仿宋_GB2312" w:cs="仿宋_GB2312"/>
          <w:kern w:val="0"/>
          <w:sz w:val="32"/>
          <w:szCs w:val="32"/>
          <w:lang w:val="en-US" w:eastAsia="zh-CN"/>
        </w:rPr>
        <w:t>13539.43</w:t>
      </w:r>
      <w:bookmarkEnd w:id="7"/>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11890.61</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721.2</w:t>
      </w:r>
      <w:r>
        <w:rPr>
          <w:rFonts w:hint="eastAsia" w:ascii="仿宋_GB2312" w:eastAsia="仿宋_GB2312" w:cs="仿宋_GB2312"/>
          <w:kern w:val="0"/>
          <w:sz w:val="32"/>
          <w:szCs w:val="32"/>
        </w:rPr>
        <w:t>%；本年支出</w:t>
      </w:r>
      <w:bookmarkStart w:id="8" w:name="OLE_LINK9"/>
      <w:r>
        <w:rPr>
          <w:rFonts w:hint="eastAsia" w:ascii="仿宋_GB2312" w:eastAsia="仿宋_GB2312" w:cs="仿宋_GB2312"/>
          <w:kern w:val="0"/>
          <w:sz w:val="32"/>
          <w:szCs w:val="32"/>
          <w:lang w:val="en-US" w:eastAsia="zh-CN"/>
        </w:rPr>
        <w:t>13538.55</w:t>
      </w:r>
      <w:bookmarkEnd w:id="8"/>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11873.63</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增长</w:t>
      </w:r>
      <w:r>
        <w:rPr>
          <w:rFonts w:hint="eastAsia" w:ascii="仿宋_GB2312" w:eastAsia="仿宋_GB2312" w:cs="仿宋_GB2312"/>
          <w:kern w:val="0"/>
          <w:sz w:val="32"/>
          <w:szCs w:val="32"/>
          <w:lang w:val="en-US" w:eastAsia="zh-CN"/>
        </w:rPr>
        <w:t>713.2</w:t>
      </w:r>
      <w:r>
        <w:rPr>
          <w:rFonts w:hint="eastAsia" w:ascii="仿宋_GB2312" w:eastAsia="仿宋_GB2312" w:cs="仿宋_GB2312"/>
          <w:kern w:val="0"/>
          <w:sz w:val="32"/>
          <w:szCs w:val="32"/>
        </w:rPr>
        <w:t>%（见图4），收支</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rPr>
        <w:t>主要是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lang w:val="en-US" w:eastAsia="zh-CN"/>
        </w:rPr>
      </w:pPr>
    </w:p>
    <w:p>
      <w:pPr>
        <w:adjustRightInd w:val="0"/>
        <w:snapToGrid w:val="0"/>
        <w:spacing w:line="600" w:lineRule="exact"/>
        <w:rPr>
          <w:rFonts w:ascii="仿宋" w:hAnsi="仿宋" w:eastAsia="仿宋" w:cs="仿宋"/>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adjustRightInd w:val="0"/>
        <w:snapToGrid w:val="0"/>
        <w:spacing w:line="580" w:lineRule="exact"/>
        <w:ind w:firstLine="640" w:firstLineChars="200"/>
        <w:rPr>
          <w:rFonts w:ascii="仿宋_GB2312" w:hAnsi="Times New Roman" w:eastAsia="仿宋_GB2312" w:cs="仿宋_GB2312"/>
          <w:sz w:val="32"/>
          <w:szCs w:val="32"/>
        </w:rPr>
      </w:pPr>
    </w:p>
    <w:p>
      <w:pPr>
        <w:snapToGrid w:val="0"/>
        <w:spacing w:line="600" w:lineRule="exact"/>
        <w:ind w:firstLine="1960" w:firstLineChars="700"/>
        <w:rPr>
          <w:rFonts w:ascii="仿宋_GB2312" w:hAnsi="Times New Roman" w:eastAsia="仿宋_GB2312" w:cs="仿宋_GB2312"/>
          <w:sz w:val="32"/>
          <w:szCs w:val="32"/>
        </w:rPr>
      </w:pPr>
      <w:r>
        <w:rPr>
          <w:rFonts w:hint="eastAsia" w:ascii="仿宋" w:hAnsi="仿宋" w:eastAsia="仿宋" w:cs="仿宋"/>
          <w:sz w:val="28"/>
          <w:szCs w:val="28"/>
        </w:rPr>
        <w:t>图4:202</w:t>
      </w:r>
      <w:r>
        <w:rPr>
          <w:rFonts w:hint="eastAsia" w:ascii="仿宋" w:hAnsi="仿宋" w:eastAsia="仿宋" w:cs="仿宋"/>
          <w:sz w:val="28"/>
          <w:szCs w:val="28"/>
          <w:lang w:val="en-US" w:eastAsia="zh-CN"/>
        </w:rPr>
        <w:t>1</w:t>
      </w:r>
      <w:r>
        <w:rPr>
          <w:rFonts w:hint="eastAsia" w:ascii="仿宋" w:hAnsi="仿宋" w:eastAsia="仿宋" w:cs="仿宋"/>
          <w:sz w:val="28"/>
          <w:szCs w:val="28"/>
        </w:rPr>
        <w:t>-202</w:t>
      </w:r>
      <w:r>
        <w:rPr>
          <w:rFonts w:hint="eastAsia" w:ascii="仿宋" w:hAnsi="仿宋" w:eastAsia="仿宋" w:cs="仿宋"/>
          <w:sz w:val="28"/>
          <w:szCs w:val="28"/>
          <w:lang w:val="en-US" w:eastAsia="zh-CN"/>
        </w:rPr>
        <w:t>2</w:t>
      </w:r>
      <w:r>
        <w:rPr>
          <w:rFonts w:hint="eastAsia" w:ascii="仿宋" w:hAnsi="仿宋" w:eastAsia="仿宋" w:cs="仿宋"/>
          <w:sz w:val="28"/>
          <w:szCs w:val="28"/>
        </w:rPr>
        <w:t>年财政拨款收支情况</w:t>
      </w:r>
    </w:p>
    <w:p>
      <w:pPr>
        <w:keepNext w:val="0"/>
        <w:keepLines w:val="0"/>
        <w:pageBreakBefore w:val="0"/>
        <w:widowControl w:val="0"/>
        <w:kinsoku/>
        <w:wordWrap/>
        <w:overflowPunct/>
        <w:topLinePunct w:val="0"/>
        <w:autoSpaceDE/>
        <w:autoSpaceDN/>
        <w:bidi w:val="0"/>
        <w:snapToGrid w:val="0"/>
        <w:spacing w:line="578" w:lineRule="exact"/>
        <w:ind w:left="0" w:leftChars="0" w:right="0" w:rightChars="0" w:firstLine="643" w:firstLineChars="200"/>
        <w:jc w:val="both"/>
        <w:textAlignment w:val="auto"/>
        <w:outlineLvl w:val="9"/>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年度形成的财政拨款收支均为一般公共预算财政拨款，其中本年收入</w:t>
      </w:r>
      <w:bookmarkStart w:id="9" w:name="OLE_LINK10"/>
      <w:r>
        <w:rPr>
          <w:rFonts w:hint="eastAsia" w:ascii="仿宋_GB2312" w:eastAsia="仿宋_GB2312" w:cs="仿宋_GB2312"/>
          <w:kern w:val="0"/>
          <w:sz w:val="32"/>
          <w:szCs w:val="32"/>
          <w:lang w:val="en-US" w:eastAsia="zh-CN"/>
        </w:rPr>
        <w:t>13539.43</w:t>
      </w:r>
      <w:bookmarkEnd w:id="9"/>
      <w:r>
        <w:rPr>
          <w:rFonts w:hint="eastAsia" w:ascii="仿宋_GB2312" w:eastAsia="仿宋_GB2312" w:cs="仿宋_GB2312"/>
          <w:kern w:val="0"/>
          <w:sz w:val="32"/>
          <w:szCs w:val="32"/>
        </w:rPr>
        <w:t>万元，完成年初预算的</w:t>
      </w:r>
      <w:r>
        <w:rPr>
          <w:rFonts w:hint="eastAsia" w:ascii="仿宋_GB2312" w:eastAsia="仿宋_GB2312" w:cs="仿宋_GB2312"/>
          <w:kern w:val="0"/>
          <w:sz w:val="32"/>
          <w:szCs w:val="32"/>
          <w:lang w:val="en-US" w:eastAsia="zh-CN"/>
        </w:rPr>
        <w:t>603.9</w:t>
      </w:r>
      <w:r>
        <w:rPr>
          <w:rFonts w:hint="eastAsia" w:ascii="仿宋_GB2312" w:eastAsia="仿宋_GB2312" w:cs="仿宋_GB2312"/>
          <w:kern w:val="0"/>
          <w:sz w:val="32"/>
          <w:szCs w:val="32"/>
        </w:rPr>
        <w:t>%,比年初预算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11615.86</w:t>
      </w:r>
      <w:r>
        <w:rPr>
          <w:rFonts w:hint="eastAsia" w:ascii="仿宋_GB2312" w:eastAsia="仿宋_GB2312" w:cs="仿宋_GB2312"/>
          <w:kern w:val="0"/>
          <w:sz w:val="32"/>
          <w:szCs w:val="32"/>
        </w:rPr>
        <w:t>万元。决算数</w:t>
      </w:r>
      <w:r>
        <w:rPr>
          <w:rFonts w:hint="eastAsia" w:ascii="仿宋_GB2312" w:eastAsia="仿宋_GB2312" w:cs="仿宋_GB2312"/>
          <w:kern w:val="0"/>
          <w:sz w:val="32"/>
          <w:szCs w:val="32"/>
          <w:lang w:eastAsia="zh-CN"/>
        </w:rPr>
        <w:t>大于</w:t>
      </w:r>
      <w:r>
        <w:rPr>
          <w:rFonts w:hint="eastAsia" w:ascii="仿宋_GB2312" w:eastAsia="仿宋_GB2312" w:cs="仿宋_GB2312"/>
          <w:kern w:val="0"/>
          <w:sz w:val="32"/>
          <w:szCs w:val="32"/>
        </w:rPr>
        <w:t>预算数主要原因是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249.68万元，</w:t>
      </w:r>
      <w:r>
        <w:rPr>
          <w:rFonts w:hint="eastAsia" w:ascii="仿宋_GB2312" w:eastAsia="仿宋_GB2312" w:cs="仿宋_GB2312"/>
          <w:kern w:val="0"/>
          <w:sz w:val="32"/>
          <w:szCs w:val="32"/>
          <w:lang w:eastAsia="zh-CN"/>
        </w:rPr>
        <w:t>另外根据区委区政府安排，今年我局新增了缴纳土增税及资产处置应缴税费等大额资金项目等，</w:t>
      </w:r>
      <w:r>
        <w:rPr>
          <w:rFonts w:hint="eastAsia" w:ascii="仿宋_GB2312" w:eastAsia="仿宋_GB2312" w:cs="仿宋_GB2312"/>
          <w:kern w:val="0"/>
          <w:sz w:val="32"/>
          <w:szCs w:val="32"/>
        </w:rPr>
        <w:t>使项目支出较预算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11366.18</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本年支出</w:t>
      </w:r>
      <w:bookmarkStart w:id="10" w:name="OLE_LINK11"/>
      <w:r>
        <w:rPr>
          <w:rFonts w:hint="eastAsia" w:ascii="仿宋_GB2312" w:eastAsia="仿宋_GB2312" w:cs="仿宋_GB2312"/>
          <w:kern w:val="0"/>
          <w:sz w:val="32"/>
          <w:szCs w:val="32"/>
          <w:lang w:val="en-US" w:eastAsia="zh-CN"/>
        </w:rPr>
        <w:t>13538.55</w:t>
      </w:r>
      <w:bookmarkEnd w:id="10"/>
      <w:r>
        <w:rPr>
          <w:rFonts w:hint="eastAsia" w:ascii="仿宋_GB2312" w:eastAsia="仿宋_GB2312" w:cs="仿宋_GB2312"/>
          <w:kern w:val="0"/>
          <w:sz w:val="32"/>
          <w:szCs w:val="32"/>
        </w:rPr>
        <w:t>万元，完成年初预算的</w:t>
      </w:r>
      <w:r>
        <w:rPr>
          <w:rFonts w:hint="eastAsia" w:ascii="仿宋_GB2312" w:eastAsia="仿宋_GB2312" w:cs="仿宋_GB2312"/>
          <w:kern w:val="0"/>
          <w:sz w:val="32"/>
          <w:szCs w:val="32"/>
          <w:lang w:val="en-US" w:eastAsia="zh-CN"/>
        </w:rPr>
        <w:t>603.8</w:t>
      </w:r>
      <w:r>
        <w:rPr>
          <w:rFonts w:hint="eastAsia" w:ascii="仿宋_GB2312" w:eastAsia="仿宋_GB2312" w:cs="仿宋_GB2312"/>
          <w:kern w:val="0"/>
          <w:sz w:val="32"/>
          <w:szCs w:val="32"/>
        </w:rPr>
        <w:t>%,比年初预算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11614.98</w:t>
      </w:r>
      <w:r>
        <w:rPr>
          <w:rFonts w:hint="eastAsia" w:ascii="仿宋_GB2312" w:eastAsia="仿宋_GB2312" w:cs="仿宋_GB2312"/>
          <w:kern w:val="0"/>
          <w:sz w:val="32"/>
          <w:szCs w:val="32"/>
        </w:rPr>
        <w:t>万元。决算数</w:t>
      </w:r>
      <w:r>
        <w:rPr>
          <w:rFonts w:hint="eastAsia" w:ascii="仿宋_GB2312" w:eastAsia="仿宋_GB2312" w:cs="仿宋_GB2312"/>
          <w:kern w:val="0"/>
          <w:sz w:val="32"/>
          <w:szCs w:val="32"/>
          <w:lang w:eastAsia="zh-CN"/>
        </w:rPr>
        <w:t>大于</w:t>
      </w:r>
      <w:r>
        <w:rPr>
          <w:rFonts w:hint="eastAsia" w:ascii="仿宋_GB2312" w:eastAsia="仿宋_GB2312" w:cs="仿宋_GB2312"/>
          <w:kern w:val="0"/>
          <w:sz w:val="32"/>
          <w:szCs w:val="32"/>
        </w:rPr>
        <w:t>预算数主要原因是</w:t>
      </w:r>
      <w:r>
        <w:rPr>
          <w:rFonts w:hint="eastAsia" w:ascii="仿宋_GB2312" w:eastAsia="仿宋_GB2312" w:cs="仿宋_GB2312"/>
          <w:kern w:val="0"/>
          <w:sz w:val="32"/>
          <w:szCs w:val="32"/>
          <w:lang w:eastAsia="zh-CN"/>
        </w:rPr>
        <w:t>人员工资调整标准，交通补贴、通讯补贴、取暖补贴、物业补贴等纳入住房公积金缴费基数，基本支出增加</w:t>
      </w:r>
      <w:r>
        <w:rPr>
          <w:rFonts w:hint="eastAsia" w:ascii="仿宋_GB2312" w:eastAsia="仿宋_GB2312" w:cs="仿宋_GB2312"/>
          <w:kern w:val="0"/>
          <w:sz w:val="32"/>
          <w:szCs w:val="32"/>
          <w:lang w:val="en-US" w:eastAsia="zh-CN"/>
        </w:rPr>
        <w:t>249.68万元，</w:t>
      </w:r>
      <w:r>
        <w:rPr>
          <w:rFonts w:hint="eastAsia" w:ascii="仿宋_GB2312" w:eastAsia="仿宋_GB2312" w:cs="仿宋_GB2312"/>
          <w:kern w:val="0"/>
          <w:sz w:val="32"/>
          <w:szCs w:val="32"/>
          <w:lang w:eastAsia="zh-CN"/>
        </w:rPr>
        <w:t>另外根据区委区政府安排，今年我局新增了缴纳土增税及资产处置应缴税费等大额资金项目，</w:t>
      </w:r>
      <w:r>
        <w:rPr>
          <w:rFonts w:hint="eastAsia" w:ascii="仿宋_GB2312" w:eastAsia="仿宋_GB2312" w:cs="仿宋_GB2312"/>
          <w:kern w:val="0"/>
          <w:sz w:val="32"/>
          <w:szCs w:val="32"/>
        </w:rPr>
        <w:t>使项目支出较预算</w:t>
      </w:r>
      <w:r>
        <w:rPr>
          <w:rFonts w:hint="eastAsia" w:ascii="仿宋_GB2312" w:eastAsia="仿宋_GB2312" w:cs="仿宋_GB2312"/>
          <w:kern w:val="0"/>
          <w:sz w:val="32"/>
          <w:szCs w:val="32"/>
          <w:lang w:eastAsia="zh-CN"/>
        </w:rPr>
        <w:t>增加</w:t>
      </w:r>
      <w:r>
        <w:rPr>
          <w:rFonts w:hint="eastAsia" w:ascii="仿宋_GB2312" w:eastAsia="仿宋_GB2312" w:cs="仿宋_GB2312"/>
          <w:kern w:val="0"/>
          <w:sz w:val="32"/>
          <w:szCs w:val="32"/>
          <w:lang w:val="en-US" w:eastAsia="zh-CN"/>
        </w:rPr>
        <w:t>11365.3</w:t>
      </w:r>
      <w:r>
        <w:rPr>
          <w:rFonts w:hint="eastAsia" w:ascii="仿宋_GB2312" w:eastAsia="仿宋_GB2312" w:cs="仿宋_GB2312"/>
          <w:kern w:val="0"/>
          <w:sz w:val="32"/>
          <w:szCs w:val="32"/>
        </w:rPr>
        <w:t>万元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（见图5）</w:t>
      </w:r>
    </w:p>
    <w:p>
      <w:pPr>
        <w:adjustRightInd w:val="0"/>
        <w:snapToGrid w:val="0"/>
        <w:spacing w:line="600" w:lineRule="exact"/>
        <w:ind w:firstLine="420" w:firstLineChars="200"/>
        <w:rPr>
          <w:rFonts w:ascii="仿宋" w:hAnsi="仿宋" w:eastAsia="仿宋" w:cs="仿宋"/>
          <w:sz w:val="32"/>
          <w:szCs w:val="32"/>
        </w:rPr>
      </w:pPr>
      <w:r>
        <w:pict>
          <v:shape id="_x0000_s1084" o:spid="_x0000_s1084" o:spt="75" type="#_x0000_t75" style="position:absolute;left:0pt;margin-left:26.25pt;margin-top:1.5pt;height:213.05pt;width:361.5pt;z-index:-251651072;mso-width-relative:page;mso-height-relative:page;" filled="f" o:preferrelative="t" stroked="f" coordsize="21600,21600" o:gfxdata="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">
            <v:path/>
            <v:fill on="f" focussize="0,0"/>
            <v:stroke on="f"/>
            <v:imagedata r:id="rId18" o:title=""/>
            <o:lock v:ext="edit" aspectratio="f"/>
          </v:shape>
        </w:pict>
      </w: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adjustRightInd w:val="0"/>
        <w:snapToGrid w:val="0"/>
        <w:spacing w:line="600" w:lineRule="exact"/>
        <w:ind w:firstLine="640" w:firstLineChars="200"/>
        <w:rPr>
          <w:rFonts w:ascii="仿宋" w:hAnsi="仿宋" w:eastAsia="仿宋" w:cs="仿宋"/>
          <w:sz w:val="32"/>
          <w:szCs w:val="32"/>
        </w:rPr>
      </w:pPr>
    </w:p>
    <w:p>
      <w:pPr>
        <w:snapToGrid w:val="0"/>
        <w:spacing w:line="600" w:lineRule="exact"/>
        <w:rPr>
          <w:rFonts w:ascii="仿宋" w:hAnsi="仿宋" w:eastAsia="仿宋" w:cs="仿宋"/>
          <w:sz w:val="28"/>
          <w:szCs w:val="28"/>
        </w:rPr>
      </w:pPr>
    </w:p>
    <w:p>
      <w:pPr>
        <w:snapToGrid w:val="0"/>
        <w:spacing w:line="600" w:lineRule="exact"/>
        <w:ind w:firstLine="1960" w:firstLineChars="700"/>
        <w:rPr>
          <w:rFonts w:ascii="仿宋" w:hAnsi="仿宋" w:eastAsia="仿宋" w:cs="仿宋"/>
          <w:b/>
          <w:bCs/>
          <w:sz w:val="32"/>
          <w:szCs w:val="32"/>
        </w:rPr>
      </w:pPr>
      <w:r>
        <w:rPr>
          <w:rFonts w:hint="eastAsia" w:ascii="仿宋" w:hAnsi="仿宋" w:eastAsia="仿宋" w:cs="仿宋"/>
          <w:sz w:val="28"/>
          <w:szCs w:val="28"/>
        </w:rPr>
        <w:t>图5:202</w:t>
      </w:r>
      <w:r>
        <w:rPr>
          <w:rFonts w:hint="eastAsia" w:ascii="仿宋" w:hAnsi="仿宋" w:eastAsia="仿宋" w:cs="仿宋"/>
          <w:sz w:val="28"/>
          <w:szCs w:val="28"/>
          <w:lang w:val="en-US" w:eastAsia="zh-CN"/>
        </w:rPr>
        <w:t>2</w:t>
      </w:r>
      <w:r>
        <w:rPr>
          <w:rFonts w:hint="eastAsia" w:ascii="仿宋" w:hAnsi="仿宋" w:eastAsia="仿宋" w:cs="仿宋"/>
          <w:sz w:val="28"/>
          <w:szCs w:val="28"/>
        </w:rPr>
        <w:t>年财政拨款预决算收支情况</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left="420" w:leftChars="200" w:right="0" w:rightChars="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财政拨款支出决算结构情况。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年度财政拨款支出</w:t>
      </w:r>
      <w:r>
        <w:rPr>
          <w:rFonts w:hint="eastAsia" w:ascii="仿宋_GB2312" w:eastAsia="仿宋_GB2312" w:cs="仿宋_GB2312"/>
          <w:kern w:val="0"/>
          <w:sz w:val="32"/>
          <w:szCs w:val="32"/>
          <w:lang w:val="en-US" w:eastAsia="zh-CN"/>
        </w:rPr>
        <w:t>13538.55</w:t>
      </w:r>
      <w:r>
        <w:rPr>
          <w:rFonts w:hint="eastAsia" w:ascii="仿宋_GB2312" w:eastAsia="仿宋_GB2312" w:cs="仿宋_GB2312"/>
          <w:kern w:val="0"/>
          <w:sz w:val="32"/>
          <w:szCs w:val="32"/>
        </w:rPr>
        <w:t>万元，主要用于以下方面支出，其中行政运行</w:t>
      </w:r>
      <w:r>
        <w:rPr>
          <w:rFonts w:hint="eastAsia" w:ascii="仿宋_GB2312" w:eastAsia="仿宋_GB2312" w:cs="仿宋_GB2312"/>
          <w:kern w:val="0"/>
          <w:sz w:val="32"/>
          <w:szCs w:val="32"/>
          <w:lang w:val="en-US" w:eastAsia="zh-CN"/>
        </w:rPr>
        <w:t>1308.08</w:t>
      </w:r>
      <w:r>
        <w:rPr>
          <w:rFonts w:hint="eastAsia" w:ascii="仿宋_GB2312" w:eastAsia="仿宋_GB2312" w:cs="仿宋_GB2312"/>
          <w:kern w:val="0"/>
          <w:sz w:val="32"/>
          <w:szCs w:val="32"/>
        </w:rPr>
        <w:t>万元，占总支出的</w:t>
      </w:r>
      <w:r>
        <w:rPr>
          <w:rFonts w:hint="eastAsia" w:ascii="仿宋_GB2312" w:eastAsia="仿宋_GB2312" w:cs="仿宋_GB2312"/>
          <w:kern w:val="0"/>
          <w:sz w:val="32"/>
          <w:szCs w:val="32"/>
          <w:lang w:val="en-US" w:eastAsia="zh-CN"/>
        </w:rPr>
        <w:t>9.7</w:t>
      </w:r>
      <w:r>
        <w:rPr>
          <w:rFonts w:hint="eastAsia" w:ascii="仿宋_GB2312" w:eastAsia="仿宋_GB2312" w:cs="仿宋_GB2312"/>
          <w:kern w:val="0"/>
          <w:sz w:val="32"/>
          <w:szCs w:val="32"/>
        </w:rPr>
        <w:t>%；一般行政管理事务</w:t>
      </w:r>
      <w:r>
        <w:rPr>
          <w:rFonts w:hint="eastAsia" w:ascii="仿宋_GB2312" w:eastAsia="仿宋_GB2312" w:cs="仿宋_GB2312"/>
          <w:kern w:val="0"/>
          <w:sz w:val="32"/>
          <w:szCs w:val="32"/>
          <w:lang w:val="en-US" w:eastAsia="zh-CN"/>
        </w:rPr>
        <w:t>9.59</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0.1</w:t>
      </w:r>
      <w:r>
        <w:rPr>
          <w:rFonts w:hint="eastAsia" w:ascii="仿宋_GB2312" w:eastAsia="仿宋_GB2312" w:cs="仿宋_GB2312"/>
          <w:kern w:val="0"/>
          <w:sz w:val="32"/>
          <w:szCs w:val="32"/>
        </w:rPr>
        <w:t>%；其他财政专项业务费支出</w:t>
      </w:r>
      <w:r>
        <w:rPr>
          <w:rFonts w:hint="eastAsia" w:ascii="仿宋_GB2312" w:eastAsia="仿宋_GB2312" w:cs="仿宋_GB2312"/>
          <w:kern w:val="0"/>
          <w:sz w:val="32"/>
          <w:szCs w:val="32"/>
          <w:lang w:val="en-US" w:eastAsia="zh-CN"/>
        </w:rPr>
        <w:t>11879.53</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87.7</w:t>
      </w:r>
      <w:r>
        <w:rPr>
          <w:rFonts w:hint="eastAsia" w:ascii="仿宋_GB2312" w:eastAsia="仿宋_GB2312" w:cs="仿宋_GB2312"/>
          <w:kern w:val="0"/>
          <w:sz w:val="32"/>
          <w:szCs w:val="32"/>
        </w:rPr>
        <w:t>% ；社会保障、医疗、住房公积金等支出</w:t>
      </w:r>
      <w:r>
        <w:rPr>
          <w:rFonts w:hint="eastAsia" w:ascii="仿宋_GB2312" w:eastAsia="仿宋_GB2312" w:cs="仿宋_GB2312"/>
          <w:kern w:val="0"/>
          <w:sz w:val="32"/>
          <w:szCs w:val="32"/>
          <w:lang w:val="en-US" w:eastAsia="zh-CN"/>
        </w:rPr>
        <w:t>341.35</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2.5</w:t>
      </w:r>
      <w:r>
        <w:rPr>
          <w:rFonts w:hint="eastAsia" w:asci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420" w:firstLineChars="200"/>
        <w:jc w:val="both"/>
        <w:textAlignment w:val="auto"/>
        <w:outlineLvl w:val="9"/>
        <w:rPr>
          <w:rFonts w:hint="eastAsia" w:ascii="仿宋_GB2312" w:eastAsia="仿宋_GB2312" w:cs="仿宋_GB2312"/>
          <w:kern w:val="0"/>
          <w:sz w:val="32"/>
          <w:szCs w:val="32"/>
        </w:rPr>
      </w:pPr>
      <w:r>
        <w:pict>
          <v:shape id="_x0000_s1083" o:spid="_x0000_s1083" o:spt="75" type="#_x0000_t75" style="position:absolute;left:0pt;margin-left:35.25pt;margin-top:83.7pt;height:217.5pt;width:361.5pt;z-index:-251652096;mso-width-relative:page;mso-height-relative:page;" filled="f" o:preferrelative="t" stroked="f" coordsize="21600,21600" o:gfxdata="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">
            <v:path/>
            <v:fill on="f" focussize="0,0"/>
            <v:stroke on="f"/>
            <v:imagedata r:id="rId19" o:title=""/>
            <o:lock v:ext="edit" aspectratio="f"/>
          </v:shape>
        </w:pict>
      </w:r>
      <w:r>
        <w:rPr>
          <w:rFonts w:hint="eastAsia" w:ascii="仿宋_GB2312" w:eastAsia="仿宋_GB2312" w:cs="仿宋_GB2312"/>
          <w:kern w:val="0"/>
          <w:sz w:val="32"/>
          <w:szCs w:val="32"/>
        </w:rPr>
        <w:t>按经济分类看：工资福利支出</w:t>
      </w:r>
      <w:bookmarkStart w:id="11" w:name="OLE_LINK12"/>
      <w:r>
        <w:rPr>
          <w:rFonts w:hint="eastAsia" w:ascii="仿宋_GB2312" w:eastAsia="仿宋_GB2312" w:cs="仿宋_GB2312"/>
          <w:kern w:val="0"/>
          <w:sz w:val="32"/>
          <w:szCs w:val="32"/>
          <w:lang w:val="en-US" w:eastAsia="zh-CN"/>
        </w:rPr>
        <w:t>1328.19</w:t>
      </w:r>
      <w:bookmarkEnd w:id="11"/>
      <w:r>
        <w:rPr>
          <w:rFonts w:hint="eastAsia" w:ascii="仿宋_GB2312" w:eastAsia="仿宋_GB2312" w:cs="仿宋_GB2312"/>
          <w:kern w:val="0"/>
          <w:sz w:val="32"/>
          <w:szCs w:val="32"/>
        </w:rPr>
        <w:t>万元、商品和服务支出</w:t>
      </w:r>
      <w:bookmarkStart w:id="12" w:name="OLE_LINK13"/>
      <w:r>
        <w:rPr>
          <w:rFonts w:hint="eastAsia" w:ascii="仿宋_GB2312" w:eastAsia="仿宋_GB2312" w:cs="仿宋_GB2312"/>
          <w:kern w:val="0"/>
          <w:sz w:val="32"/>
          <w:szCs w:val="32"/>
          <w:lang w:val="en-US" w:eastAsia="zh-CN"/>
        </w:rPr>
        <w:t>206.45</w:t>
      </w:r>
      <w:bookmarkEnd w:id="12"/>
      <w:r>
        <w:rPr>
          <w:rFonts w:hint="eastAsia" w:ascii="仿宋_GB2312" w:eastAsia="仿宋_GB2312" w:cs="仿宋_GB2312"/>
          <w:kern w:val="0"/>
          <w:sz w:val="32"/>
          <w:szCs w:val="32"/>
        </w:rPr>
        <w:t>万元、对个人和家庭的补助</w:t>
      </w:r>
      <w:bookmarkStart w:id="13" w:name="OLE_LINK14"/>
      <w:r>
        <w:rPr>
          <w:rFonts w:hint="eastAsia" w:ascii="仿宋_GB2312" w:eastAsia="仿宋_GB2312" w:cs="仿宋_GB2312"/>
          <w:kern w:val="0"/>
          <w:sz w:val="32"/>
          <w:szCs w:val="32"/>
          <w:lang w:val="en-US" w:eastAsia="zh-CN"/>
        </w:rPr>
        <w:t>114.78</w:t>
      </w:r>
      <w:bookmarkEnd w:id="13"/>
      <w:r>
        <w:rPr>
          <w:rFonts w:hint="eastAsia" w:ascii="仿宋_GB2312" w:eastAsia="仿宋_GB2312" w:cs="仿宋_GB2312"/>
          <w:kern w:val="0"/>
          <w:sz w:val="32"/>
          <w:szCs w:val="32"/>
        </w:rPr>
        <w:t>万元、资本性支出23.14万元（见图6）。</w:t>
      </w: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420" w:firstLineChars="200"/>
      </w:pPr>
    </w:p>
    <w:p>
      <w:pPr>
        <w:adjustRightInd w:val="0"/>
        <w:snapToGrid w:val="0"/>
        <w:spacing w:line="600" w:lineRule="exact"/>
        <w:ind w:firstLine="1680" w:firstLineChars="700"/>
        <w:rPr>
          <w:rFonts w:ascii="仿宋" w:hAnsi="仿宋" w:eastAsia="仿宋" w:cs="仿宋"/>
          <w:sz w:val="32"/>
          <w:szCs w:val="32"/>
        </w:rPr>
      </w:pPr>
      <w:r>
        <w:rPr>
          <w:rFonts w:hint="eastAsia" w:ascii="楷体_GB2312" w:hAnsi="楷体_GB2312" w:eastAsia="楷体_GB2312" w:cs="楷体_GB2312"/>
          <w:sz w:val="24"/>
          <w:szCs w:val="32"/>
        </w:rPr>
        <w:t>图6：202</w:t>
      </w:r>
      <w:r>
        <w:rPr>
          <w:rFonts w:hint="eastAsia" w:ascii="楷体_GB2312" w:hAnsi="楷体_GB2312" w:eastAsia="楷体_GB2312" w:cs="楷体_GB2312"/>
          <w:sz w:val="24"/>
          <w:szCs w:val="32"/>
          <w:lang w:val="en-US" w:eastAsia="zh-CN"/>
        </w:rPr>
        <w:t>2</w:t>
      </w:r>
      <w:r>
        <w:rPr>
          <w:rFonts w:hint="eastAsia" w:ascii="楷体_GB2312" w:hAnsi="楷体_GB2312" w:eastAsia="楷体_GB2312" w:cs="楷体_GB2312"/>
          <w:sz w:val="24"/>
          <w:szCs w:val="32"/>
        </w:rPr>
        <w:t>年支出构成（按经济分类）情况</w:t>
      </w:r>
    </w:p>
    <w:p>
      <w:pPr>
        <w:keepNext w:val="0"/>
        <w:keepLines w:val="0"/>
        <w:pageBreakBefore w:val="0"/>
        <w:widowControl w:val="0"/>
        <w:kinsoku/>
        <w:wordWrap/>
        <w:overflowPunct/>
        <w:topLinePunct w:val="0"/>
        <w:autoSpaceDE/>
        <w:autoSpaceDN/>
        <w:bidi w:val="0"/>
        <w:adjustRightInd w:val="0"/>
        <w:snapToGrid w:val="0"/>
        <w:spacing w:line="578" w:lineRule="exact"/>
        <w:ind w:left="420" w:leftChars="200" w:right="0" w:rightChars="0"/>
        <w:jc w:val="both"/>
        <w:textAlignment w:val="auto"/>
        <w:outlineLvl w:val="9"/>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年度财政拨款基本支出</w:t>
      </w:r>
      <w:r>
        <w:rPr>
          <w:rFonts w:hint="eastAsia" w:ascii="仿宋_GB2312" w:eastAsia="仿宋_GB2312" w:cs="仿宋_GB2312"/>
          <w:kern w:val="0"/>
          <w:sz w:val="32"/>
          <w:szCs w:val="32"/>
          <w:lang w:val="en-US" w:eastAsia="zh-CN"/>
        </w:rPr>
        <w:t>1649.42</w:t>
      </w:r>
      <w:r>
        <w:rPr>
          <w:rFonts w:hint="eastAsia" w:ascii="仿宋_GB2312" w:eastAsia="仿宋_GB2312" w:cs="仿宋_GB2312"/>
          <w:kern w:val="0"/>
          <w:sz w:val="32"/>
          <w:szCs w:val="32"/>
        </w:rPr>
        <w:t>万元，其中：人员</w:t>
      </w:r>
      <w:r>
        <w:rPr>
          <w:rFonts w:hint="eastAsia" w:ascii="仿宋_GB2312" w:eastAsia="仿宋_GB2312" w:cs="仿宋_GB2312"/>
          <w:kern w:val="0"/>
          <w:sz w:val="32"/>
          <w:szCs w:val="32"/>
          <w:lang w:eastAsia="zh-CN"/>
        </w:rPr>
        <w:t>经</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0" w:firstLineChars="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1442.97</w:t>
      </w:r>
      <w:r>
        <w:rPr>
          <w:rFonts w:hint="eastAsia" w:ascii="仿宋_GB2312" w:eastAsia="仿宋_GB2312" w:cs="仿宋_GB2312"/>
          <w:kern w:val="0"/>
          <w:sz w:val="32"/>
          <w:szCs w:val="32"/>
        </w:rPr>
        <w:t>万元，主要包括基本工资、津贴补贴、奖金、绩效工资、机关事业单位基本养老保险缴费、职工基本医疗保险缴费、公务员医疗补助缴费、住房公积金、其他社会保障缴费、其他工资福利支出、离休费、退休费、抚恤金、生活补助、奖励金、其他对个人和家庭的补助支出；</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outlineLvl w:val="9"/>
        <w:rPr>
          <w:rFonts w:ascii="仿宋_GB2312" w:hAnsi="Times New Roman" w:eastAsia="仿宋_GB2312" w:cs="Times New Roman"/>
          <w:sz w:val="32"/>
          <w:szCs w:val="32"/>
        </w:rPr>
      </w:pPr>
      <w:r>
        <w:rPr>
          <w:rFonts w:hint="eastAsia" w:ascii="仿宋_GB2312" w:eastAsia="仿宋_GB2312" w:cs="仿宋_GB2312"/>
          <w:kern w:val="0"/>
          <w:sz w:val="32"/>
          <w:szCs w:val="32"/>
        </w:rPr>
        <w:t>公用经费</w:t>
      </w:r>
      <w:r>
        <w:rPr>
          <w:rFonts w:hint="eastAsia" w:ascii="仿宋_GB2312" w:eastAsia="仿宋_GB2312" w:cs="仿宋_GB2312"/>
          <w:kern w:val="0"/>
          <w:sz w:val="32"/>
          <w:szCs w:val="32"/>
          <w:lang w:val="en-US" w:eastAsia="zh-CN"/>
        </w:rPr>
        <w:t>206.45</w:t>
      </w:r>
      <w:r>
        <w:rPr>
          <w:rFonts w:hint="eastAsia" w:ascii="仿宋_GB2312" w:eastAsia="仿宋_GB2312" w:cs="仿宋_GB2312"/>
          <w:kern w:val="0"/>
          <w:sz w:val="32"/>
          <w:szCs w:val="32"/>
        </w:rPr>
        <w:t>万元，主要包括办公费、印刷费、手续费、水费、电费、邮电费、取暖费、差旅费、维修（护）费、劳务费、委托业务费、工会经费、福利费、公务用车运行维护费、其他交通费用、其他商品和服务支出、办公设备购置。</w:t>
      </w:r>
    </w:p>
    <w:p>
      <w:pPr>
        <w:keepNext/>
        <w:keepLines/>
        <w:pageBreakBefore w:val="0"/>
        <w:widowControl w:val="0"/>
        <w:kinsoku/>
        <w:wordWrap/>
        <w:overflowPunct/>
        <w:topLinePunct w:val="0"/>
        <w:autoSpaceDE/>
        <w:autoSpaceDN/>
        <w:bidi w:val="0"/>
        <w:snapToGrid w:val="0"/>
        <w:spacing w:line="578" w:lineRule="exact"/>
        <w:ind w:left="0" w:leftChars="0" w:right="0" w:rightChars="0" w:firstLine="640" w:firstLineChars="200"/>
        <w:jc w:val="both"/>
        <w:textAlignment w:val="auto"/>
        <w:outlineLvl w:val="1"/>
        <w:rPr>
          <w:rFonts w:ascii="黑体" w:eastAsia="黑体" w:cs="Times New Roman"/>
          <w:sz w:val="32"/>
          <w:szCs w:val="32"/>
        </w:rPr>
      </w:pPr>
      <w:r>
        <w:rPr>
          <w:rFonts w:hint="eastAsia" w:ascii="黑体" w:eastAsia="黑体" w:cs="黑体"/>
          <w:sz w:val="32"/>
          <w:szCs w:val="32"/>
        </w:rPr>
        <w:t>五、一般公共预算“三公”经费支出决算情况说明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三公”经费财政拨款支出预算为10.1万元，支出决算为8.09万元，完成预算的80.1%,较预算减少2.01万元，降低19.9%，主要是认真贯彻落实中央八项规定精神和厉行节约要求，从严控制“三公”经费开支，特别是严控公务接待支出，今年公务接待费支出0万，较预算减少2万元。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因公出国（境）团组0个、共0人/参加其他单位组织的因公出国（境）团组0个、共0人/无本单位组织的出国（境）团组。因公出国（境）费支出较预算增加0万元，增长0%，与预算持平，主要是当年没有因公出国的工作任务；较上年增加0万元，增长0%，与2020年度决算支出持平，主要是当年没有因公出国的工作任务。</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仿宋" w:hAnsi="仿宋" w:eastAsia="仿宋" w:cs="仿宋"/>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年度公务用车购置及运行维护费支出8.09万元，较预算减少0.01万元，降低0.1%,主要是按照区委区政府有关政策，加强了公务用车管理，节约了开支；与202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r>
        <w:rPr>
          <w:rFonts w:hint="eastAsia" w:ascii="仿宋_GB2312" w:eastAsia="仿宋_GB2312" w:cs="仿宋_GB2312"/>
          <w:b/>
          <w:bCs/>
          <w:kern w:val="0"/>
          <w:sz w:val="32"/>
          <w:szCs w:val="32"/>
        </w:rPr>
        <w:t>其中：</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hint="eastAsia" w:ascii="仿宋_GB2312" w:hAnsi="Times New Roman" w:eastAsia="仿宋_GB2312" w:cs="Wingdings"/>
          <w:b/>
          <w:sz w:val="32"/>
          <w:szCs w:val="32"/>
        </w:rPr>
        <w:t>公务用车购置费支出：</w: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年度公务用车购置量0辆，未发生“公务用车购置”经费支出，与预算和上年决算持平。主要是当年没有公车购置的安排。</w:t>
      </w:r>
    </w:p>
    <w:p>
      <w:pPr>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ascii="仿宋_GB2312" w:hAnsi="Times New Roman" w:eastAsia="仿宋_GB2312" w:cs="仿宋_GB2312"/>
          <w:sz w:val="32"/>
          <w:szCs w:val="32"/>
        </w:rPr>
      </w:pPr>
      <w:r>
        <w:rPr>
          <w:rFonts w:hint="eastAsia" w:ascii="仿宋_GB2312" w:hAnsi="Times New Roman" w:eastAsia="仿宋_GB2312" w:cs="Wingdings"/>
          <w:b/>
          <w:sz w:val="32"/>
          <w:szCs w:val="32"/>
        </w:rPr>
        <w:t>公务用车运行维护费支出：</w: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年度公务用车保有量3辆，公务用车运维费支出8.09万元。公车运行维护费支出较预算减少0.01万元，下降0.1%,主要是硬化预算约束，严守公务用车配备及使用纪律所致。与202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pageBreakBefore w:val="0"/>
        <w:widowControl w:val="0"/>
        <w:numPr>
          <w:ilvl w:val="0"/>
          <w:numId w:val="3"/>
        </w:numPr>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rPr>
          <w:rFonts w:hint="eastAsia" w:ascii="仿宋_GB2312" w:eastAsia="仿宋_GB2312" w:cs="仿宋_GB2312"/>
          <w:kern w:val="0"/>
          <w:sz w:val="32"/>
          <w:szCs w:val="32"/>
        </w:rPr>
      </w:pPr>
      <w:r>
        <w:rPr>
          <w:rFonts w:hint="eastAsia" w:ascii="楷体_GB2312" w:hAnsi="Times New Roman" w:eastAsia="楷体_GB2312" w:cs="Mongolian Baiti"/>
          <w:b/>
          <w:bCs/>
          <w:sz w:val="32"/>
          <w:szCs w:val="32"/>
        </w:rPr>
        <w:t>公务接待费。</w:t>
      </w: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年公务接待费支出0万元</w:t>
      </w:r>
      <w:r>
        <w:rPr>
          <w:rFonts w:hint="eastAsia" w:ascii="楷体_GB2312" w:hAnsi="Times New Roman" w:eastAsia="楷体_GB2312" w:cs="Mongolian Baiti"/>
          <w:b w:val="0"/>
          <w:bCs w:val="0"/>
          <w:sz w:val="32"/>
          <w:szCs w:val="32"/>
        </w:rPr>
        <w:t>，</w:t>
      </w:r>
      <w:r>
        <w:rPr>
          <w:rFonts w:hint="eastAsia" w:ascii="仿宋_GB2312" w:eastAsia="仿宋_GB2312" w:cs="仿宋_GB2312"/>
          <w:kern w:val="0"/>
          <w:sz w:val="32"/>
          <w:szCs w:val="32"/>
        </w:rPr>
        <w:t>公务接待费支出较预算减少2万元，降低100.0%,主要是厉行节约，严格规范公务接待行为和经费支出所致；与202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年度决算支出持平。</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textAlignment w:val="auto"/>
        <w:rPr>
          <w:rFonts w:ascii="仿宋_GB2312" w:hAnsi="仿宋_GB2312" w:eastAsia="仿宋_GB2312" w:cs="Times New Roman"/>
          <w:sz w:val="32"/>
          <w:szCs w:val="32"/>
        </w:rPr>
      </w:pPr>
      <w:r>
        <w:rPr>
          <w:rFonts w:hint="eastAsia" w:ascii="黑体" w:eastAsia="黑体" w:cs="黑体"/>
          <w:sz w:val="32"/>
          <w:szCs w:val="32"/>
          <w:lang w:val="en-US" w:eastAsia="zh-CN"/>
        </w:rPr>
        <w:t xml:space="preserve">    </w:t>
      </w:r>
      <w:r>
        <w:rPr>
          <w:rFonts w:hint="eastAsia" w:ascii="黑体" w:eastAsia="黑体" w:cs="黑体"/>
          <w:sz w:val="32"/>
          <w:szCs w:val="32"/>
          <w:lang w:eastAsia="zh-CN"/>
        </w:rPr>
        <w:t>六</w:t>
      </w:r>
      <w:r>
        <w:rPr>
          <w:rFonts w:hint="eastAsia" w:ascii="黑体" w:eastAsia="黑体" w:cs="黑体"/>
          <w:sz w:val="32"/>
          <w:szCs w:val="32"/>
        </w:rPr>
        <w:t>、机关运行经费情况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年度机关运行经费支出</w:t>
      </w:r>
      <w:r>
        <w:rPr>
          <w:rFonts w:hint="eastAsia" w:ascii="仿宋_GB2312" w:eastAsia="仿宋_GB2312" w:cs="仿宋_GB2312"/>
          <w:kern w:val="0"/>
          <w:sz w:val="32"/>
          <w:szCs w:val="32"/>
          <w:lang w:val="en-US" w:eastAsia="zh-CN"/>
        </w:rPr>
        <w:t>206.45</w:t>
      </w:r>
      <w:r>
        <w:rPr>
          <w:rFonts w:hint="eastAsia" w:ascii="仿宋_GB2312" w:eastAsia="仿宋_GB2312" w:cs="仿宋_GB2312"/>
          <w:kern w:val="0"/>
          <w:sz w:val="32"/>
          <w:szCs w:val="32"/>
        </w:rPr>
        <w:t>万元，比202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年度减少</w:t>
      </w:r>
      <w:r>
        <w:rPr>
          <w:rFonts w:hint="eastAsia" w:ascii="仿宋_GB2312" w:eastAsia="仿宋_GB2312" w:cs="仿宋_GB2312"/>
          <w:kern w:val="0"/>
          <w:sz w:val="32"/>
          <w:szCs w:val="32"/>
          <w:lang w:val="en-US" w:eastAsia="zh-CN"/>
        </w:rPr>
        <w:t>31.08</w:t>
      </w:r>
      <w:r>
        <w:rPr>
          <w:rFonts w:hint="eastAsia" w:ascii="仿宋_GB2312" w:eastAsia="仿宋_GB2312" w:cs="仿宋_GB2312"/>
          <w:kern w:val="0"/>
          <w:sz w:val="32"/>
          <w:szCs w:val="32"/>
        </w:rPr>
        <w:t>万元，降低</w:t>
      </w:r>
      <w:r>
        <w:rPr>
          <w:rFonts w:hint="eastAsia" w:ascii="仿宋_GB2312" w:eastAsia="仿宋_GB2312" w:cs="仿宋_GB2312"/>
          <w:kern w:val="0"/>
          <w:sz w:val="32"/>
          <w:szCs w:val="32"/>
          <w:lang w:val="en-US" w:eastAsia="zh-CN"/>
        </w:rPr>
        <w:t>13.1</w:t>
      </w:r>
      <w:r>
        <w:rPr>
          <w:rFonts w:hint="eastAsia" w:ascii="仿宋_GB2312" w:eastAsia="仿宋_GB2312" w:cs="仿宋_GB2312"/>
          <w:kern w:val="0"/>
          <w:sz w:val="32"/>
          <w:szCs w:val="32"/>
        </w:rPr>
        <w:t>%。主要原因是本年人员退休，</w:t>
      </w:r>
      <w:r>
        <w:rPr>
          <w:rFonts w:hint="eastAsia" w:ascii="仿宋_GB2312" w:eastAsia="仿宋_GB2312" w:cs="仿宋_GB2312"/>
          <w:kern w:val="0"/>
          <w:sz w:val="32"/>
          <w:szCs w:val="32"/>
          <w:lang w:eastAsia="zh-CN"/>
        </w:rPr>
        <w:t>机关运行经费预算减少</w:t>
      </w:r>
      <w:r>
        <w:rPr>
          <w:rFonts w:hint="eastAsia" w:ascii="仿宋_GB2312" w:eastAsia="仿宋_GB2312" w:cs="仿宋_GB2312"/>
          <w:kern w:val="0"/>
          <w:sz w:val="32"/>
          <w:szCs w:val="32"/>
        </w:rPr>
        <w:t>，压减开支，公用经费支出减少等。</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ascii="仿宋_GB2312" w:hAnsi="Times New Roman" w:eastAsia="仿宋_GB2312" w:cs="Times New Roman"/>
          <w:sz w:val="32"/>
          <w:szCs w:val="32"/>
          <w:highlight w:val="yellow"/>
        </w:rPr>
      </w:pPr>
      <w:r>
        <w:rPr>
          <w:rFonts w:hint="eastAsia" w:ascii="黑体" w:eastAsia="黑体" w:cs="黑体"/>
          <w:sz w:val="32"/>
          <w:szCs w:val="32"/>
          <w:lang w:eastAsia="zh-CN"/>
        </w:rPr>
        <w:t>七</w:t>
      </w:r>
      <w:r>
        <w:rPr>
          <w:rFonts w:hint="eastAsia" w:ascii="黑体" w:eastAsia="黑体" w:cs="黑体"/>
          <w:sz w:val="32"/>
          <w:szCs w:val="32"/>
        </w:rPr>
        <w:t>、政府采购情况</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年度政府采购支出总额</w:t>
      </w:r>
      <w:r>
        <w:rPr>
          <w:rFonts w:hint="eastAsia" w:ascii="仿宋_GB2312" w:eastAsia="仿宋_GB2312" w:cs="仿宋_GB2312"/>
          <w:kern w:val="0"/>
          <w:sz w:val="32"/>
          <w:szCs w:val="32"/>
          <w:lang w:val="en-US" w:eastAsia="zh-CN"/>
        </w:rPr>
        <w:t>122.55</w:t>
      </w:r>
      <w:r>
        <w:rPr>
          <w:rFonts w:hint="eastAsia" w:ascii="仿宋_GB2312" w:eastAsia="仿宋_GB2312" w:cs="仿宋_GB2312"/>
          <w:kern w:val="0"/>
          <w:sz w:val="32"/>
          <w:szCs w:val="32"/>
        </w:rPr>
        <w:t>万元，从采购类型来看，政府采购货物支出</w:t>
      </w:r>
      <w:r>
        <w:rPr>
          <w:rFonts w:hint="eastAsia" w:ascii="仿宋_GB2312" w:eastAsia="仿宋_GB2312" w:cs="仿宋_GB2312"/>
          <w:kern w:val="0"/>
          <w:sz w:val="32"/>
          <w:szCs w:val="32"/>
          <w:lang w:val="en-US" w:eastAsia="zh-CN"/>
        </w:rPr>
        <w:t>5.47</w:t>
      </w:r>
      <w:r>
        <w:rPr>
          <w:rFonts w:hint="eastAsia" w:ascii="仿宋_GB2312" w:eastAsia="仿宋_GB2312" w:cs="仿宋_GB2312"/>
          <w:kern w:val="0"/>
          <w:sz w:val="32"/>
          <w:szCs w:val="32"/>
        </w:rPr>
        <w:t>万元、政府采购工程支出0万元、政府采购服务支出</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万元。授予中小企业合同金</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万元，占政府采购支出总额的100.0%，其中授予小微企业合同金额</w:t>
      </w:r>
      <w:r>
        <w:rPr>
          <w:rFonts w:hint="eastAsia" w:ascii="仿宋_GB2312" w:eastAsia="仿宋_GB2312" w:cs="仿宋_GB2312"/>
          <w:kern w:val="0"/>
          <w:sz w:val="32"/>
          <w:szCs w:val="32"/>
          <w:lang w:val="en-US" w:eastAsia="zh-CN"/>
        </w:rPr>
        <w:t>117.08</w:t>
      </w:r>
      <w:r>
        <w:rPr>
          <w:rFonts w:hint="eastAsia" w:ascii="仿宋_GB2312" w:eastAsia="仿宋_GB2312" w:cs="仿宋_GB2312"/>
          <w:kern w:val="0"/>
          <w:sz w:val="32"/>
          <w:szCs w:val="32"/>
        </w:rPr>
        <w:t>万元，占政府采购支出总额的100.0%。</w:t>
      </w:r>
    </w:p>
    <w:p>
      <w:pPr>
        <w:keepNext w:val="0"/>
        <w:keepLines w:val="0"/>
        <w:pageBreakBefore w:val="0"/>
        <w:widowControl w:val="0"/>
        <w:numPr>
          <w:ilvl w:val="0"/>
          <w:numId w:val="0"/>
        </w:numPr>
        <w:kinsoku/>
        <w:wordWrap/>
        <w:overflowPunct/>
        <w:topLinePunct w:val="0"/>
        <w:autoSpaceDE/>
        <w:autoSpaceDN/>
        <w:bidi w:val="0"/>
        <w:snapToGrid w:val="0"/>
        <w:spacing w:line="578" w:lineRule="exact"/>
        <w:ind w:right="0" w:rightChars="0"/>
        <w:jc w:val="left"/>
        <w:textAlignment w:val="auto"/>
        <w:rPr>
          <w:rFonts w:ascii="黑体" w:eastAsia="黑体" w:cs="黑体"/>
          <w:sz w:val="32"/>
          <w:szCs w:val="32"/>
        </w:rPr>
      </w:pPr>
      <w:r>
        <w:rPr>
          <w:rFonts w:hint="eastAsia" w:ascii="黑体" w:eastAsia="黑体" w:cs="黑体"/>
          <w:sz w:val="32"/>
          <w:szCs w:val="32"/>
          <w:lang w:val="en-US" w:eastAsia="zh-CN"/>
        </w:rPr>
        <w:t xml:space="preserve">    </w:t>
      </w:r>
      <w:r>
        <w:rPr>
          <w:rFonts w:hint="eastAsia" w:ascii="黑体" w:eastAsia="黑体" w:cs="黑体"/>
          <w:sz w:val="32"/>
          <w:szCs w:val="32"/>
          <w:lang w:eastAsia="zh-CN"/>
        </w:rPr>
        <w:t>八、</w:t>
      </w:r>
      <w:r>
        <w:rPr>
          <w:rFonts w:hint="eastAsia" w:ascii="黑体" w:eastAsia="黑体" w:cs="黑体"/>
          <w:sz w:val="32"/>
          <w:szCs w:val="32"/>
        </w:rPr>
        <w:t>国有资产占用情况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ascii="仿宋" w:hAnsi="仿宋" w:eastAsia="仿宋" w:cs="仿宋"/>
          <w:sz w:val="32"/>
          <w:szCs w:val="32"/>
        </w:rPr>
      </w:pPr>
      <w:r>
        <w:rPr>
          <w:rFonts w:hint="eastAsia" w:ascii="仿宋_GB2312" w:eastAsia="仿宋_GB2312" w:cs="仿宋_GB2312"/>
          <w:kern w:val="0"/>
          <w:sz w:val="32"/>
          <w:szCs w:val="32"/>
        </w:rPr>
        <w:t>截至202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12月31日，本单位共有车辆3辆，与上年持平，无增减变化。其中：副部（省）级及以上领导用车0辆，主要领导干部用车0辆，机要通信用车0辆，应急保障用车0辆，执法执勤用车0辆，特种专业技术用车0辆，离退休干部用车0辆，其他用车3辆，其他用车主要是保障日常工作需要车辆。</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单位价值50万元以上通用设备0台，与上年持平，无增减变化。单位价值100万元以上专用设备0台，与上年持平，无增减变化。</w:t>
      </w:r>
    </w:p>
    <w:p>
      <w:pPr>
        <w:keepNext w:val="0"/>
        <w:keepLines w:val="0"/>
        <w:pageBreakBefore w:val="0"/>
        <w:widowControl w:val="0"/>
        <w:kinsoku/>
        <w:wordWrap/>
        <w:overflowPunct/>
        <w:topLinePunct w:val="0"/>
        <w:autoSpaceDE/>
        <w:autoSpaceDN/>
        <w:bidi w:val="0"/>
        <w:spacing w:line="578" w:lineRule="exact"/>
        <w:ind w:right="0" w:rightChars="0" w:firstLine="1110" w:firstLineChars="347"/>
        <w:jc w:val="center"/>
        <w:textAlignment w:val="auto"/>
        <w:outlineLvl w:val="0"/>
        <w:rPr>
          <w:rFonts w:hint="eastAsia" w:ascii="仿宋_GB2312" w:hAnsi="仿宋_GB2312" w:eastAsia="仿宋_GB2312"/>
          <w:sz w:val="32"/>
          <w:szCs w:val="32"/>
        </w:rPr>
      </w:pPr>
    </w:p>
    <w:p>
      <w:pPr>
        <w:keepNext w:val="0"/>
        <w:keepLines w:val="0"/>
        <w:pageBreakBefore w:val="0"/>
        <w:widowControl w:val="0"/>
        <w:kinsoku/>
        <w:wordWrap/>
        <w:overflowPunct/>
        <w:topLinePunct w:val="0"/>
        <w:autoSpaceDE/>
        <w:autoSpaceDN/>
        <w:bidi w:val="0"/>
        <w:spacing w:line="578" w:lineRule="exact"/>
        <w:ind w:right="0" w:rightChars="0" w:firstLine="1110" w:firstLineChars="347"/>
        <w:jc w:val="center"/>
        <w:textAlignment w:val="auto"/>
        <w:outlineLvl w:val="0"/>
        <w:rPr>
          <w:rFonts w:ascii="仿宋_GB2312" w:hAnsi="仿宋_GB2312" w:eastAsia="仿宋_GB2312"/>
          <w:sz w:val="28"/>
          <w:szCs w:val="28"/>
        </w:rPr>
      </w:pPr>
      <w:r>
        <w:rPr>
          <w:rFonts w:hint="eastAsia" w:ascii="仿宋_GB2312" w:hAnsi="仿宋_GB2312" w:eastAsia="仿宋_GB2312"/>
          <w:sz w:val="32"/>
          <w:szCs w:val="32"/>
        </w:rPr>
        <w:t>财政局固定资产占用情况表</w:t>
      </w:r>
    </w:p>
    <w:tbl>
      <w:tblPr>
        <w:tblStyle w:val="5"/>
        <w:tblpPr w:leftFromText="180" w:rightFromText="180" w:vertAnchor="text" w:horzAnchor="page" w:tblpX="1125" w:tblpY="570"/>
        <w:tblOverlap w:val="never"/>
        <w:tblW w:w="104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83"/>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项目</w:t>
            </w:r>
          </w:p>
        </w:tc>
        <w:tc>
          <w:tcPr>
            <w:tcW w:w="3323" w:type="dxa"/>
          </w:tcPr>
          <w:p>
            <w:pPr>
              <w:widowControl/>
              <w:spacing w:line="580" w:lineRule="atLeast"/>
              <w:ind w:firstLine="640" w:firstLineChars="200"/>
              <w:jc w:val="center"/>
              <w:rPr>
                <w:rFonts w:ascii="仿宋_GB2312" w:hAnsi="仿宋_GB2312" w:eastAsia="仿宋_GB2312" w:cs="宋体"/>
                <w:sz w:val="32"/>
                <w:szCs w:val="32"/>
              </w:rPr>
            </w:pPr>
            <w:r>
              <w:rPr>
                <w:rFonts w:hint="eastAsia" w:ascii="仿宋_GB2312" w:hAnsi="仿宋_GB2312" w:eastAsia="仿宋_GB2312" w:cs="宋体"/>
                <w:sz w:val="32"/>
                <w:szCs w:val="32"/>
              </w:rPr>
              <w:t>数量</w:t>
            </w:r>
          </w:p>
        </w:tc>
        <w:tc>
          <w:tcPr>
            <w:tcW w:w="3323" w:type="dxa"/>
          </w:tcPr>
          <w:p>
            <w:pPr>
              <w:widowControl/>
              <w:spacing w:line="580" w:lineRule="atLeast"/>
              <w:rPr>
                <w:rFonts w:ascii="仿宋_GB2312" w:hAnsi="仿宋_GB2312" w:eastAsia="仿宋_GB2312" w:cs="宋体"/>
                <w:sz w:val="32"/>
                <w:szCs w:val="32"/>
              </w:rPr>
            </w:pPr>
            <w:r>
              <w:rPr>
                <w:rFonts w:hint="eastAsia" w:ascii="仿宋_GB2312" w:hAnsi="仿宋_GB2312" w:eastAsia="仿宋_GB2312" w:cs="宋体"/>
                <w:sz w:val="32"/>
                <w:szCs w:val="32"/>
              </w:rPr>
              <w:t>价值(  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资产总额</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2704.45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1、房屋（平方米）</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7068.49</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2262.03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其中：办公用房（平方米）</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7068.49</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2262.03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2、车辆（台、辆）</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3</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41.99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3、单价在50万元以上的设备</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3" w:type="dxa"/>
          </w:tcPr>
          <w:p>
            <w:pPr>
              <w:widowControl/>
              <w:spacing w:line="580" w:lineRule="atLeast"/>
              <w:ind w:firstLine="640" w:firstLineChars="200"/>
              <w:jc w:val="left"/>
              <w:rPr>
                <w:rFonts w:ascii="仿宋" w:hAnsi="仿宋" w:eastAsia="仿宋" w:cs="仿宋"/>
                <w:sz w:val="32"/>
                <w:szCs w:val="32"/>
              </w:rPr>
            </w:pPr>
            <w:r>
              <w:rPr>
                <w:rFonts w:hint="eastAsia" w:ascii="仿宋" w:hAnsi="仿宋" w:eastAsia="仿宋" w:cs="仿宋"/>
                <w:sz w:val="32"/>
                <w:szCs w:val="32"/>
              </w:rPr>
              <w:t>4、其他固定资产</w:t>
            </w:r>
          </w:p>
        </w:tc>
        <w:tc>
          <w:tcPr>
            <w:tcW w:w="3323" w:type="dxa"/>
          </w:tcPr>
          <w:p>
            <w:pPr>
              <w:widowControl/>
              <w:spacing w:line="580" w:lineRule="atLeast"/>
              <w:ind w:firstLine="640" w:firstLineChars="200"/>
              <w:jc w:val="center"/>
              <w:rPr>
                <w:rFonts w:ascii="仿宋" w:hAnsi="仿宋" w:eastAsia="仿宋" w:cs="仿宋"/>
                <w:sz w:val="32"/>
                <w:szCs w:val="32"/>
              </w:rPr>
            </w:pPr>
            <w:r>
              <w:rPr>
                <w:rFonts w:hint="eastAsia" w:ascii="仿宋" w:hAnsi="仿宋" w:eastAsia="仿宋" w:cs="仿宋"/>
                <w:sz w:val="32"/>
                <w:szCs w:val="32"/>
              </w:rPr>
              <w:t>—</w:t>
            </w:r>
          </w:p>
        </w:tc>
        <w:tc>
          <w:tcPr>
            <w:tcW w:w="3323" w:type="dxa"/>
          </w:tcPr>
          <w:p>
            <w:pPr>
              <w:widowControl/>
              <w:spacing w:line="580" w:lineRule="atLeast"/>
              <w:ind w:firstLine="640" w:firstLineChars="200"/>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400.43</w:t>
            </w:r>
          </w:p>
        </w:tc>
      </w:tr>
    </w:tbl>
    <w:p>
      <w:pPr>
        <w:adjustRightInd w:val="0"/>
        <w:snapToGrid w:val="0"/>
        <w:spacing w:line="600" w:lineRule="exact"/>
        <w:ind w:firstLine="640" w:firstLineChars="200"/>
        <w:rPr>
          <w:rFonts w:ascii="仿宋_GB2312" w:hAnsi="仿宋_GB2312" w:eastAsia="仿宋_GB2312" w:cs="仿宋_GB2312"/>
          <w:sz w:val="32"/>
          <w:szCs w:val="32"/>
        </w:rPr>
      </w:pPr>
    </w:p>
    <w:p>
      <w:pPr>
        <w:pageBreakBefore w:val="0"/>
        <w:widowControl w:val="0"/>
        <w:numPr>
          <w:ilvl w:val="0"/>
          <w:numId w:val="0"/>
        </w:numPr>
        <w:kinsoku/>
        <w:wordWrap/>
        <w:overflowPunct/>
        <w:topLinePunct w:val="0"/>
        <w:autoSpaceDE/>
        <w:autoSpaceDN/>
        <w:bidi w:val="0"/>
        <w:adjustRightInd w:val="0"/>
        <w:snapToGrid w:val="0"/>
        <w:spacing w:line="578" w:lineRule="exact"/>
        <w:ind w:leftChars="200" w:right="0" w:rightChars="0"/>
        <w:jc w:val="both"/>
        <w:textAlignment w:val="auto"/>
        <w:rPr>
          <w:rFonts w:hint="eastAsia" w:ascii="仿宋_GB2312" w:eastAsia="仿宋_GB2312" w:cs="仿宋_GB2312"/>
          <w:kern w:val="0"/>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ascii="黑体" w:hAnsi="Times New Roman" w:eastAsia="黑体" w:cs="Times New Roman"/>
          <w:sz w:val="32"/>
          <w:szCs w:val="32"/>
        </w:rPr>
      </w:pPr>
      <w:r>
        <w:rPr>
          <w:rFonts w:hint="eastAsia" w:ascii="黑体" w:hAnsi="Times New Roman" w:eastAsia="黑体" w:cs="黑体"/>
          <w:sz w:val="32"/>
          <w:szCs w:val="32"/>
          <w:lang w:eastAsia="zh-CN"/>
        </w:rPr>
        <w:t>九</w:t>
      </w:r>
      <w:r>
        <w:rPr>
          <w:rFonts w:hint="eastAsia" w:ascii="黑体" w:hAnsi="Times New Roman" w:eastAsia="黑体" w:cs="黑体"/>
          <w:sz w:val="32"/>
          <w:szCs w:val="32"/>
        </w:rPr>
        <w:t>、预算绩效情况说明</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jc w:val="both"/>
        <w:textAlignment w:val="auto"/>
        <w:outlineLvl w:val="9"/>
        <w:rPr>
          <w:rFonts w:hint="eastAsia" w:ascii="楷体_GB2312" w:hAnsi="楷体_GB2312" w:eastAsia="楷体_GB2312" w:cs="楷体_GB2312"/>
          <w:b/>
          <w:bCs/>
          <w:sz w:val="32"/>
          <w:szCs w:val="32"/>
        </w:rPr>
      </w:pPr>
      <w:r>
        <w:rPr>
          <w:rFonts w:hint="eastAsia" w:ascii="黑体" w:hAnsi="黑体" w:eastAsia="黑体" w:cs="黑体"/>
          <w:b/>
          <w:bCs/>
          <w:sz w:val="32"/>
          <w:szCs w:val="32"/>
          <w:lang w:val="en-US" w:eastAsia="zh-CN"/>
        </w:rPr>
        <w:t xml:space="preserve">   </w:t>
      </w:r>
      <w:r>
        <w:rPr>
          <w:rFonts w:hint="eastAsia" w:ascii="楷体_GB2312" w:hAnsi="楷体_GB2312" w:eastAsia="楷体_GB2312" w:cs="楷体_GB2312"/>
          <w:b/>
          <w:bCs/>
          <w:sz w:val="32"/>
          <w:szCs w:val="32"/>
        </w:rPr>
        <w:t>（一）预算绩效管理工作开展情况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鹿泉区人民政府《关于全面实施预算绩效管理的实施意见》（鹿发〔</w:t>
      </w:r>
      <w:r>
        <w:rPr>
          <w:rFonts w:hint="eastAsia" w:ascii="仿宋_GB2312" w:eastAsia="仿宋_GB2312" w:cs="仿宋_GB2312"/>
          <w:kern w:val="0"/>
          <w:sz w:val="32"/>
          <w:szCs w:val="32"/>
          <w:lang w:val="en-US" w:eastAsia="zh-CN"/>
        </w:rPr>
        <w:t>2019</w:t>
      </w:r>
      <w:r>
        <w:rPr>
          <w:rFonts w:hint="eastAsia" w:ascii="仿宋_GB2312" w:eastAsia="仿宋_GB2312" w:cs="仿宋_GB2312"/>
          <w:kern w:val="0"/>
          <w:sz w:val="32"/>
          <w:szCs w:val="32"/>
        </w:rPr>
        <w:t>〕8号）</w:t>
      </w:r>
      <w:r>
        <w:rPr>
          <w:rFonts w:hint="eastAsia" w:ascii="仿宋_GB2312" w:eastAsia="仿宋_GB2312" w:cs="仿宋_GB2312"/>
          <w:kern w:val="0"/>
          <w:sz w:val="32"/>
          <w:szCs w:val="32"/>
          <w:lang w:eastAsia="zh-CN"/>
        </w:rPr>
        <w:t>、《鹿泉区区级部门项目绩效自评管理办法》（鹿财字</w:t>
      </w:r>
      <w:r>
        <w:rPr>
          <w:rFonts w:hint="eastAsia" w:ascii="仿宋_GB2312" w:eastAsia="仿宋_GB2312" w:cs="仿宋_GB2312"/>
          <w:kern w:val="0"/>
          <w:sz w:val="32"/>
          <w:szCs w:val="32"/>
        </w:rPr>
        <w:t>〔</w:t>
      </w:r>
      <w:r>
        <w:rPr>
          <w:rFonts w:hint="eastAsia" w:ascii="仿宋_GB2312" w:eastAsia="仿宋_GB2312" w:cs="仿宋_GB2312"/>
          <w:kern w:val="0"/>
          <w:sz w:val="32"/>
          <w:szCs w:val="32"/>
          <w:lang w:val="en-US" w:eastAsia="zh-CN"/>
        </w:rPr>
        <w:t>2020</w:t>
      </w:r>
      <w:r>
        <w:rPr>
          <w:rFonts w:hint="eastAsia" w:ascii="仿宋_GB2312" w:eastAsia="仿宋_GB2312" w:cs="仿宋_GB2312"/>
          <w:kern w:val="0"/>
          <w:sz w:val="32"/>
          <w:szCs w:val="32"/>
        </w:rPr>
        <w:t>〕1</w:t>
      </w:r>
      <w:r>
        <w:rPr>
          <w:rFonts w:hint="eastAsia" w:ascii="仿宋_GB2312" w:eastAsia="仿宋_GB2312" w:cs="仿宋_GB2312"/>
          <w:kern w:val="0"/>
          <w:sz w:val="32"/>
          <w:szCs w:val="32"/>
          <w:lang w:val="en-US" w:eastAsia="zh-CN"/>
        </w:rPr>
        <w:t>8号）</w:t>
      </w:r>
      <w:r>
        <w:rPr>
          <w:rFonts w:hint="eastAsia" w:ascii="仿宋_GB2312" w:eastAsia="仿宋_GB2312" w:cs="仿宋_GB2312"/>
          <w:kern w:val="0"/>
          <w:sz w:val="32"/>
          <w:szCs w:val="32"/>
        </w:rPr>
        <w:t>等文件要求，本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组织对202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年度一般公共预算</w:t>
      </w:r>
      <w:r>
        <w:rPr>
          <w:rFonts w:hint="eastAsia" w:ascii="仿宋_GB2312" w:eastAsia="仿宋_GB2312" w:cs="仿宋_GB2312"/>
          <w:kern w:val="0"/>
          <w:sz w:val="32"/>
          <w:szCs w:val="32"/>
          <w:lang w:val="en-US" w:eastAsia="zh-CN"/>
        </w:rPr>
        <w:t>29</w:t>
      </w:r>
      <w:r>
        <w:rPr>
          <w:rFonts w:hint="eastAsia" w:ascii="仿宋_GB2312" w:eastAsia="仿宋_GB2312" w:cs="仿宋_GB2312"/>
          <w:kern w:val="0"/>
          <w:sz w:val="32"/>
          <w:szCs w:val="32"/>
        </w:rPr>
        <w:t>个项目全面开展绩效自评，共涉及资金</w:t>
      </w:r>
      <w:r>
        <w:rPr>
          <w:rFonts w:hint="eastAsia" w:ascii="仿宋_GB2312" w:eastAsia="仿宋_GB2312" w:cs="仿宋_GB2312"/>
          <w:kern w:val="0"/>
          <w:sz w:val="32"/>
          <w:szCs w:val="32"/>
          <w:lang w:val="en-US" w:eastAsia="zh-CN"/>
        </w:rPr>
        <w:t>15534.6</w:t>
      </w:r>
      <w:r>
        <w:rPr>
          <w:rFonts w:hint="eastAsia" w:ascii="仿宋_GB2312" w:eastAsia="仿宋_GB2312" w:cs="仿宋_GB2312"/>
          <w:kern w:val="0"/>
          <w:sz w:val="32"/>
          <w:szCs w:val="32"/>
        </w:rPr>
        <w:t>万元。</w:t>
      </w:r>
    </w:p>
    <w:p>
      <w:pPr>
        <w:keepNext w:val="0"/>
        <w:keepLines w:val="0"/>
        <w:pageBreakBefore w:val="0"/>
        <w:widowControl w:val="0"/>
        <w:numPr>
          <w:ilvl w:val="0"/>
          <w:numId w:val="4"/>
        </w:numPr>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单位</w:t>
      </w:r>
      <w:r>
        <w:rPr>
          <w:rFonts w:hint="eastAsia" w:ascii="楷体_GB2312" w:hAnsi="楷体_GB2312" w:eastAsia="楷体_GB2312" w:cs="楷体_GB2312"/>
          <w:b/>
          <w:bCs/>
          <w:sz w:val="32"/>
          <w:szCs w:val="32"/>
        </w:rPr>
        <w:t>决算中项目绩效自评结果。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年本</w:t>
      </w:r>
      <w:r>
        <w:rPr>
          <w:rFonts w:hint="eastAsia" w:ascii="仿宋_GB2312" w:hAnsi="仿宋_GB2312" w:eastAsia="仿宋_GB2312" w:cs="仿宋_GB2312"/>
          <w:kern w:val="0"/>
          <w:sz w:val="32"/>
          <w:szCs w:val="32"/>
          <w:lang w:eastAsia="zh-CN"/>
        </w:rPr>
        <w:t>单位</w:t>
      </w:r>
      <w:r>
        <w:rPr>
          <w:rFonts w:hint="eastAsia" w:ascii="仿宋_GB2312" w:hAnsi="仿宋_GB2312" w:eastAsia="仿宋_GB2312" w:cs="仿宋_GB2312"/>
          <w:kern w:val="0"/>
          <w:sz w:val="32"/>
          <w:szCs w:val="32"/>
        </w:rPr>
        <w:t>绩效自评项目共</w:t>
      </w:r>
      <w:r>
        <w:rPr>
          <w:rFonts w:hint="eastAsia" w:ascii="仿宋_GB2312" w:hAnsi="仿宋_GB2312" w:eastAsia="仿宋_GB2312" w:cs="仿宋_GB2312"/>
          <w:kern w:val="0"/>
          <w:sz w:val="32"/>
          <w:szCs w:val="32"/>
          <w:lang w:val="en-US" w:eastAsia="zh-CN"/>
        </w:rPr>
        <w:t>29</w:t>
      </w:r>
      <w:r>
        <w:rPr>
          <w:rFonts w:hint="eastAsia" w:ascii="仿宋_GB2312" w:hAnsi="仿宋_GB2312" w:eastAsia="仿宋_GB2312" w:cs="仿宋_GB2312"/>
          <w:kern w:val="0"/>
          <w:sz w:val="32"/>
          <w:szCs w:val="32"/>
        </w:rPr>
        <w:t>个，其中评价等级为“优”项目</w:t>
      </w:r>
      <w:r>
        <w:rPr>
          <w:rFonts w:hint="eastAsia" w:ascii="仿宋_GB2312" w:hAnsi="仿宋_GB2312" w:eastAsia="仿宋_GB2312" w:cs="仿宋_GB2312"/>
          <w:kern w:val="0"/>
          <w:sz w:val="32"/>
          <w:szCs w:val="32"/>
          <w:lang w:val="en-US" w:eastAsia="zh-CN"/>
        </w:rPr>
        <w:t>27</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93.1</w:t>
      </w:r>
      <w:r>
        <w:rPr>
          <w:rFonts w:hint="eastAsia" w:ascii="仿宋_GB2312" w:hAnsi="仿宋_GB2312" w:eastAsia="仿宋_GB2312" w:cs="仿宋_GB2312"/>
          <w:kern w:val="0"/>
          <w:sz w:val="32"/>
          <w:szCs w:val="32"/>
        </w:rPr>
        <w:t>%；评价等级为“良”的项目</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个，评良率为</w:t>
      </w:r>
      <w:r>
        <w:rPr>
          <w:rFonts w:hint="eastAsia" w:ascii="仿宋_GB2312" w:hAnsi="仿宋_GB2312" w:eastAsia="仿宋_GB2312" w:cs="仿宋_GB2312"/>
          <w:kern w:val="0"/>
          <w:sz w:val="32"/>
          <w:szCs w:val="32"/>
          <w:lang w:val="en-US" w:eastAsia="zh-CN"/>
        </w:rPr>
        <w:t>6.9</w:t>
      </w:r>
      <w:r>
        <w:rPr>
          <w:rFonts w:hint="eastAsia" w:ascii="仿宋_GB2312" w:hAnsi="仿宋_GB2312" w:eastAsia="仿宋_GB2312" w:cs="仿宋_GB2312"/>
          <w:kern w:val="0"/>
          <w:sz w:val="32"/>
          <w:szCs w:val="32"/>
        </w:rPr>
        <w:t>%。详见下表。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0"/>
        <w:jc w:val="both"/>
        <w:textAlignment w:val="auto"/>
        <w:outlineLvl w:val="9"/>
        <w:rPr>
          <w:rFonts w:hint="eastAsia" w:ascii="仿宋_GB2312" w:hAnsi="仿宋_GB2312" w:eastAsia="仿宋_GB2312" w:cs="仿宋_GB2312"/>
          <w:kern w:val="0"/>
          <w:sz w:val="32"/>
          <w:szCs w:val="32"/>
        </w:rPr>
      </w:pPr>
    </w:p>
    <w:tbl>
      <w:tblPr>
        <w:tblStyle w:val="5"/>
        <w:tblW w:w="95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03"/>
        <w:gridCol w:w="1811"/>
        <w:gridCol w:w="1529"/>
        <w:gridCol w:w="1082"/>
        <w:gridCol w:w="1210"/>
        <w:gridCol w:w="1046"/>
        <w:gridCol w:w="1089"/>
        <w:gridCol w:w="1032"/>
        <w:gridCol w:w="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8" w:type="dxa"/>
          <w:trHeight w:val="294" w:hRule="atLeast"/>
        </w:trPr>
        <w:tc>
          <w:tcPr>
            <w:tcW w:w="9502" w:type="dxa"/>
            <w:gridSpan w:val="8"/>
            <w:shd w:val="clear" w:color="auto" w:fill="auto"/>
            <w:vAlign w:val="center"/>
          </w:tcPr>
          <w:p>
            <w:pPr>
              <w:keepNext w:val="0"/>
              <w:keepLines w:val="0"/>
              <w:widowControl/>
              <w:suppressLineNumbers w:val="0"/>
              <w:jc w:val="both"/>
              <w:textAlignment w:val="center"/>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 xml:space="preserve">         </w:t>
            </w:r>
            <w:r>
              <w:rPr>
                <w:rFonts w:hint="eastAsia" w:ascii="宋体" w:hAnsi="宋体" w:cs="宋体"/>
                <w:i w:val="0"/>
                <w:color w:val="000000"/>
                <w:kern w:val="0"/>
                <w:sz w:val="44"/>
                <w:szCs w:val="44"/>
                <w:u w:val="none"/>
                <w:lang w:val="en-US" w:eastAsia="zh-CN" w:bidi="ar"/>
              </w:rPr>
              <w:t>单位</w:t>
            </w:r>
            <w:r>
              <w:rPr>
                <w:rFonts w:hint="eastAsia" w:ascii="宋体" w:hAnsi="宋体" w:eastAsia="宋体" w:cs="宋体"/>
                <w:i w:val="0"/>
                <w:color w:val="000000"/>
                <w:kern w:val="0"/>
                <w:sz w:val="44"/>
                <w:szCs w:val="44"/>
                <w:u w:val="none"/>
                <w:lang w:val="en-US" w:eastAsia="zh-CN" w:bidi="ar"/>
              </w:rPr>
              <w:t>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510" w:hRule="atLeast"/>
        </w:trPr>
        <w:tc>
          <w:tcPr>
            <w:tcW w:w="6335" w:type="dxa"/>
            <w:gridSpan w:val="5"/>
            <w:tcBorders>
              <w:bottom w:val="single" w:color="000000" w:sz="4" w:space="0"/>
            </w:tcBorders>
            <w:shd w:val="clear" w:color="auto" w:fill="auto"/>
            <w:vAlign w:val="center"/>
          </w:tcPr>
          <w:p>
            <w:pPr>
              <w:jc w:val="both"/>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主管部门：石家庄市鹿泉区财政局本级</w:t>
            </w:r>
          </w:p>
        </w:tc>
        <w:tc>
          <w:tcPr>
            <w:tcW w:w="3167" w:type="dxa"/>
            <w:gridSpan w:val="3"/>
            <w:tcBorders>
              <w:bottom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项目实施单位</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预算数</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（调整后）</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执行数</w:t>
            </w:r>
            <w:r>
              <w:rPr>
                <w:rFonts w:hint="eastAsia" w:ascii="仿宋" w:hAnsi="仿宋" w:eastAsia="仿宋" w:cs="仿宋"/>
                <w:i w:val="0"/>
                <w:color w:val="000000"/>
                <w:kern w:val="0"/>
                <w:sz w:val="24"/>
                <w:szCs w:val="24"/>
                <w:u w:val="none"/>
                <w:lang w:val="en-US" w:eastAsia="zh-CN" w:bidi="ar"/>
              </w:rPr>
              <w:br w:type="textWrapping"/>
            </w:r>
            <w:r>
              <w:rPr>
                <w:rFonts w:hint="eastAsia" w:ascii="仿宋" w:hAnsi="仿宋" w:eastAsia="仿宋" w:cs="仿宋"/>
                <w:i w:val="0"/>
                <w:color w:val="000000"/>
                <w:kern w:val="0"/>
                <w:sz w:val="24"/>
                <w:szCs w:val="24"/>
                <w:u w:val="none"/>
                <w:lang w:val="en-US" w:eastAsia="zh-CN" w:bidi="ar"/>
              </w:rPr>
              <w:t>（至2022年底）</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结余交回财政数</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2022年财政专网运行维护费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29.64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财政局后院维修改造项目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19.79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0.21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99.9</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政府财务报告及内控制度编制委托业务费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0.85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83.4</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8" w:type="dxa"/>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2022年机关服务专项经费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24.44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0.56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99.8</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2022年网络运行维护、服务费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9.2</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6.79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法律咨询、律师代理服务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信息化建设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17</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14.94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96.8</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信息化建设</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预算绩效管理业务费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5.47</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9.53</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91.4</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评估业务费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6.15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93.9</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2022年财政改革业务费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21.34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18.66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90.6</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房屋租赁收入应缴税费</w:t>
            </w:r>
          </w:p>
        </w:tc>
        <w:tc>
          <w:tcPr>
            <w:tcW w:w="152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5.2</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4.78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0.42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98.4</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政府购买投资评审服务项目</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2022年会计人员培训费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5.4</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82</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票据工本费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6.92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92.3</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水利局农村区域供水管网资产审计、评估等费用</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2022年涉农项目财政管理及农村综合改革业务费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6.91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3.09</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委托审计费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19</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财政工资代发系统“一网通办”建设费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档案信息安全建设管理费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5991.81</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5990.82</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99.8</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3563.9</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3563.9</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23</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1318</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1318</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24</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4067.33</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4067.33</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资产处置应交税费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0.11</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0.11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26</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16</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27</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11.71</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11.71</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w:t>
            </w: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税收专项检查服务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28.4</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28.4</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w:t>
            </w:r>
          </w:p>
        </w:tc>
        <w:tc>
          <w:tcPr>
            <w:tcW w:w="181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国有资产评估，拍卖委托业务费</w:t>
            </w:r>
          </w:p>
        </w:tc>
        <w:tc>
          <w:tcPr>
            <w:tcW w:w="152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石家庄市鹿泉区财政局</w:t>
            </w:r>
          </w:p>
        </w:tc>
        <w:tc>
          <w:tcPr>
            <w:tcW w:w="108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0.3</w:t>
            </w:r>
          </w:p>
        </w:tc>
        <w:tc>
          <w:tcPr>
            <w:tcW w:w="121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0.3</w:t>
            </w:r>
          </w:p>
        </w:tc>
        <w:tc>
          <w:tcPr>
            <w:tcW w:w="104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8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100</w:t>
            </w:r>
          </w:p>
        </w:tc>
        <w:tc>
          <w:tcPr>
            <w:tcW w:w="1040" w:type="dxa"/>
            <w:gridSpan w:val="2"/>
            <w:tcBorders>
              <w:top w:val="single" w:color="000000" w:sz="4" w:space="0"/>
              <w:left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7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8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15534.6</w:t>
            </w:r>
          </w:p>
        </w:tc>
        <w:tc>
          <w:tcPr>
            <w:tcW w:w="12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15473.05</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61.55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2"/>
                <w:szCs w:val="22"/>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本单位在今年单位决算公开中反映财政专网运行维护费项目及政府购买投资评审服务项目等29个项目绩效自评结果。</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（1）政府投资评审服务项目自评综述：根据年初设定的绩效目标，项目绩效自评得分为</w:t>
      </w:r>
      <w:r>
        <w:rPr>
          <w:rFonts w:hint="eastAsia" w:ascii="仿宋_GB2312" w:hAnsi="仿宋_GB2312" w:eastAsia="仿宋_GB2312" w:cs="仿宋_GB2312"/>
          <w:kern w:val="0"/>
          <w:sz w:val="32"/>
          <w:szCs w:val="32"/>
          <w:lang w:val="en-US" w:eastAsia="zh-CN"/>
        </w:rPr>
        <w:t>100</w:t>
      </w:r>
      <w:r>
        <w:rPr>
          <w:rFonts w:hint="eastAsia" w:ascii="仿宋_GB2312" w:hAnsi="仿宋_GB2312" w:eastAsia="仿宋_GB2312" w:cs="仿宋_GB2312"/>
          <w:kern w:val="0"/>
          <w:sz w:val="32"/>
          <w:szCs w:val="32"/>
        </w:rPr>
        <w:t>分。全年预算数为</w:t>
      </w:r>
      <w:r>
        <w:rPr>
          <w:rFonts w:hint="eastAsia" w:ascii="仿宋_GB2312" w:hAnsi="仿宋_GB2312" w:eastAsia="仿宋_GB2312" w:cs="仿宋_GB2312"/>
          <w:kern w:val="0"/>
          <w:sz w:val="32"/>
          <w:szCs w:val="32"/>
          <w:lang w:val="en-US" w:eastAsia="zh-CN"/>
        </w:rPr>
        <w:t>200</w:t>
      </w:r>
      <w:r>
        <w:rPr>
          <w:rFonts w:hint="eastAsia" w:ascii="仿宋_GB2312" w:hAnsi="仿宋_GB2312" w:eastAsia="仿宋_GB2312" w:cs="仿宋_GB2312"/>
          <w:kern w:val="0"/>
          <w:sz w:val="32"/>
          <w:szCs w:val="32"/>
        </w:rPr>
        <w:t>万元，执行数为</w:t>
      </w:r>
      <w:r>
        <w:rPr>
          <w:rFonts w:hint="eastAsia" w:ascii="仿宋_GB2312" w:hAnsi="仿宋_GB2312" w:eastAsia="仿宋_GB2312" w:cs="仿宋_GB2312"/>
          <w:kern w:val="0"/>
          <w:sz w:val="32"/>
          <w:szCs w:val="32"/>
          <w:lang w:val="en-US" w:eastAsia="zh-CN"/>
        </w:rPr>
        <w:t>200</w:t>
      </w:r>
      <w:r>
        <w:rPr>
          <w:rFonts w:hint="eastAsia" w:ascii="仿宋_GB2312" w:hAnsi="仿宋_GB2312" w:eastAsia="仿宋_GB2312" w:cs="仿宋_GB2312"/>
          <w:kern w:val="0"/>
          <w:sz w:val="32"/>
          <w:szCs w:val="32"/>
        </w:rPr>
        <w:t>万元，完成预算的</w:t>
      </w:r>
      <w:r>
        <w:rPr>
          <w:rFonts w:hint="eastAsia" w:ascii="仿宋_GB2312" w:hAnsi="仿宋_GB2312" w:eastAsia="仿宋_GB2312" w:cs="仿宋_GB2312"/>
          <w:kern w:val="0"/>
          <w:sz w:val="32"/>
          <w:szCs w:val="32"/>
          <w:lang w:val="en-US" w:eastAsia="zh-CN"/>
        </w:rPr>
        <w:t>100.0</w:t>
      </w:r>
      <w:r>
        <w:rPr>
          <w:rFonts w:hint="eastAsia" w:ascii="仿宋_GB2312" w:hAnsi="仿宋_GB2312" w:eastAsia="仿宋_GB2312" w:cs="仿宋_GB2312"/>
          <w:kern w:val="0"/>
          <w:sz w:val="32"/>
          <w:szCs w:val="32"/>
        </w:rPr>
        <w:t>%。项目绩效目标完成情况：一是经费使用符合国家有关制度的规定；二是拨付有完整的审批程序和手续，且已支出到位。发现的主要问题是资金支出进度缓慢，绩效监控不到位。下步完善绩效监控制度，定期对资金使用情况进行监控，严格按照绩效目标支出项目资金。</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jc w:val="both"/>
        <w:textAlignment w:val="auto"/>
        <w:outlineLvl w:val="9"/>
        <w:rPr>
          <w:rFonts w:hint="eastAsia" w:ascii="黑体" w:hAnsi="黑体" w:eastAsia="黑体" w:cs="黑体"/>
          <w:b/>
          <w:bCs/>
          <w:sz w:val="32"/>
          <w:szCs w:val="32"/>
        </w:rPr>
      </w:pPr>
      <w:r>
        <w:rPr>
          <w:rFonts w:hint="eastAsia" w:ascii="仿宋_GB2312" w:hAnsi="仿宋_GB2312" w:eastAsia="仿宋_GB2312" w:cs="仿宋_GB2312"/>
          <w:b/>
          <w:bCs/>
          <w:sz w:val="32"/>
          <w:szCs w:val="32"/>
        </w:rPr>
        <w:t>（三）、</w:t>
      </w:r>
      <w:r>
        <w:rPr>
          <w:rFonts w:hint="eastAsia" w:ascii="楷体_GB2312" w:hAnsi="楷体_GB2312" w:eastAsia="楷体_GB2312" w:cs="楷体_GB2312"/>
          <w:b/>
          <w:bCs/>
          <w:sz w:val="32"/>
          <w:szCs w:val="32"/>
          <w:lang w:eastAsia="zh-CN"/>
        </w:rPr>
        <w:t>单位</w:t>
      </w:r>
      <w:r>
        <w:rPr>
          <w:rFonts w:hint="eastAsia" w:ascii="楷体_GB2312" w:hAnsi="楷体_GB2312" w:eastAsia="楷体_GB2312" w:cs="楷体_GB2312"/>
          <w:b/>
          <w:bCs/>
          <w:sz w:val="32"/>
          <w:szCs w:val="32"/>
        </w:rPr>
        <w:t>评价项目绩效评价结果</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eastAsia="仿宋_GB2312" w:cs="仿宋_GB2312"/>
          <w:kern w:val="0"/>
          <w:sz w:val="32"/>
          <w:szCs w:val="32"/>
          <w:lang w:eastAsia="zh-CN"/>
        </w:rPr>
        <w:t>总体来说</w:t>
      </w:r>
      <w:r>
        <w:rPr>
          <w:rFonts w:hint="eastAsia" w:ascii="仿宋_GB2312" w:eastAsia="仿宋_GB2312" w:cs="仿宋_GB2312"/>
          <w:kern w:val="0"/>
          <w:sz w:val="32"/>
          <w:szCs w:val="32"/>
        </w:rPr>
        <w:t>资金到位，使用合规。资金拨付程序从申请、审核、审查、审批到最后发放都按照中央、省、市相关财政政策实施，使用符合财务管理规定。</w:t>
      </w: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专项资金绩效</w:t>
      </w:r>
      <w:r>
        <w:rPr>
          <w:rFonts w:hint="eastAsia" w:ascii="仿宋_GB2312" w:hAnsi="仿宋_GB2312" w:eastAsia="仿宋_GB2312" w:cs="仿宋_GB2312"/>
          <w:kern w:val="0"/>
          <w:sz w:val="32"/>
          <w:szCs w:val="32"/>
          <w:lang w:eastAsia="zh-CN"/>
        </w:rPr>
        <w:t>评优率达</w:t>
      </w:r>
      <w:r>
        <w:rPr>
          <w:rFonts w:hint="eastAsia" w:ascii="仿宋_GB2312" w:hAnsi="仿宋_GB2312" w:eastAsia="仿宋_GB2312" w:cs="仿宋_GB2312"/>
          <w:kern w:val="0"/>
          <w:sz w:val="32"/>
          <w:szCs w:val="32"/>
          <w:lang w:val="en-US" w:eastAsia="zh-CN"/>
        </w:rPr>
        <w:t>93.1%，</w:t>
      </w:r>
      <w:r>
        <w:rPr>
          <w:rFonts w:hint="eastAsia" w:ascii="仿宋_GB2312" w:hAnsi="仿宋_GB2312" w:eastAsia="仿宋_GB2312" w:cs="仿宋_GB2312"/>
          <w:sz w:val="32"/>
          <w:szCs w:val="32"/>
        </w:rPr>
        <w:t>总体得分为优秀等次。</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但是也存在一些问题主要是：</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lang w:val="en-US" w:eastAsia="zh-CN"/>
        </w:rPr>
      </w:pPr>
      <w:r>
        <w:rPr>
          <w:rFonts w:hint="eastAsia" w:ascii="仿宋_GB2312" w:eastAsia="仿宋_GB2312" w:cs="仿宋_GB2312"/>
          <w:kern w:val="0"/>
          <w:sz w:val="32"/>
          <w:szCs w:val="32"/>
        </w:rPr>
        <w:t>（</w:t>
      </w:r>
      <w:r>
        <w:rPr>
          <w:rFonts w:hint="eastAsia" w:ascii="仿宋_GB2312" w:hAnsi="仿宋_GB2312" w:eastAsia="仿宋_GB2312" w:cs="仿宋_GB2312"/>
          <w:kern w:val="0"/>
          <w:sz w:val="32"/>
          <w:szCs w:val="32"/>
        </w:rPr>
        <w:t>1）</w:t>
      </w:r>
      <w:r>
        <w:rPr>
          <w:rFonts w:hint="eastAsia" w:ascii="仿宋_GB2312" w:hAnsi="仿宋_GB2312" w:eastAsia="仿宋_GB2312" w:cs="仿宋_GB2312"/>
          <w:kern w:val="0"/>
          <w:sz w:val="32"/>
          <w:szCs w:val="32"/>
          <w:lang w:eastAsia="zh-CN"/>
        </w:rPr>
        <w:t>项目资金支付力度有待加强。本单位</w:t>
      </w:r>
      <w:r>
        <w:rPr>
          <w:rFonts w:hint="eastAsia" w:ascii="仿宋_GB2312" w:hAnsi="仿宋_GB2312" w:eastAsia="仿宋_GB2312" w:cs="仿宋_GB2312"/>
          <w:kern w:val="0"/>
          <w:sz w:val="32"/>
          <w:szCs w:val="32"/>
          <w:lang w:val="en-US" w:eastAsia="zh-CN"/>
        </w:rPr>
        <w:t>2022年本年支出</w:t>
      </w:r>
      <w:r>
        <w:rPr>
          <w:rFonts w:hint="eastAsia" w:ascii="仿宋_GB2312" w:hAnsi="仿宋_GB2312" w:eastAsia="仿宋_GB2312" w:cs="仿宋_GB2312"/>
          <w:kern w:val="0"/>
          <w:sz w:val="32"/>
          <w:szCs w:val="32"/>
        </w:rPr>
        <w:t>本年支出</w:t>
      </w:r>
      <w:r>
        <w:rPr>
          <w:rFonts w:hint="eastAsia" w:ascii="仿宋_GB2312" w:hAnsi="仿宋_GB2312" w:eastAsia="仿宋_GB2312" w:cs="仿宋_GB2312"/>
          <w:kern w:val="0"/>
          <w:sz w:val="32"/>
          <w:szCs w:val="32"/>
          <w:lang w:val="en-US" w:eastAsia="zh-CN"/>
        </w:rPr>
        <w:t>13538.55</w:t>
      </w:r>
      <w:r>
        <w:rPr>
          <w:rFonts w:hint="eastAsia" w:ascii="仿宋_GB2312" w:hAnsi="仿宋_GB2312" w:eastAsia="仿宋_GB2312" w:cs="仿宋_GB2312"/>
          <w:kern w:val="0"/>
          <w:sz w:val="32"/>
          <w:szCs w:val="32"/>
        </w:rPr>
        <w:t>万元，完成年初预算的</w:t>
      </w:r>
      <w:r>
        <w:rPr>
          <w:rFonts w:hint="eastAsia" w:ascii="仿宋_GB2312" w:hAnsi="仿宋_GB2312" w:eastAsia="仿宋_GB2312" w:cs="仿宋_GB2312"/>
          <w:kern w:val="0"/>
          <w:sz w:val="32"/>
          <w:szCs w:val="32"/>
          <w:lang w:val="en-US" w:eastAsia="zh-CN"/>
        </w:rPr>
        <w:t>703.8</w:t>
      </w:r>
      <w:r>
        <w:rPr>
          <w:rFonts w:hint="eastAsia" w:ascii="仿宋_GB2312" w:hAnsi="仿宋_GB2312" w:eastAsia="仿宋_GB2312" w:cs="仿宋_GB2312"/>
          <w:kern w:val="0"/>
          <w:sz w:val="32"/>
          <w:szCs w:val="32"/>
        </w:rPr>
        <w:t>%,比年初预算</w:t>
      </w:r>
      <w:r>
        <w:rPr>
          <w:rFonts w:hint="eastAsia" w:ascii="仿宋_GB2312" w:hAnsi="仿宋_GB2312" w:eastAsia="仿宋_GB2312" w:cs="仿宋_GB2312"/>
          <w:kern w:val="0"/>
          <w:sz w:val="32"/>
          <w:szCs w:val="32"/>
          <w:lang w:eastAsia="zh-CN"/>
        </w:rPr>
        <w:t>增加</w:t>
      </w:r>
      <w:r>
        <w:rPr>
          <w:rFonts w:hint="eastAsia" w:ascii="仿宋_GB2312" w:hAnsi="仿宋_GB2312" w:eastAsia="仿宋_GB2312" w:cs="仿宋_GB2312"/>
          <w:kern w:val="0"/>
          <w:sz w:val="32"/>
          <w:szCs w:val="32"/>
          <w:lang w:val="en-US" w:eastAsia="zh-CN"/>
        </w:rPr>
        <w:t>11614.98</w:t>
      </w:r>
      <w:r>
        <w:rPr>
          <w:rFonts w:hint="eastAsia" w:ascii="仿宋_GB2312" w:hAnsi="仿宋_GB2312" w:eastAsia="仿宋_GB2312" w:cs="仿宋_GB2312"/>
          <w:kern w:val="0"/>
          <w:sz w:val="32"/>
          <w:szCs w:val="32"/>
        </w:rPr>
        <w:t>万元。主要</w:t>
      </w:r>
      <w:r>
        <w:rPr>
          <w:rFonts w:hint="eastAsia" w:ascii="仿宋_GB2312" w:hAnsi="仿宋_GB2312" w:eastAsia="仿宋_GB2312" w:cs="仿宋_GB2312"/>
          <w:kern w:val="0"/>
          <w:sz w:val="32"/>
          <w:szCs w:val="32"/>
          <w:lang w:eastAsia="zh-CN"/>
        </w:rPr>
        <w:t>是项目支出严重超预算，</w:t>
      </w:r>
      <w:r>
        <w:rPr>
          <w:rFonts w:hint="eastAsia" w:ascii="仿宋_GB2312" w:hAnsi="仿宋_GB2312" w:eastAsia="仿宋_GB2312" w:cs="仿宋_GB2312"/>
          <w:kern w:val="0"/>
          <w:sz w:val="32"/>
          <w:szCs w:val="32"/>
        </w:rPr>
        <w:t>原因</w:t>
      </w:r>
      <w:r>
        <w:rPr>
          <w:rFonts w:hint="eastAsia" w:ascii="仿宋_GB2312" w:hAnsi="仿宋_GB2312" w:eastAsia="仿宋_GB2312" w:cs="仿宋_GB2312"/>
          <w:kern w:val="0"/>
          <w:sz w:val="32"/>
          <w:szCs w:val="32"/>
          <w:lang w:eastAsia="zh-CN"/>
        </w:rPr>
        <w:t>是根据区委区政府安排，今年我局新增了缴纳土增税及资产处置应缴税费等大额资金项目，</w:t>
      </w:r>
      <w:r>
        <w:rPr>
          <w:rFonts w:hint="eastAsia" w:ascii="仿宋_GB2312" w:hAnsi="仿宋_GB2312" w:eastAsia="仿宋_GB2312" w:cs="仿宋_GB2312"/>
          <w:kern w:val="0"/>
          <w:sz w:val="32"/>
          <w:szCs w:val="32"/>
        </w:rPr>
        <w:t>使项目支出较预算</w:t>
      </w:r>
      <w:r>
        <w:rPr>
          <w:rFonts w:hint="eastAsia" w:ascii="仿宋_GB2312" w:hAnsi="仿宋_GB2312" w:eastAsia="仿宋_GB2312" w:cs="仿宋_GB2312"/>
          <w:kern w:val="0"/>
          <w:sz w:val="32"/>
          <w:szCs w:val="32"/>
          <w:lang w:eastAsia="zh-CN"/>
        </w:rPr>
        <w:t>增加</w:t>
      </w:r>
      <w:r>
        <w:rPr>
          <w:rFonts w:hint="eastAsia" w:ascii="仿宋_GB2312" w:hAnsi="仿宋_GB2312" w:eastAsia="仿宋_GB2312" w:cs="仿宋_GB2312"/>
          <w:kern w:val="0"/>
          <w:sz w:val="32"/>
          <w:szCs w:val="32"/>
          <w:lang w:val="en-US" w:eastAsia="zh-CN"/>
        </w:rPr>
        <w:t>11365.3</w:t>
      </w:r>
      <w:r>
        <w:rPr>
          <w:rFonts w:hint="eastAsia" w:ascii="仿宋_GB2312" w:hAnsi="仿宋_GB2312" w:eastAsia="仿宋_GB2312" w:cs="仿宋_GB2312"/>
          <w:kern w:val="0"/>
          <w:sz w:val="32"/>
          <w:szCs w:val="32"/>
        </w:rPr>
        <w:t>万元</w:t>
      </w:r>
      <w:r>
        <w:rPr>
          <w:rFonts w:hint="eastAsia" w:ascii="仿宋_GB2312" w:hAnsi="仿宋_GB2312" w:eastAsia="仿宋_GB2312" w:cs="仿宋_GB2312"/>
          <w:kern w:val="0"/>
          <w:sz w:val="32"/>
          <w:szCs w:val="32"/>
          <w:lang w:eastAsia="zh-CN"/>
        </w:rPr>
        <w:t>。</w:t>
      </w:r>
    </w:p>
    <w:p>
      <w:pPr>
        <w:keepNext w:val="0"/>
        <w:keepLines w:val="0"/>
        <w:pageBreakBefore w:val="0"/>
        <w:widowControl w:val="0"/>
        <w:numPr>
          <w:ilvl w:val="0"/>
          <w:numId w:val="5"/>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预算支出细目科目编制不够规范，预算实际使用过程中产生偏差，无法准确预计全年经济活动。</w:t>
      </w:r>
    </w:p>
    <w:p>
      <w:pPr>
        <w:keepNext w:val="0"/>
        <w:keepLines w:val="0"/>
        <w:pageBreakBefore w:val="0"/>
        <w:widowControl w:val="0"/>
        <w:numPr>
          <w:ilvl w:val="0"/>
          <w:numId w:val="5"/>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年初预算不够准确，年中追加预算没有及时拨付到位，导致统计工作开展艰难。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绩效监控质量不达标，填报内容简单，对绩效目标偏差问题缺乏有效分析，无法监控绩效目标的实现程度，还有待进一步提升项目科室整体绩效管理理念。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2、改进措施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（1）、结合上一年度预算执行和本年度预算收支因素，科学、合理地编制本年预算支出，根据项目资金下达时间及项目工作开展情况，及时拨付项目资金。</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（2）、科学严谨编制本年度单位预算，细化单位预算内容，强化绩效目标、绩效指标的合理性、合规性，保证预算的准确性。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（3）、加强绩效监控，根据监控结果通过中期合理调配资金，增强与各业务股室协调合作，提高项目执行率，提高资金支付效率。</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管理规范，监督有效。为进一步规范财务管理，我局制定并印发《财政局财务管理规定》，严格资金使用程序，健全资金管理制度，定期对资金使用情况进行检查，严格确保项目质量。</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1. 本单位202</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年度未发生政府性基金预算、国有资金经营预算收支及结转结余情况，故政府性基金预算（08表）、国有资金经营预算支出表（09表）两张表以空表列示。</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r>
        <w:rPr>
          <w:rFonts w:hint="eastAsia" w:ascii="仿宋_GB2312" w:eastAsia="仿宋_GB2312" w:cs="仿宋_GB2312"/>
          <w:kern w:val="0"/>
          <w:sz w:val="32"/>
          <w:szCs w:val="32"/>
        </w:rPr>
        <w:t>2. 由于决算公开表格中金额数值应当保留两位小数，公开数据为四舍五入计算结果，个别数据合计项与分项之和存在小数点后差额，特此说明。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eastAsia="仿宋_GB2312" w:cs="仿宋_GB2312"/>
          <w:kern w:val="0"/>
          <w:sz w:val="32"/>
          <w:szCs w:val="32"/>
        </w:rPr>
      </w:pP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r>
        <w:pict>
          <v:shape id="图片 76" o:spid="_x0000_s1043" o:spt="75" alt="32313535383135393b32313535383230393bcbb5c3f7cae9" type="#_x0000_t75" style="position:absolute;left:0pt;margin-left:33.7pt;margin-top:24.8pt;height:50.4pt;width:50.4pt;mso-position-vertical-relative:margin;z-index:251659264;mso-width-relative:page;mso-height-relative:page;" filled="f" o:preferrelative="t" stroked="f" coordsize="21600,21600">
            <v:path/>
            <v:fill on="f" focussize="0,0"/>
            <v:stroke on="f" joinstyle="miter"/>
            <v:imagedata r:id="rId20" o:title=""/>
            <o:lock v:ext="edit" aspectratio="t"/>
          </v:shape>
        </w:pict>
      </w:r>
    </w:p>
    <w:p>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第四部分相关名词解释</w:t>
      </w: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rPr>
          <w:rFonts w:ascii="黑体" w:hAnsi="黑体" w:eastAsia="黑体" w:cs="黑体"/>
          <w:color w:val="000000"/>
          <w:sz w:val="44"/>
          <w:szCs w:val="44"/>
        </w:rPr>
      </w:pPr>
      <w:r>
        <w:rPr>
          <w:rFonts w:hint="eastAsia" w:ascii="黑体" w:hAnsi="黑体" w:eastAsia="黑体" w:cs="黑体"/>
          <w:color w:val="000000"/>
          <w:sz w:val="44"/>
          <w:szCs w:val="44"/>
          <w:lang w:val="en-US" w:eastAsia="zh-CN"/>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3" w:firstLineChars="200"/>
        <w:jc w:val="left"/>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eastAsia="仿宋_GB2312" w:cs="仿宋_GB2312"/>
          <w:kern w:val="0"/>
          <w:sz w:val="32"/>
          <w:szCs w:val="32"/>
        </w:rPr>
        <w:t>本年度从本级财政部门取得的财政拨款，包括一般公共预算财政拨款和政府性基金预算财政拨款。</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eastAsia="仿宋_GB2312" w:cs="仿宋_GB2312"/>
          <w:kern w:val="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hint="eastAsia" w:ascii="仿宋_GB2312" w:eastAsia="仿宋_GB2312" w:cs="仿宋_GB2312"/>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eastAsia="仿宋_GB2312" w:cs="仿宋_GB2312"/>
          <w:kern w:val="0"/>
          <w:sz w:val="32"/>
          <w:szCs w:val="32"/>
        </w:rPr>
        <w:t>指除上述“财政拨款收入”“事业收入”“经营收入”等以外的收入。</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keepNext w:val="0"/>
        <w:keepLines w:val="0"/>
        <w:pageBreakBefore w:val="0"/>
        <w:kinsoku/>
        <w:wordWrap/>
        <w:overflowPunct/>
        <w:topLinePunct w:val="0"/>
        <w:autoSpaceDE/>
        <w:autoSpaceDN/>
        <w:bidi w:val="0"/>
        <w:adjustRightInd/>
        <w:snapToGrid w:val="0"/>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keepNext w:val="0"/>
        <w:keepLines w:val="0"/>
        <w:pageBreakBefore w:val="0"/>
        <w:kinsoku/>
        <w:wordWrap/>
        <w:overflowPunct/>
        <w:topLinePunct w:val="0"/>
        <w:autoSpaceDE/>
        <w:autoSpaceDN/>
        <w:bidi w:val="0"/>
        <w:adjustRightInd/>
        <w:snapToGrid w:val="0"/>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keepNext w:val="0"/>
        <w:keepLines w:val="0"/>
        <w:pageBreakBefore w:val="0"/>
        <w:widowControl/>
        <w:kinsoku/>
        <w:wordWrap/>
        <w:overflowPunct/>
        <w:topLinePunct w:val="0"/>
        <w:autoSpaceDE/>
        <w:autoSpaceDN/>
        <w:bidi w:val="0"/>
        <w:adjustRightInd/>
        <w:spacing w:line="578" w:lineRule="exact"/>
        <w:ind w:left="0" w:leftChars="0" w:right="0" w:rightChars="0" w:firstLine="643" w:firstLineChars="200"/>
        <w:textAlignment w:val="auto"/>
        <w:outlineLvl w:val="9"/>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keepNext w:val="0"/>
        <w:keepLines w:val="0"/>
        <w:pageBreakBefore w:val="0"/>
        <w:tabs>
          <w:tab w:val="left" w:pos="235"/>
        </w:tabs>
        <w:kinsoku/>
        <w:wordWrap/>
        <w:overflowPunct/>
        <w:topLinePunct w:val="0"/>
        <w:autoSpaceDE/>
        <w:autoSpaceDN/>
        <w:bidi w:val="0"/>
        <w:adjustRightInd/>
        <w:spacing w:line="578" w:lineRule="exact"/>
        <w:ind w:left="0" w:leftChars="0" w:right="0" w:rightChars="0" w:firstLine="643" w:firstLineChars="200"/>
        <w:jc w:val="left"/>
        <w:textAlignment w:val="auto"/>
        <w:outlineLvl w:val="9"/>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思源黑体 CN Bold">
    <w:altName w:val="黑体"/>
    <w:panose1 w:val="00000000000000000000"/>
    <w:charset w:val="86"/>
    <w:family w:val="swiss"/>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A00002EF" w:usb1="4000004B" w:usb2="00000000" w:usb3="00000000" w:csb0="2000009F"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426351"/>
    <w:multiLevelType w:val="singleLevel"/>
    <w:tmpl w:val="63426351"/>
    <w:lvl w:ilvl="0" w:tentative="0">
      <w:start w:val="3"/>
      <w:numFmt w:val="chineseCounting"/>
      <w:suff w:val="nothing"/>
      <w:lvlText w:val="（%1）"/>
      <w:lvlJc w:val="left"/>
      <w:rPr>
        <w:rFonts w:hint="eastAsia"/>
      </w:rPr>
    </w:lvl>
  </w:abstractNum>
  <w:abstractNum w:abstractNumId="1">
    <w:nsid w:val="63426558"/>
    <w:multiLevelType w:val="singleLevel"/>
    <w:tmpl w:val="63426558"/>
    <w:lvl w:ilvl="0" w:tentative="0">
      <w:start w:val="2"/>
      <w:numFmt w:val="chineseCounting"/>
      <w:suff w:val="nothing"/>
      <w:lvlText w:val="%1、"/>
      <w:lvlJc w:val="left"/>
    </w:lvl>
  </w:abstractNum>
  <w:abstractNum w:abstractNumId="2">
    <w:nsid w:val="65040977"/>
    <w:multiLevelType w:val="singleLevel"/>
    <w:tmpl w:val="65040977"/>
    <w:lvl w:ilvl="0" w:tentative="0">
      <w:start w:val="2"/>
      <w:numFmt w:val="decimal"/>
      <w:suff w:val="nothing"/>
      <w:lvlText w:val="（%1）"/>
      <w:lvlJc w:val="left"/>
    </w:lvl>
  </w:abstractNum>
  <w:abstractNum w:abstractNumId="3">
    <w:nsid w:val="6507B31F"/>
    <w:multiLevelType w:val="singleLevel"/>
    <w:tmpl w:val="6507B31F"/>
    <w:lvl w:ilvl="0" w:tentative="0">
      <w:start w:val="2"/>
      <w:numFmt w:val="chineseCounting"/>
      <w:suff w:val="space"/>
      <w:lvlText w:val="（%1）"/>
      <w:lvlJc w:val="left"/>
    </w:lvl>
  </w:abstractNum>
  <w:abstractNum w:abstractNumId="4">
    <w:nsid w:val="6507C113"/>
    <w:multiLevelType w:val="singleLevel"/>
    <w:tmpl w:val="6507C113"/>
    <w:lvl w:ilvl="0" w:tentative="0">
      <w:start w:val="3"/>
      <w:numFmt w:val="decimal"/>
      <w:suff w:val="nothing"/>
      <w:lvlText w:val="%1."/>
      <w:lvlJc w:val="left"/>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NotTrackMoves/>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56CD0"/>
    <w:rsid w:val="000B5E11"/>
    <w:rsid w:val="006F3CD2"/>
    <w:rsid w:val="0071527E"/>
    <w:rsid w:val="007C34EC"/>
    <w:rsid w:val="0099157D"/>
    <w:rsid w:val="00A56CD0"/>
    <w:rsid w:val="00F50156"/>
    <w:rsid w:val="00F62130"/>
    <w:rsid w:val="00FC441B"/>
    <w:rsid w:val="01D75F5D"/>
    <w:rsid w:val="028D570E"/>
    <w:rsid w:val="030160B4"/>
    <w:rsid w:val="032376C2"/>
    <w:rsid w:val="03983C96"/>
    <w:rsid w:val="044F5253"/>
    <w:rsid w:val="04F62134"/>
    <w:rsid w:val="05657AA4"/>
    <w:rsid w:val="07B02D59"/>
    <w:rsid w:val="07BF3F06"/>
    <w:rsid w:val="07EC3DAE"/>
    <w:rsid w:val="09E24542"/>
    <w:rsid w:val="09FF216E"/>
    <w:rsid w:val="0AEC613D"/>
    <w:rsid w:val="0B877AB0"/>
    <w:rsid w:val="0BB10786"/>
    <w:rsid w:val="0C1E062A"/>
    <w:rsid w:val="0C8E53BC"/>
    <w:rsid w:val="0CB363F3"/>
    <w:rsid w:val="0D180A0C"/>
    <w:rsid w:val="0ED832E4"/>
    <w:rsid w:val="0FD273F6"/>
    <w:rsid w:val="0FEE7965"/>
    <w:rsid w:val="0FFD2AA6"/>
    <w:rsid w:val="10162726"/>
    <w:rsid w:val="10E125E7"/>
    <w:rsid w:val="121A6290"/>
    <w:rsid w:val="124042D5"/>
    <w:rsid w:val="136C12AF"/>
    <w:rsid w:val="13C57540"/>
    <w:rsid w:val="140A3CCC"/>
    <w:rsid w:val="14132681"/>
    <w:rsid w:val="145C521C"/>
    <w:rsid w:val="14E2213A"/>
    <w:rsid w:val="151A11AA"/>
    <w:rsid w:val="159C372A"/>
    <w:rsid w:val="168176B4"/>
    <w:rsid w:val="169207E0"/>
    <w:rsid w:val="16AC4181"/>
    <w:rsid w:val="17782136"/>
    <w:rsid w:val="17E81FC9"/>
    <w:rsid w:val="18E56533"/>
    <w:rsid w:val="1A1C0B59"/>
    <w:rsid w:val="1A5B638F"/>
    <w:rsid w:val="1A656DCC"/>
    <w:rsid w:val="1B2B6E6E"/>
    <w:rsid w:val="1B4D7050"/>
    <w:rsid w:val="1B637395"/>
    <w:rsid w:val="1B9E5182"/>
    <w:rsid w:val="1C226707"/>
    <w:rsid w:val="1C3B4D5B"/>
    <w:rsid w:val="1CCE13CA"/>
    <w:rsid w:val="1D4F07FB"/>
    <w:rsid w:val="1DBF0BF8"/>
    <w:rsid w:val="1E7C2519"/>
    <w:rsid w:val="1EC14C3C"/>
    <w:rsid w:val="1FD61FB0"/>
    <w:rsid w:val="203347D9"/>
    <w:rsid w:val="22363572"/>
    <w:rsid w:val="22BD3EFE"/>
    <w:rsid w:val="22CC391F"/>
    <w:rsid w:val="2325347B"/>
    <w:rsid w:val="23772D33"/>
    <w:rsid w:val="23CB4A14"/>
    <w:rsid w:val="23D80CB9"/>
    <w:rsid w:val="244A6B60"/>
    <w:rsid w:val="24660D36"/>
    <w:rsid w:val="247673E6"/>
    <w:rsid w:val="24B94098"/>
    <w:rsid w:val="24FE53C4"/>
    <w:rsid w:val="25022F28"/>
    <w:rsid w:val="25C74063"/>
    <w:rsid w:val="27F6180F"/>
    <w:rsid w:val="283F0089"/>
    <w:rsid w:val="28DD0D2D"/>
    <w:rsid w:val="28E52D4D"/>
    <w:rsid w:val="2907618F"/>
    <w:rsid w:val="2A0F0E88"/>
    <w:rsid w:val="2A9E3C34"/>
    <w:rsid w:val="2AA709DB"/>
    <w:rsid w:val="2ABA0028"/>
    <w:rsid w:val="2D575DB4"/>
    <w:rsid w:val="2DAE6FFF"/>
    <w:rsid w:val="2DF43C32"/>
    <w:rsid w:val="2ED57B0D"/>
    <w:rsid w:val="2ED66E2F"/>
    <w:rsid w:val="2F9837C7"/>
    <w:rsid w:val="30642921"/>
    <w:rsid w:val="31663DB6"/>
    <w:rsid w:val="329F0814"/>
    <w:rsid w:val="32D477E2"/>
    <w:rsid w:val="32E2504D"/>
    <w:rsid w:val="345440F1"/>
    <w:rsid w:val="34DD1550"/>
    <w:rsid w:val="352E1A77"/>
    <w:rsid w:val="35687DF9"/>
    <w:rsid w:val="35E025D7"/>
    <w:rsid w:val="36394FC9"/>
    <w:rsid w:val="36DA5F15"/>
    <w:rsid w:val="38006C47"/>
    <w:rsid w:val="38162262"/>
    <w:rsid w:val="386E162C"/>
    <w:rsid w:val="389B33DC"/>
    <w:rsid w:val="39473DD2"/>
    <w:rsid w:val="39827E69"/>
    <w:rsid w:val="39AA6DE6"/>
    <w:rsid w:val="39CF3BA1"/>
    <w:rsid w:val="39D96878"/>
    <w:rsid w:val="3B7200CC"/>
    <w:rsid w:val="3B8B1B2B"/>
    <w:rsid w:val="3C8B54BF"/>
    <w:rsid w:val="3CAA30FF"/>
    <w:rsid w:val="3CE66DA8"/>
    <w:rsid w:val="3D44168A"/>
    <w:rsid w:val="3D620A24"/>
    <w:rsid w:val="3D7E6CB6"/>
    <w:rsid w:val="3E133645"/>
    <w:rsid w:val="3E58618A"/>
    <w:rsid w:val="3F085E5D"/>
    <w:rsid w:val="3FD922E1"/>
    <w:rsid w:val="3FE83928"/>
    <w:rsid w:val="40024C3F"/>
    <w:rsid w:val="40FB4D9E"/>
    <w:rsid w:val="410C375B"/>
    <w:rsid w:val="42274E97"/>
    <w:rsid w:val="426A2D11"/>
    <w:rsid w:val="428A239A"/>
    <w:rsid w:val="43077B42"/>
    <w:rsid w:val="430E4587"/>
    <w:rsid w:val="432D42B9"/>
    <w:rsid w:val="43EC7992"/>
    <w:rsid w:val="447656DC"/>
    <w:rsid w:val="44FF2CB4"/>
    <w:rsid w:val="45404DE9"/>
    <w:rsid w:val="45E22835"/>
    <w:rsid w:val="45F516FA"/>
    <w:rsid w:val="45FA6436"/>
    <w:rsid w:val="461C3EBF"/>
    <w:rsid w:val="47936C07"/>
    <w:rsid w:val="482C06E6"/>
    <w:rsid w:val="48363DC9"/>
    <w:rsid w:val="488E6072"/>
    <w:rsid w:val="48EA7A3F"/>
    <w:rsid w:val="492E5E32"/>
    <w:rsid w:val="49A13C08"/>
    <w:rsid w:val="49B639F8"/>
    <w:rsid w:val="49D02B57"/>
    <w:rsid w:val="4A1E6915"/>
    <w:rsid w:val="4AFF38B9"/>
    <w:rsid w:val="4C155EC3"/>
    <w:rsid w:val="4D441F51"/>
    <w:rsid w:val="4D9D0862"/>
    <w:rsid w:val="4DB35F0C"/>
    <w:rsid w:val="4DDD7E6B"/>
    <w:rsid w:val="4DF62692"/>
    <w:rsid w:val="4E924C50"/>
    <w:rsid w:val="4EC531CA"/>
    <w:rsid w:val="4EDC6099"/>
    <w:rsid w:val="4F6602C7"/>
    <w:rsid w:val="500A71F6"/>
    <w:rsid w:val="50B67744"/>
    <w:rsid w:val="53B20978"/>
    <w:rsid w:val="540470A3"/>
    <w:rsid w:val="54923AEA"/>
    <w:rsid w:val="549C5002"/>
    <w:rsid w:val="54E066C1"/>
    <w:rsid w:val="5508137E"/>
    <w:rsid w:val="55D83695"/>
    <w:rsid w:val="5625117B"/>
    <w:rsid w:val="56341D00"/>
    <w:rsid w:val="571F5C5D"/>
    <w:rsid w:val="57244CCA"/>
    <w:rsid w:val="57901E42"/>
    <w:rsid w:val="57912706"/>
    <w:rsid w:val="57F0178D"/>
    <w:rsid w:val="58C343C7"/>
    <w:rsid w:val="5A2344DE"/>
    <w:rsid w:val="5AC5457A"/>
    <w:rsid w:val="5AEE5D13"/>
    <w:rsid w:val="5C7761AA"/>
    <w:rsid w:val="5D077737"/>
    <w:rsid w:val="5D355AD0"/>
    <w:rsid w:val="5D4F73BC"/>
    <w:rsid w:val="5DB50869"/>
    <w:rsid w:val="5E8A66C4"/>
    <w:rsid w:val="5F7E0D4F"/>
    <w:rsid w:val="604168C6"/>
    <w:rsid w:val="608E4B93"/>
    <w:rsid w:val="616D1761"/>
    <w:rsid w:val="61A86601"/>
    <w:rsid w:val="620C54D3"/>
    <w:rsid w:val="624A5737"/>
    <w:rsid w:val="63DE6DE8"/>
    <w:rsid w:val="63E551BA"/>
    <w:rsid w:val="647D074E"/>
    <w:rsid w:val="64C42DB9"/>
    <w:rsid w:val="658D6E93"/>
    <w:rsid w:val="65BC31F8"/>
    <w:rsid w:val="65CB73FA"/>
    <w:rsid w:val="65EA7527"/>
    <w:rsid w:val="67182916"/>
    <w:rsid w:val="674468D4"/>
    <w:rsid w:val="67526935"/>
    <w:rsid w:val="676149FF"/>
    <w:rsid w:val="68EA5751"/>
    <w:rsid w:val="694C31EC"/>
    <w:rsid w:val="69B858A1"/>
    <w:rsid w:val="69DB12D7"/>
    <w:rsid w:val="6A8464C3"/>
    <w:rsid w:val="6AD11D6E"/>
    <w:rsid w:val="6BA32064"/>
    <w:rsid w:val="6C0A39B8"/>
    <w:rsid w:val="6C420A99"/>
    <w:rsid w:val="6C454769"/>
    <w:rsid w:val="6C9B5A61"/>
    <w:rsid w:val="6DEE5620"/>
    <w:rsid w:val="6EC071FD"/>
    <w:rsid w:val="6EEA4E48"/>
    <w:rsid w:val="6FBF7E8F"/>
    <w:rsid w:val="705A1C06"/>
    <w:rsid w:val="70D405ED"/>
    <w:rsid w:val="717F6F31"/>
    <w:rsid w:val="71FB7EE4"/>
    <w:rsid w:val="721E037F"/>
    <w:rsid w:val="721E0A51"/>
    <w:rsid w:val="73345D1D"/>
    <w:rsid w:val="73EE1E43"/>
    <w:rsid w:val="74DF39D5"/>
    <w:rsid w:val="74F6706D"/>
    <w:rsid w:val="75D868E2"/>
    <w:rsid w:val="75DA5574"/>
    <w:rsid w:val="760B506F"/>
    <w:rsid w:val="774C6E26"/>
    <w:rsid w:val="7869499D"/>
    <w:rsid w:val="78E966A8"/>
    <w:rsid w:val="791B6E19"/>
    <w:rsid w:val="79864C96"/>
    <w:rsid w:val="7ADF1219"/>
    <w:rsid w:val="7B8E7A09"/>
    <w:rsid w:val="7B912143"/>
    <w:rsid w:val="7BB81853"/>
    <w:rsid w:val="7C190443"/>
    <w:rsid w:val="7C4A6FCE"/>
    <w:rsid w:val="7C4D11B0"/>
    <w:rsid w:val="7D414D1C"/>
    <w:rsid w:val="7DDC6D1A"/>
    <w:rsid w:val="7EFA3AEF"/>
    <w:rsid w:val="7F2A03CE"/>
    <w:rsid w:val="7F341264"/>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标题 1 Char"/>
    <w:basedOn w:val="7"/>
    <w:link w:val="2"/>
    <w:qFormat/>
    <w:uiPriority w:val="9"/>
    <w:rPr>
      <w:rFonts w:cs="Calibri"/>
      <w:b/>
      <w:bCs/>
      <w:kern w:val="44"/>
      <w:sz w:val="44"/>
      <w:szCs w:val="44"/>
    </w:rPr>
  </w:style>
  <w:style w:type="character" w:customStyle="1" w:styleId="9">
    <w:name w:val="页脚 Char"/>
    <w:basedOn w:val="7"/>
    <w:link w:val="3"/>
    <w:semiHidden/>
    <w:qFormat/>
    <w:uiPriority w:val="99"/>
    <w:rPr>
      <w:rFonts w:cs="Calibri"/>
      <w:sz w:val="18"/>
      <w:szCs w:val="18"/>
    </w:rPr>
  </w:style>
  <w:style w:type="character" w:customStyle="1" w:styleId="10">
    <w:name w:val="页眉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37"/>
    <customShpInfo spid="_x0000_s1089"/>
    <customShpInfo spid="_x0000_s1090"/>
    <customShpInfo spid="_x0000_s1088"/>
    <customShpInfo spid="_x0000_s1032"/>
    <customShpInfo spid="_x0000_s1086"/>
    <customShpInfo spid="_x0000_s1087"/>
    <customShpInfo spid="_x0000_s1085"/>
    <customShpInfo spid="_x0000_s1026"/>
    <customShpInfo spid="_x0000_s1027"/>
    <customShpInfo spid="_x0000_s1028"/>
    <customShpInfo spid="_x0000_s1030"/>
    <customShpInfo spid="_x0000_s1031"/>
    <customShpInfo spid="_x0000_s1029"/>
    <customShpInfo spid="_x0000_s1036"/>
    <customShpInfo spid="_x0000_s1038"/>
    <customShpInfo spid="_x0000_s1039"/>
    <customShpInfo spid="_x0000_s1040"/>
    <customShpInfo spid="_x0000_s1042"/>
    <customShpInfo spid="_x0000_s1079"/>
    <customShpInfo spid="_x0000_s1080"/>
    <customShpInfo spid="_x0000_s1081"/>
    <customShpInfo spid="_x0000_s1082"/>
    <customShpInfo spid="_x0000_s1084"/>
    <customShpInfo spid="_x0000_s1083"/>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35</Pages>
  <Words>2170</Words>
  <Characters>12370</Characters>
  <Lines>103</Lines>
  <Paragraphs>29</Paragraphs>
  <TotalTime>0</TotalTime>
  <ScaleCrop>false</ScaleCrop>
  <LinksUpToDate>false</LinksUpToDate>
  <CharactersWithSpaces>14511</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2024-08-22T07:56:56Z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KSOTemplateUUID">
    <vt:lpwstr>v1.0_mb_S7ajbG3IpAnL1wSthNCxfw==</vt:lpwstr>
  </property>
  <property fmtid="{D5CDD505-2E9C-101B-9397-08002B2CF9AE}" pid="4" name="ICV">
    <vt:lpwstr>1515CEFC20754C3380B382230295B456</vt:lpwstr>
  </property>
</Properties>
</file>