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E5A7DE">
      <w:pPr>
        <w:rPr>
          <w:rFonts w:hint="default" w:ascii="Times New Roman" w:hAnsi="Times New Roman" w:eastAsia="方正小标宋简体" w:cs="Times New Roman"/>
          <w:sz w:val="44"/>
          <w:szCs w:val="44"/>
          <w:highlight w:val="none"/>
        </w:rPr>
      </w:pPr>
    </w:p>
    <w:p w14:paraId="23535BD4">
      <w:pPr>
        <w:widowControl/>
        <w:jc w:val="center"/>
        <w:rPr>
          <w:rFonts w:hint="default" w:ascii="Times New Roman" w:hAnsi="Times New Roman" w:cs="Times New Roman"/>
          <w:b/>
          <w:color w:val="000000"/>
          <w:sz w:val="36"/>
          <w:highlight w:val="none"/>
          <w:lang w:eastAsia="zh-CN"/>
        </w:rPr>
      </w:pPr>
      <w:r>
        <w:rPr>
          <w:rFonts w:hint="eastAsia" w:ascii="Times New Roman" w:hAnsi="Times New Roman" w:cs="Times New Roman"/>
          <w:b/>
          <w:color w:val="000000"/>
          <w:sz w:val="36"/>
          <w:highlight w:val="none"/>
          <w:lang w:val="en-US" w:eastAsia="zh-CN"/>
        </w:rPr>
        <w:t>河北中瓷电子科技股份有限公司新型元器件封装外壳及封装产业化升级项目</w:t>
      </w:r>
      <w:r>
        <w:rPr>
          <w:rFonts w:hint="default" w:ascii="Times New Roman" w:hAnsi="Times New Roman" w:cs="Times New Roman"/>
          <w:b/>
          <w:color w:val="000000"/>
          <w:sz w:val="36"/>
          <w:highlight w:val="none"/>
          <w:lang w:eastAsia="zh-CN"/>
        </w:rPr>
        <w:t>环境影响</w:t>
      </w:r>
      <w:r>
        <w:rPr>
          <w:rFonts w:hint="eastAsia" w:ascii="Times New Roman" w:hAnsi="Times New Roman" w:cs="Times New Roman"/>
          <w:b/>
          <w:color w:val="000000"/>
          <w:sz w:val="36"/>
          <w:highlight w:val="none"/>
          <w:lang w:eastAsia="zh-CN"/>
        </w:rPr>
        <w:t>报告书</w:t>
      </w:r>
      <w:r>
        <w:rPr>
          <w:rFonts w:hint="default" w:ascii="Times New Roman" w:hAnsi="Times New Roman" w:cs="Times New Roman"/>
          <w:b/>
          <w:color w:val="000000"/>
          <w:sz w:val="36"/>
          <w:highlight w:val="none"/>
          <w:lang w:eastAsia="zh-CN"/>
        </w:rPr>
        <w:t>技术评估报告</w:t>
      </w:r>
    </w:p>
    <w:p w14:paraId="2A75653D">
      <w:pPr>
        <w:snapToGrid w:val="0"/>
        <w:spacing w:line="600" w:lineRule="exact"/>
        <w:ind w:firstLine="646"/>
        <w:outlineLvl w:val="0"/>
        <w:rPr>
          <w:rFonts w:hint="default" w:ascii="Times New Roman" w:hAnsi="Times New Roman" w:eastAsia="仿宋" w:cs="Times New Roman"/>
          <w:b/>
          <w:bCs w:val="0"/>
          <w:color w:val="auto"/>
          <w:sz w:val="32"/>
          <w:szCs w:val="32"/>
          <w:highlight w:val="none"/>
          <w:lang w:val="en-US" w:eastAsia="zh-CN"/>
        </w:rPr>
      </w:pPr>
      <w:bookmarkStart w:id="0" w:name="_Toc5980"/>
      <w:r>
        <w:rPr>
          <w:rFonts w:hint="default" w:ascii="Times New Roman" w:hAnsi="Times New Roman" w:eastAsia="仿宋" w:cs="Times New Roman"/>
          <w:b/>
          <w:bCs w:val="0"/>
          <w:color w:val="auto"/>
          <w:sz w:val="32"/>
          <w:szCs w:val="32"/>
          <w:highlight w:val="none"/>
        </w:rPr>
        <w:t>一、</w:t>
      </w:r>
      <w:bookmarkEnd w:id="0"/>
      <w:r>
        <w:rPr>
          <w:rFonts w:hint="eastAsia" w:eastAsia="仿宋" w:cs="Times New Roman"/>
          <w:b/>
          <w:bCs w:val="0"/>
          <w:color w:val="auto"/>
          <w:sz w:val="32"/>
          <w:szCs w:val="32"/>
          <w:highlight w:val="none"/>
          <w:lang w:val="en-US" w:eastAsia="zh-CN"/>
        </w:rPr>
        <w:t>建设项目基本情况</w:t>
      </w:r>
    </w:p>
    <w:p w14:paraId="6358A482">
      <w:pPr>
        <w:adjustRightInd w:val="0"/>
        <w:snapToGrid w:val="0"/>
        <w:spacing w:line="600" w:lineRule="exact"/>
        <w:ind w:firstLine="643" w:firstLineChars="200"/>
        <w:rPr>
          <w:rFonts w:hint="eastAsia" w:ascii="Times New Roman" w:hAnsi="Times New Roman" w:eastAsia="仿宋" w:cs="Times New Roman"/>
          <w:b/>
          <w:bCs/>
          <w:color w:val="auto"/>
          <w:sz w:val="32"/>
          <w:szCs w:val="32"/>
          <w:highlight w:val="none"/>
          <w:lang w:eastAsia="zh-CN"/>
        </w:rPr>
      </w:pPr>
      <w:r>
        <w:rPr>
          <w:rFonts w:hint="eastAsia" w:eastAsia="仿宋" w:cs="Times New Roman"/>
          <w:b/>
          <w:bCs/>
          <w:color w:val="auto"/>
          <w:sz w:val="32"/>
          <w:szCs w:val="32"/>
          <w:highlight w:val="none"/>
          <w:lang w:val="en-US" w:eastAsia="zh-CN"/>
        </w:rPr>
        <w:t>1</w:t>
      </w:r>
      <w:r>
        <w:rPr>
          <w:rFonts w:hint="default" w:ascii="Times New Roman" w:hAnsi="Times New Roman" w:eastAsia="仿宋" w:cs="Times New Roman"/>
          <w:b/>
          <w:bCs/>
          <w:color w:val="auto"/>
          <w:sz w:val="32"/>
          <w:szCs w:val="32"/>
          <w:highlight w:val="none"/>
          <w:lang w:val="en-US" w:eastAsia="zh-CN"/>
        </w:rPr>
        <w:t>、</w:t>
      </w:r>
      <w:r>
        <w:rPr>
          <w:rFonts w:hint="default" w:ascii="Times New Roman" w:hAnsi="Times New Roman" w:eastAsia="仿宋" w:cs="Times New Roman"/>
          <w:b/>
          <w:bCs/>
          <w:color w:val="auto"/>
          <w:sz w:val="32"/>
          <w:szCs w:val="32"/>
          <w:highlight w:val="none"/>
        </w:rPr>
        <w:t>项目</w:t>
      </w:r>
      <w:r>
        <w:rPr>
          <w:rFonts w:hint="eastAsia" w:eastAsia="仿宋" w:cs="Times New Roman"/>
          <w:b/>
          <w:bCs/>
          <w:color w:val="auto"/>
          <w:sz w:val="32"/>
          <w:szCs w:val="32"/>
          <w:highlight w:val="none"/>
          <w:lang w:val="en-US" w:eastAsia="zh-CN"/>
        </w:rPr>
        <w:t>概况</w:t>
      </w:r>
    </w:p>
    <w:p w14:paraId="48B27397">
      <w:pPr>
        <w:adjustRightInd w:val="0"/>
        <w:snapToGrid w:val="0"/>
        <w:spacing w:line="600" w:lineRule="exact"/>
        <w:ind w:firstLine="640" w:firstLineChars="200"/>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（1）项目名称：</w:t>
      </w:r>
      <w:r>
        <w:rPr>
          <w:rFonts w:hint="default" w:ascii="Times New Roman" w:hAnsi="Times New Roman" w:eastAsia="仿宋" w:cs="Times New Roman"/>
          <w:color w:val="auto"/>
          <w:sz w:val="32"/>
          <w:szCs w:val="32"/>
          <w:highlight w:val="none"/>
          <w:lang w:eastAsia="zh-CN"/>
        </w:rPr>
        <w:t>河型元器件封装外壳及封装产业化升级项目</w:t>
      </w:r>
    </w:p>
    <w:p w14:paraId="643B544E">
      <w:pPr>
        <w:adjustRightInd w:val="0"/>
        <w:snapToGrid w:val="0"/>
        <w:spacing w:line="600" w:lineRule="exact"/>
        <w:ind w:firstLine="640" w:firstLineChars="200"/>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（2）建设单位：</w:t>
      </w:r>
      <w:r>
        <w:rPr>
          <w:rFonts w:hint="default" w:ascii="Times New Roman" w:hAnsi="Times New Roman" w:eastAsia="仿宋" w:cs="Times New Roman"/>
          <w:color w:val="auto"/>
          <w:sz w:val="32"/>
          <w:szCs w:val="32"/>
          <w:highlight w:val="none"/>
          <w:lang w:eastAsia="zh-CN"/>
        </w:rPr>
        <w:t>河北中瓷电子科技股份有限公司</w:t>
      </w:r>
    </w:p>
    <w:p w14:paraId="2C912771">
      <w:pPr>
        <w:adjustRightInd w:val="0"/>
        <w:snapToGrid w:val="0"/>
        <w:spacing w:line="600" w:lineRule="exact"/>
        <w:ind w:firstLine="640" w:firstLineChars="200"/>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（3）建设性质：改扩建</w:t>
      </w:r>
    </w:p>
    <w:p w14:paraId="0CA613C6">
      <w:pPr>
        <w:adjustRightInd w:val="0"/>
        <w:snapToGrid w:val="0"/>
        <w:spacing w:line="600" w:lineRule="exact"/>
        <w:ind w:firstLine="640" w:firstLineChars="200"/>
        <w:rPr>
          <w:rFonts w:hint="default" w:ascii="Times New Roman" w:hAnsi="Times New Roman" w:eastAsia="仿宋" w:cs="Times New Roman"/>
          <w:color w:val="auto"/>
          <w:sz w:val="32"/>
          <w:szCs w:val="32"/>
          <w:highlight w:val="none"/>
          <w:lang w:eastAsia="zh-CN"/>
        </w:rPr>
      </w:pPr>
      <w:r>
        <w:rPr>
          <w:rFonts w:hint="default" w:ascii="Times New Roman" w:hAnsi="Times New Roman" w:eastAsia="仿宋" w:cs="Times New Roman"/>
          <w:color w:val="auto"/>
          <w:sz w:val="32"/>
          <w:szCs w:val="32"/>
          <w:highlight w:val="none"/>
        </w:rPr>
        <w:t>（4）建设地点：</w:t>
      </w:r>
      <w:r>
        <w:rPr>
          <w:rFonts w:hint="default" w:ascii="Times New Roman" w:hAnsi="Times New Roman" w:eastAsia="仿宋" w:cs="Times New Roman"/>
          <w:color w:val="auto"/>
          <w:sz w:val="32"/>
          <w:szCs w:val="32"/>
          <w:highlight w:val="none"/>
          <w:lang w:val="en-US" w:eastAsia="zh-CN"/>
        </w:rPr>
        <w:t>河北鹿泉经济开发区昌盛大街21号中国电科十三所信息产业园C2厂房。项目中心坐标：东经114.351225689°、北纬38.052662542°。项目西侧为申兴大街，东侧40米自南向北有6栋中国电科十三所信息产业园职工倒班宿舍楼，东侧130米为十三所职工住宅区，南面隔路为中国电科十三所信息产业园职工活动中心，北面为国家半导体监督检验中心。</w:t>
      </w:r>
    </w:p>
    <w:p w14:paraId="0111EDB9">
      <w:pPr>
        <w:adjustRightInd w:val="0"/>
        <w:snapToGrid w:val="0"/>
        <w:spacing w:line="600" w:lineRule="exact"/>
        <w:ind w:firstLine="640" w:firstLineChars="200"/>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w:t>
      </w:r>
      <w:r>
        <w:rPr>
          <w:rFonts w:hint="default" w:ascii="Times New Roman" w:hAnsi="Times New Roman" w:eastAsia="仿宋" w:cs="Times New Roman"/>
          <w:color w:val="auto"/>
          <w:sz w:val="32"/>
          <w:szCs w:val="32"/>
          <w:highlight w:val="none"/>
          <w:lang w:val="en-US" w:eastAsia="zh-CN"/>
        </w:rPr>
        <w:t>5</w:t>
      </w:r>
      <w:r>
        <w:rPr>
          <w:rFonts w:hint="default" w:ascii="Times New Roman" w:hAnsi="Times New Roman" w:eastAsia="仿宋" w:cs="Times New Roman"/>
          <w:color w:val="auto"/>
          <w:sz w:val="32"/>
          <w:szCs w:val="32"/>
          <w:highlight w:val="none"/>
        </w:rPr>
        <w:t>）建设规模：年产4000万只新型元器件封装外壳。</w:t>
      </w:r>
    </w:p>
    <w:p w14:paraId="4D6BFC87">
      <w:pPr>
        <w:adjustRightInd w:val="0"/>
        <w:snapToGrid w:val="0"/>
        <w:spacing w:line="600" w:lineRule="exact"/>
        <w:ind w:firstLine="640" w:firstLineChars="200"/>
        <w:rPr>
          <w:rFonts w:hint="default" w:ascii="Times New Roman" w:hAnsi="Times New Roman" w:eastAsia="仿宋" w:cs="Times New Roman"/>
          <w:color w:val="auto"/>
          <w:sz w:val="32"/>
          <w:szCs w:val="32"/>
          <w:highlight w:val="none"/>
          <w:lang w:val="en-US" w:eastAsia="zh-CN"/>
        </w:rPr>
      </w:pPr>
      <w:r>
        <w:rPr>
          <w:rFonts w:hint="default" w:ascii="Times New Roman" w:hAnsi="Times New Roman" w:eastAsia="仿宋" w:cs="Times New Roman"/>
          <w:color w:val="auto"/>
          <w:sz w:val="32"/>
          <w:szCs w:val="32"/>
          <w:highlight w:val="none"/>
        </w:rPr>
        <w:t>（</w:t>
      </w:r>
      <w:r>
        <w:rPr>
          <w:rFonts w:hint="default" w:ascii="Times New Roman" w:hAnsi="Times New Roman" w:eastAsia="仿宋" w:cs="Times New Roman"/>
          <w:color w:val="auto"/>
          <w:sz w:val="32"/>
          <w:szCs w:val="32"/>
          <w:highlight w:val="none"/>
          <w:lang w:val="en-US" w:eastAsia="zh-CN"/>
        </w:rPr>
        <w:t>6</w:t>
      </w:r>
      <w:r>
        <w:rPr>
          <w:rFonts w:hint="default" w:ascii="Times New Roman" w:hAnsi="Times New Roman" w:eastAsia="仿宋" w:cs="Times New Roman"/>
          <w:color w:val="auto"/>
          <w:sz w:val="32"/>
          <w:szCs w:val="32"/>
          <w:highlight w:val="none"/>
        </w:rPr>
        <w:t xml:space="preserve">）工程投资：项目投资 </w:t>
      </w:r>
      <w:r>
        <w:rPr>
          <w:rFonts w:hint="default" w:ascii="Times New Roman" w:hAnsi="Times New Roman" w:eastAsia="仿宋" w:cs="Times New Roman"/>
          <w:color w:val="auto"/>
          <w:sz w:val="32"/>
          <w:szCs w:val="32"/>
          <w:highlight w:val="none"/>
          <w:lang w:val="en-US" w:eastAsia="zh-CN"/>
        </w:rPr>
        <w:t>7786.691</w:t>
      </w:r>
      <w:r>
        <w:rPr>
          <w:rFonts w:hint="default" w:ascii="Times New Roman" w:hAnsi="Times New Roman" w:eastAsia="仿宋" w:cs="Times New Roman"/>
          <w:color w:val="auto"/>
          <w:sz w:val="32"/>
          <w:szCs w:val="32"/>
          <w:highlight w:val="none"/>
        </w:rPr>
        <w:t>万元，项目环保投资1</w:t>
      </w:r>
      <w:r>
        <w:rPr>
          <w:rFonts w:hint="default" w:ascii="Times New Roman" w:hAnsi="Times New Roman" w:eastAsia="仿宋" w:cs="Times New Roman"/>
          <w:color w:val="auto"/>
          <w:sz w:val="32"/>
          <w:szCs w:val="32"/>
          <w:highlight w:val="none"/>
          <w:lang w:val="en-US" w:eastAsia="zh-CN"/>
        </w:rPr>
        <w:t>00</w:t>
      </w:r>
      <w:r>
        <w:rPr>
          <w:rFonts w:hint="default" w:ascii="Times New Roman" w:hAnsi="Times New Roman" w:eastAsia="仿宋" w:cs="Times New Roman"/>
          <w:color w:val="auto"/>
          <w:sz w:val="32"/>
          <w:szCs w:val="32"/>
          <w:highlight w:val="none"/>
        </w:rPr>
        <w:t>万元，占项目总投资的1</w:t>
      </w:r>
      <w:r>
        <w:rPr>
          <w:rFonts w:hint="default" w:ascii="Times New Roman" w:hAnsi="Times New Roman" w:eastAsia="仿宋" w:cs="Times New Roman"/>
          <w:color w:val="auto"/>
          <w:sz w:val="32"/>
          <w:szCs w:val="32"/>
          <w:highlight w:val="none"/>
          <w:lang w:val="en-US" w:eastAsia="zh-CN"/>
        </w:rPr>
        <w:t>.28</w:t>
      </w:r>
      <w:r>
        <w:rPr>
          <w:rFonts w:hint="default" w:ascii="Times New Roman" w:hAnsi="Times New Roman" w:eastAsia="仿宋" w:cs="Times New Roman"/>
          <w:color w:val="auto"/>
          <w:sz w:val="32"/>
          <w:szCs w:val="32"/>
          <w:highlight w:val="none"/>
        </w:rPr>
        <w:t>%</w:t>
      </w:r>
      <w:r>
        <w:rPr>
          <w:rFonts w:hint="default" w:ascii="Times New Roman" w:hAnsi="Times New Roman" w:eastAsia="仿宋" w:cs="Times New Roman"/>
          <w:color w:val="auto"/>
          <w:sz w:val="32"/>
          <w:szCs w:val="32"/>
          <w:highlight w:val="none"/>
          <w:lang w:val="en-US" w:eastAsia="zh-CN"/>
        </w:rPr>
        <w:t>。</w:t>
      </w:r>
    </w:p>
    <w:p w14:paraId="6575798A">
      <w:pPr>
        <w:adjustRightInd w:val="0"/>
        <w:snapToGrid w:val="0"/>
        <w:spacing w:line="600" w:lineRule="exact"/>
        <w:ind w:firstLine="640" w:firstLineChars="200"/>
        <w:rPr>
          <w:rFonts w:hint="default" w:ascii="Times New Roman" w:hAnsi="Times New Roman" w:eastAsia="仿宋" w:cs="Times New Roman"/>
          <w:color w:val="auto"/>
          <w:sz w:val="32"/>
          <w:szCs w:val="32"/>
          <w:highlight w:val="none"/>
          <w:lang w:val="en-US" w:eastAsia="zh-CN"/>
        </w:rPr>
      </w:pPr>
      <w:r>
        <w:rPr>
          <w:rFonts w:hint="default" w:ascii="Times New Roman" w:hAnsi="Times New Roman" w:eastAsia="仿宋" w:cs="Times New Roman"/>
          <w:color w:val="auto"/>
          <w:sz w:val="32"/>
          <w:szCs w:val="32"/>
          <w:highlight w:val="none"/>
        </w:rPr>
        <w:t>（</w:t>
      </w:r>
      <w:r>
        <w:rPr>
          <w:rFonts w:hint="default" w:ascii="Times New Roman" w:hAnsi="Times New Roman" w:eastAsia="仿宋" w:cs="Times New Roman"/>
          <w:color w:val="auto"/>
          <w:sz w:val="32"/>
          <w:szCs w:val="32"/>
          <w:highlight w:val="none"/>
          <w:lang w:val="en-US" w:eastAsia="zh-CN"/>
        </w:rPr>
        <w:t>7</w:t>
      </w:r>
      <w:r>
        <w:rPr>
          <w:rFonts w:hint="default" w:ascii="Times New Roman" w:hAnsi="Times New Roman" w:eastAsia="仿宋" w:cs="Times New Roman"/>
          <w:color w:val="auto"/>
          <w:sz w:val="32"/>
          <w:szCs w:val="32"/>
          <w:highlight w:val="none"/>
        </w:rPr>
        <w:t>）劳动定员及工作制度</w:t>
      </w:r>
      <w:r>
        <w:rPr>
          <w:rFonts w:hint="default" w:ascii="Times New Roman" w:hAnsi="Times New Roman" w:eastAsia="仿宋" w:cs="Times New Roman"/>
          <w:color w:val="auto"/>
          <w:sz w:val="32"/>
          <w:szCs w:val="32"/>
          <w:highlight w:val="none"/>
          <w:lang w:eastAsia="zh-CN"/>
        </w:rPr>
        <w:t>：</w:t>
      </w:r>
      <w:r>
        <w:rPr>
          <w:rFonts w:hint="default" w:ascii="Times New Roman" w:hAnsi="Times New Roman" w:eastAsia="仿宋" w:cs="Times New Roman"/>
          <w:color w:val="auto"/>
          <w:sz w:val="32"/>
          <w:szCs w:val="32"/>
          <w:highlight w:val="none"/>
        </w:rPr>
        <w:t>本项目不新增劳动定员</w:t>
      </w:r>
      <w:r>
        <w:rPr>
          <w:rFonts w:hint="eastAsia" w:ascii="Times New Roman" w:hAnsi="Times New Roman" w:eastAsia="仿宋" w:cs="Times New Roman"/>
          <w:color w:val="auto"/>
          <w:sz w:val="32"/>
          <w:szCs w:val="32"/>
          <w:highlight w:val="none"/>
          <w:lang w:val="en-US" w:eastAsia="zh-CN"/>
        </w:rPr>
        <w:t>，本项目生产每天三班，年工作</w:t>
      </w:r>
      <w:r>
        <w:rPr>
          <w:rFonts w:hint="default" w:ascii="Times New Roman" w:hAnsi="Times New Roman" w:eastAsia="仿宋" w:cs="Times New Roman"/>
          <w:color w:val="auto"/>
          <w:sz w:val="32"/>
          <w:szCs w:val="32"/>
          <w:highlight w:val="none"/>
          <w:lang w:val="en-US" w:eastAsia="zh-CN"/>
        </w:rPr>
        <w:t>260</w:t>
      </w:r>
      <w:r>
        <w:rPr>
          <w:rFonts w:hint="eastAsia" w:ascii="Times New Roman" w:hAnsi="Times New Roman" w:eastAsia="仿宋" w:cs="Times New Roman"/>
          <w:color w:val="auto"/>
          <w:sz w:val="32"/>
          <w:szCs w:val="32"/>
          <w:highlight w:val="none"/>
          <w:lang w:val="en-US" w:eastAsia="zh-CN"/>
        </w:rPr>
        <w:t>天</w:t>
      </w:r>
      <w:r>
        <w:rPr>
          <w:rFonts w:hint="default" w:ascii="Times New Roman" w:hAnsi="Times New Roman" w:eastAsia="仿宋" w:cs="Times New Roman"/>
          <w:color w:val="auto"/>
          <w:sz w:val="32"/>
          <w:szCs w:val="32"/>
          <w:highlight w:val="none"/>
          <w:lang w:val="en-US" w:eastAsia="zh-CN"/>
        </w:rPr>
        <w:t>。</w:t>
      </w:r>
    </w:p>
    <w:p w14:paraId="3D9148DD">
      <w:pPr>
        <w:adjustRightInd w:val="0"/>
        <w:snapToGrid w:val="0"/>
        <w:spacing w:line="600" w:lineRule="exact"/>
        <w:ind w:firstLine="640" w:firstLineChars="200"/>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w:t>
      </w:r>
      <w:r>
        <w:rPr>
          <w:rFonts w:hint="default" w:ascii="Times New Roman" w:hAnsi="Times New Roman" w:eastAsia="仿宋" w:cs="Times New Roman"/>
          <w:color w:val="auto"/>
          <w:sz w:val="32"/>
          <w:szCs w:val="32"/>
          <w:highlight w:val="none"/>
          <w:lang w:val="en-US" w:eastAsia="zh-CN"/>
        </w:rPr>
        <w:t>8</w:t>
      </w:r>
      <w:r>
        <w:rPr>
          <w:rFonts w:hint="default" w:ascii="Times New Roman" w:hAnsi="Times New Roman" w:eastAsia="仿宋" w:cs="Times New Roman"/>
          <w:color w:val="auto"/>
          <w:sz w:val="32"/>
          <w:szCs w:val="32"/>
          <w:highlight w:val="none"/>
        </w:rPr>
        <w:t>）平面布置</w:t>
      </w:r>
    </w:p>
    <w:p w14:paraId="2945ADC3">
      <w:pPr>
        <w:adjustRightInd w:val="0"/>
        <w:snapToGrid w:val="0"/>
        <w:spacing w:line="600" w:lineRule="exact"/>
        <w:ind w:firstLine="640" w:firstLineChars="200"/>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以土地证边界作为厂界。污水站不新增构筑物，布置在厂房北部；电镀生产线均布置在厂房四层东部；钎焊生产线布置在厂房四层西北部；前道工序不新增设备，位置不变。</w:t>
      </w:r>
    </w:p>
    <w:p w14:paraId="234F987B">
      <w:pPr>
        <w:adjustRightInd w:val="0"/>
        <w:snapToGrid w:val="0"/>
        <w:spacing w:line="600" w:lineRule="exact"/>
        <w:ind w:firstLine="640" w:firstLineChars="200"/>
        <w:rPr>
          <w:rFonts w:hint="default" w:ascii="Times New Roman" w:hAnsi="Times New Roman" w:eastAsia="仿宋" w:cs="Times New Roman"/>
          <w:strike w:val="0"/>
          <w:dstrike w:val="0"/>
          <w:color w:val="auto"/>
          <w:sz w:val="32"/>
          <w:szCs w:val="32"/>
          <w:highlight w:val="none"/>
        </w:rPr>
      </w:pPr>
      <w:r>
        <w:rPr>
          <w:rFonts w:hint="eastAsia" w:eastAsia="仿宋" w:cs="Times New Roman"/>
          <w:color w:val="auto"/>
          <w:sz w:val="32"/>
          <w:szCs w:val="32"/>
          <w:highlight w:val="none"/>
          <w:lang w:eastAsia="zh-CN"/>
        </w:rPr>
        <w:t>（</w:t>
      </w:r>
      <w:r>
        <w:rPr>
          <w:rFonts w:hint="eastAsia" w:eastAsia="仿宋" w:cs="Times New Roman"/>
          <w:color w:val="auto"/>
          <w:sz w:val="32"/>
          <w:szCs w:val="32"/>
          <w:highlight w:val="none"/>
          <w:lang w:val="en-US" w:eastAsia="zh-CN"/>
        </w:rPr>
        <w:t>10</w:t>
      </w:r>
      <w:r>
        <w:rPr>
          <w:rFonts w:hint="eastAsia" w:eastAsia="仿宋" w:cs="Times New Roman"/>
          <w:color w:val="auto"/>
          <w:sz w:val="32"/>
          <w:szCs w:val="32"/>
          <w:highlight w:val="none"/>
          <w:lang w:eastAsia="zh-CN"/>
        </w:rPr>
        <w:t>）</w:t>
      </w:r>
      <w:r>
        <w:rPr>
          <w:rFonts w:hint="eastAsia" w:ascii="Times New Roman" w:hAnsi="Times New Roman" w:eastAsia="仿宋" w:cs="Times New Roman"/>
          <w:color w:val="auto"/>
          <w:sz w:val="32"/>
          <w:szCs w:val="32"/>
          <w:highlight w:val="none"/>
          <w:lang w:val="en-US" w:eastAsia="zh-CN"/>
        </w:rPr>
        <w:t>工程</w:t>
      </w:r>
      <w:r>
        <w:rPr>
          <w:rFonts w:hint="default" w:ascii="Times New Roman" w:hAnsi="Times New Roman" w:eastAsia="仿宋" w:cs="Times New Roman"/>
          <w:color w:val="auto"/>
          <w:sz w:val="32"/>
          <w:szCs w:val="32"/>
          <w:highlight w:val="none"/>
        </w:rPr>
        <w:t>内容：</w:t>
      </w:r>
      <w:r>
        <w:rPr>
          <w:rFonts w:hint="default" w:ascii="Times New Roman" w:hAnsi="Times New Roman" w:eastAsia="仿宋" w:cs="Times New Roman"/>
          <w:color w:val="auto"/>
          <w:sz w:val="32"/>
          <w:szCs w:val="32"/>
          <w:highlight w:val="none"/>
          <w:lang w:eastAsia="zh-CN"/>
        </w:rPr>
        <w:t>利用现有厂房2700平方米，新增钎焊等后道生产设备、零排放废水处理设备，扩建新型元器件封装外壳及封装生产线。。</w:t>
      </w:r>
    </w:p>
    <w:p w14:paraId="2A3445AE">
      <w:pPr>
        <w:adjustRightInd w:val="0"/>
        <w:snapToGrid w:val="0"/>
        <w:spacing w:line="600" w:lineRule="exact"/>
        <w:ind w:firstLine="643" w:firstLineChars="200"/>
        <w:rPr>
          <w:rFonts w:hint="default" w:eastAsia="仿宋" w:cs="Times New Roman"/>
          <w:b/>
          <w:bCs/>
          <w:color w:val="auto"/>
          <w:sz w:val="32"/>
          <w:szCs w:val="32"/>
          <w:highlight w:val="none"/>
          <w:lang w:val="en-US" w:eastAsia="zh-CN"/>
        </w:rPr>
      </w:pPr>
      <w:r>
        <w:rPr>
          <w:rFonts w:hint="eastAsia" w:eastAsia="仿宋" w:cs="Times New Roman"/>
          <w:b/>
          <w:bCs/>
          <w:color w:val="auto"/>
          <w:sz w:val="32"/>
          <w:szCs w:val="32"/>
          <w:highlight w:val="none"/>
          <w:lang w:val="en-US" w:eastAsia="zh-CN"/>
        </w:rPr>
        <w:t>2</w:t>
      </w:r>
      <w:r>
        <w:rPr>
          <w:rFonts w:hint="default" w:ascii="Times New Roman" w:hAnsi="Times New Roman" w:eastAsia="仿宋" w:cs="Times New Roman"/>
          <w:b/>
          <w:bCs/>
          <w:color w:val="auto"/>
          <w:sz w:val="32"/>
          <w:szCs w:val="32"/>
          <w:highlight w:val="none"/>
          <w:lang w:val="en-US" w:eastAsia="zh-CN"/>
        </w:rPr>
        <w:t>、</w:t>
      </w:r>
      <w:r>
        <w:rPr>
          <w:rFonts w:hint="eastAsia" w:eastAsia="仿宋" w:cs="Times New Roman"/>
          <w:b/>
          <w:bCs/>
          <w:color w:val="auto"/>
          <w:sz w:val="32"/>
          <w:szCs w:val="32"/>
          <w:highlight w:val="none"/>
          <w:lang w:val="en-US" w:eastAsia="zh-CN"/>
        </w:rPr>
        <w:t>项目衔接</w:t>
      </w:r>
    </w:p>
    <w:p w14:paraId="20279A07">
      <w:pPr>
        <w:adjustRightInd w:val="0"/>
        <w:snapToGrid w:val="0"/>
        <w:spacing w:line="600" w:lineRule="exact"/>
        <w:ind w:firstLine="640" w:firstLineChars="200"/>
        <w:rPr>
          <w:rFonts w:hint="eastAsia" w:eastAsia="仿宋" w:cs="Times New Roman"/>
          <w:b w:val="0"/>
          <w:bCs w:val="0"/>
          <w:color w:val="auto"/>
          <w:sz w:val="32"/>
          <w:szCs w:val="32"/>
          <w:highlight w:val="none"/>
          <w:lang w:val="en-US" w:eastAsia="zh-CN"/>
        </w:rPr>
      </w:pPr>
      <w:r>
        <w:rPr>
          <w:rFonts w:hint="eastAsia" w:eastAsia="仿宋" w:cs="Times New Roman"/>
          <w:b w:val="0"/>
          <w:bCs w:val="0"/>
          <w:color w:val="auto"/>
          <w:sz w:val="32"/>
          <w:szCs w:val="32"/>
          <w:highlight w:val="none"/>
          <w:lang w:val="en-US" w:eastAsia="zh-CN"/>
        </w:rPr>
        <w:t>（1）给排水</w:t>
      </w:r>
    </w:p>
    <w:p w14:paraId="1282BA21">
      <w:pPr>
        <w:adjustRightInd w:val="0"/>
        <w:snapToGrid w:val="0"/>
        <w:spacing w:line="600" w:lineRule="exact"/>
        <w:ind w:firstLine="640" w:firstLineChars="200"/>
        <w:rPr>
          <w:rFonts w:hint="eastAsia" w:ascii="Times New Roman" w:hAnsi="Times New Roman" w:eastAsia="仿宋" w:cs="Times New Roman"/>
          <w:b w:val="0"/>
          <w:bCs w:val="0"/>
          <w:color w:val="auto"/>
          <w:sz w:val="32"/>
          <w:szCs w:val="32"/>
          <w:highlight w:val="none"/>
          <w:lang w:val="en-US" w:eastAsia="zh-CN"/>
        </w:rPr>
      </w:pPr>
      <w:r>
        <w:rPr>
          <w:rFonts w:hint="eastAsia" w:eastAsia="仿宋" w:cs="Times New Roman"/>
          <w:b w:val="0"/>
          <w:bCs w:val="0"/>
          <w:color w:val="auto"/>
          <w:sz w:val="32"/>
          <w:szCs w:val="32"/>
          <w:highlight w:val="none"/>
          <w:lang w:val="en-US" w:eastAsia="zh-CN"/>
        </w:rPr>
        <w:t>①给水：</w:t>
      </w:r>
      <w:r>
        <w:rPr>
          <w:rFonts w:hint="eastAsia" w:ascii="Times New Roman" w:hAnsi="Times New Roman" w:eastAsia="仿宋" w:cs="Times New Roman"/>
          <w:b w:val="0"/>
          <w:bCs w:val="0"/>
          <w:color w:val="auto"/>
          <w:sz w:val="32"/>
          <w:szCs w:val="32"/>
          <w:highlight w:val="none"/>
          <w:lang w:val="en-US" w:eastAsia="zh-CN"/>
        </w:rPr>
        <w:t>本项目不新增劳动定员，不新增职工生活用水。</w:t>
      </w:r>
    </w:p>
    <w:p w14:paraId="410EE355">
      <w:pPr>
        <w:adjustRightInd w:val="0"/>
        <w:snapToGrid w:val="0"/>
        <w:spacing w:line="600" w:lineRule="exact"/>
        <w:ind w:firstLine="640" w:firstLineChars="200"/>
        <w:rPr>
          <w:rFonts w:hint="eastAsia" w:ascii="Times New Roman" w:hAnsi="Times New Roman" w:eastAsia="仿宋" w:cs="Times New Roman"/>
          <w:b w:val="0"/>
          <w:bCs w:val="0"/>
          <w:color w:val="auto"/>
          <w:sz w:val="32"/>
          <w:szCs w:val="32"/>
          <w:highlight w:val="none"/>
          <w:lang w:val="en-US" w:eastAsia="zh-CN"/>
        </w:rPr>
      </w:pPr>
      <w:r>
        <w:rPr>
          <w:rFonts w:hint="eastAsia" w:ascii="Times New Roman" w:hAnsi="Times New Roman" w:eastAsia="仿宋" w:cs="Times New Roman"/>
          <w:b w:val="0"/>
          <w:bCs w:val="0"/>
          <w:color w:val="auto"/>
          <w:sz w:val="32"/>
          <w:szCs w:val="32"/>
          <w:highlight w:val="none"/>
          <w:lang w:val="en-US" w:eastAsia="zh-CN"/>
        </w:rPr>
        <w:t>生产用水包括各工艺槽液配制用水、冲洗用水、废气洗涤塔用水，均使用再生水。</w:t>
      </w:r>
    </w:p>
    <w:p w14:paraId="369DCFF9">
      <w:pPr>
        <w:adjustRightInd w:val="0"/>
        <w:snapToGrid w:val="0"/>
        <w:spacing w:line="600" w:lineRule="exact"/>
        <w:ind w:firstLine="640" w:firstLineChars="200"/>
        <w:rPr>
          <w:rFonts w:hint="eastAsia" w:ascii="Times New Roman" w:hAnsi="Times New Roman" w:eastAsia="仿宋" w:cs="Times New Roman"/>
          <w:b w:val="0"/>
          <w:bCs w:val="0"/>
          <w:color w:val="auto"/>
          <w:sz w:val="32"/>
          <w:szCs w:val="32"/>
          <w:highlight w:val="none"/>
          <w:lang w:val="en-US" w:eastAsia="zh-CN"/>
        </w:rPr>
      </w:pPr>
      <w:r>
        <w:rPr>
          <w:rFonts w:hint="eastAsia" w:ascii="Times New Roman" w:hAnsi="Times New Roman" w:eastAsia="仿宋" w:cs="Times New Roman"/>
          <w:b w:val="0"/>
          <w:bCs w:val="0"/>
          <w:color w:val="auto"/>
          <w:sz w:val="32"/>
          <w:szCs w:val="32"/>
          <w:highlight w:val="none"/>
          <w:lang w:val="en-US" w:eastAsia="zh-CN"/>
        </w:rPr>
        <w:t>项目用水新鲜水由西山站水厂供给，再生水由污水站供给。</w:t>
      </w:r>
    </w:p>
    <w:p w14:paraId="024340A6">
      <w:pPr>
        <w:adjustRightInd w:val="0"/>
        <w:snapToGrid w:val="0"/>
        <w:spacing w:line="600" w:lineRule="exact"/>
        <w:ind w:firstLine="640" w:firstLineChars="200"/>
        <w:rPr>
          <w:rFonts w:hint="eastAsia" w:eastAsia="仿宋" w:cs="Times New Roman"/>
          <w:b w:val="0"/>
          <w:bCs w:val="0"/>
          <w:color w:val="auto"/>
          <w:sz w:val="32"/>
          <w:szCs w:val="32"/>
          <w:highlight w:val="none"/>
          <w:lang w:val="en-US" w:eastAsia="zh-CN"/>
        </w:rPr>
      </w:pPr>
      <w:r>
        <w:rPr>
          <w:rFonts w:hint="eastAsia" w:eastAsia="仿宋" w:cs="Times New Roman"/>
          <w:b w:val="0"/>
          <w:bCs w:val="0"/>
          <w:color w:val="auto"/>
          <w:sz w:val="32"/>
          <w:szCs w:val="32"/>
          <w:highlight w:val="none"/>
          <w:lang w:val="en-US" w:eastAsia="zh-CN"/>
        </w:rPr>
        <w:t>②排水：项目废水主要为生产废水、废槽液。</w:t>
      </w:r>
    </w:p>
    <w:p w14:paraId="4757A571">
      <w:pPr>
        <w:adjustRightInd w:val="0"/>
        <w:snapToGrid w:val="0"/>
        <w:spacing w:line="600" w:lineRule="exact"/>
        <w:ind w:firstLine="640" w:firstLineChars="200"/>
        <w:rPr>
          <w:rFonts w:hint="eastAsia" w:eastAsia="仿宋" w:cs="Times New Roman"/>
          <w:b w:val="0"/>
          <w:bCs w:val="0"/>
          <w:color w:val="auto"/>
          <w:sz w:val="32"/>
          <w:szCs w:val="32"/>
          <w:highlight w:val="none"/>
          <w:lang w:val="en-US" w:eastAsia="zh-CN"/>
        </w:rPr>
      </w:pPr>
      <w:r>
        <w:rPr>
          <w:rFonts w:hint="eastAsia" w:eastAsia="仿宋" w:cs="Times New Roman"/>
          <w:b w:val="0"/>
          <w:bCs w:val="0"/>
          <w:color w:val="auto"/>
          <w:sz w:val="32"/>
          <w:szCs w:val="32"/>
          <w:highlight w:val="none"/>
          <w:lang w:val="en-US" w:eastAsia="zh-CN"/>
        </w:rPr>
        <w:t>生产废水包括酸碱废水、含氰废水、含铬废水、含镍废水、其他废水五部分。各部分废水单独收集、单独处理，其中含铬废水、含镍废水要在车间排放口设置监控点。含氰废水排入破氰池破氰处理后排入污水站进一步处理，达到回用标准后回用于生产。破氰池设置在厂房四层。洗涤塔废水排入污水站处理，达到回用标准后回用于生产。污水站设置在厂房一层、二层、三层北部及负一层。</w:t>
      </w:r>
    </w:p>
    <w:p w14:paraId="10715C2A">
      <w:pPr>
        <w:adjustRightInd w:val="0"/>
        <w:snapToGrid w:val="0"/>
        <w:spacing w:line="600" w:lineRule="exact"/>
        <w:ind w:firstLine="640" w:firstLineChars="200"/>
        <w:rPr>
          <w:rFonts w:hint="eastAsia" w:eastAsia="仿宋" w:cs="Times New Roman"/>
          <w:b w:val="0"/>
          <w:bCs w:val="0"/>
          <w:color w:val="auto"/>
          <w:sz w:val="32"/>
          <w:szCs w:val="32"/>
          <w:highlight w:val="none"/>
          <w:lang w:val="en-US" w:eastAsia="zh-CN"/>
        </w:rPr>
      </w:pPr>
      <w:r>
        <w:rPr>
          <w:rFonts w:hint="eastAsia" w:eastAsia="仿宋" w:cs="Times New Roman"/>
          <w:b w:val="0"/>
          <w:bCs w:val="0"/>
          <w:color w:val="auto"/>
          <w:sz w:val="32"/>
          <w:szCs w:val="32"/>
          <w:highlight w:val="none"/>
          <w:lang w:val="en-US" w:eastAsia="zh-CN"/>
        </w:rPr>
        <w:t>废槽液间歇排放，包括镀前处理工序、电镀、退镀等工序产生的废槽液。为便于区分，本项目将废槽液分为两大部分，前处理工序产生的废槽液称为废清洗液，电镀、化镀及退镀工序产生的废槽液称为废镀液。</w:t>
      </w:r>
    </w:p>
    <w:p w14:paraId="41B06543">
      <w:pPr>
        <w:adjustRightInd w:val="0"/>
        <w:snapToGrid w:val="0"/>
        <w:spacing w:line="600" w:lineRule="exact"/>
        <w:ind w:firstLine="640" w:firstLineChars="200"/>
        <w:rPr>
          <w:rFonts w:hint="eastAsia" w:eastAsia="仿宋" w:cs="Times New Roman"/>
          <w:b w:val="0"/>
          <w:bCs w:val="0"/>
          <w:color w:val="auto"/>
          <w:sz w:val="32"/>
          <w:szCs w:val="32"/>
          <w:highlight w:val="none"/>
          <w:lang w:val="en-US" w:eastAsia="zh-CN"/>
        </w:rPr>
      </w:pPr>
      <w:r>
        <w:rPr>
          <w:rFonts w:hint="eastAsia" w:eastAsia="仿宋" w:cs="Times New Roman"/>
          <w:b w:val="0"/>
          <w:bCs w:val="0"/>
          <w:color w:val="auto"/>
          <w:sz w:val="32"/>
          <w:szCs w:val="32"/>
          <w:highlight w:val="none"/>
          <w:lang w:val="en-US" w:eastAsia="zh-CN"/>
        </w:rPr>
        <w:t>废清洗液（除铬酸洗废清洗液外）分批送至污水站处理，其中腐蚀工序废清洗液送至污水站前首先进行破氰预处理，亚硫酸钠清洗工序废清洗液引入含铬废水车间还原池；铬酸洗工序废清洗液将六价铬还原为三价铬后作为危废送资质单位处置，采用亚硫酸氢钠和硫酸还原六价铬工艺；废镀液作为危废送资质单位处置。</w:t>
      </w:r>
    </w:p>
    <w:p w14:paraId="302198D8">
      <w:pPr>
        <w:adjustRightInd w:val="0"/>
        <w:snapToGrid w:val="0"/>
        <w:spacing w:line="600" w:lineRule="exact"/>
        <w:ind w:firstLine="640" w:firstLineChars="200"/>
        <w:rPr>
          <w:rFonts w:hint="eastAsia" w:eastAsia="仿宋" w:cs="Times New Roman"/>
          <w:b w:val="0"/>
          <w:bCs w:val="0"/>
          <w:color w:val="auto"/>
          <w:sz w:val="32"/>
          <w:szCs w:val="32"/>
          <w:highlight w:val="none"/>
          <w:lang w:val="en-US" w:eastAsia="zh-CN"/>
        </w:rPr>
      </w:pPr>
      <w:r>
        <w:rPr>
          <w:rFonts w:hint="eastAsia" w:eastAsia="仿宋" w:cs="Times New Roman"/>
          <w:b w:val="0"/>
          <w:bCs w:val="0"/>
          <w:color w:val="auto"/>
          <w:sz w:val="32"/>
          <w:szCs w:val="32"/>
          <w:highlight w:val="none"/>
          <w:lang w:val="en-US" w:eastAsia="zh-CN"/>
        </w:rPr>
        <w:t>（2）供电规划</w:t>
      </w:r>
    </w:p>
    <w:p w14:paraId="07FCE51F">
      <w:pPr>
        <w:adjustRightInd w:val="0"/>
        <w:snapToGrid w:val="0"/>
        <w:spacing w:line="600" w:lineRule="exact"/>
        <w:ind w:firstLine="640" w:firstLineChars="200"/>
        <w:rPr>
          <w:rFonts w:hint="eastAsia" w:eastAsia="仿宋" w:cs="Times New Roman"/>
          <w:b w:val="0"/>
          <w:bCs w:val="0"/>
          <w:color w:val="auto"/>
          <w:sz w:val="32"/>
          <w:szCs w:val="32"/>
          <w:highlight w:val="none"/>
          <w:lang w:val="en-US" w:eastAsia="zh-CN"/>
        </w:rPr>
      </w:pPr>
      <w:r>
        <w:rPr>
          <w:rFonts w:hint="eastAsia" w:eastAsia="仿宋" w:cs="Times New Roman"/>
          <w:b w:val="0"/>
          <w:bCs w:val="0"/>
          <w:color w:val="auto"/>
          <w:sz w:val="32"/>
          <w:szCs w:val="32"/>
          <w:highlight w:val="none"/>
          <w:lang w:val="en-US" w:eastAsia="zh-CN"/>
        </w:rPr>
        <w:t>本项目用电由河北鹿泉经济开发区供给。</w:t>
      </w:r>
    </w:p>
    <w:p w14:paraId="61159A6F">
      <w:pPr>
        <w:adjustRightInd w:val="0"/>
        <w:snapToGrid w:val="0"/>
        <w:spacing w:line="600" w:lineRule="exact"/>
        <w:ind w:firstLine="640" w:firstLineChars="200"/>
        <w:rPr>
          <w:rFonts w:hint="eastAsia" w:eastAsia="仿宋" w:cs="Times New Roman"/>
          <w:b w:val="0"/>
          <w:bCs w:val="0"/>
          <w:color w:val="auto"/>
          <w:sz w:val="32"/>
          <w:szCs w:val="32"/>
          <w:highlight w:val="none"/>
          <w:lang w:val="en-US" w:eastAsia="zh-CN"/>
        </w:rPr>
      </w:pPr>
      <w:r>
        <w:rPr>
          <w:rFonts w:hint="eastAsia" w:eastAsia="仿宋" w:cs="Times New Roman"/>
          <w:b w:val="0"/>
          <w:bCs w:val="0"/>
          <w:color w:val="auto"/>
          <w:sz w:val="32"/>
          <w:szCs w:val="32"/>
          <w:highlight w:val="none"/>
          <w:lang w:val="en-US" w:eastAsia="zh-CN"/>
        </w:rPr>
        <w:t>（3）供热规划</w:t>
      </w:r>
    </w:p>
    <w:p w14:paraId="1B7C68A2">
      <w:pPr>
        <w:adjustRightInd w:val="0"/>
        <w:snapToGrid w:val="0"/>
        <w:spacing w:line="600" w:lineRule="exact"/>
        <w:ind w:firstLine="640" w:firstLineChars="200"/>
        <w:rPr>
          <w:rFonts w:hint="eastAsia" w:eastAsia="仿宋" w:cs="Times New Roman"/>
          <w:b w:val="0"/>
          <w:bCs w:val="0"/>
          <w:color w:val="auto"/>
          <w:sz w:val="32"/>
          <w:szCs w:val="32"/>
          <w:highlight w:val="none"/>
          <w:lang w:val="en-US" w:eastAsia="zh-CN"/>
        </w:rPr>
      </w:pPr>
      <w:r>
        <w:rPr>
          <w:rFonts w:hint="eastAsia" w:eastAsia="仿宋" w:cs="Times New Roman"/>
          <w:b w:val="0"/>
          <w:bCs w:val="0"/>
          <w:color w:val="auto"/>
          <w:sz w:val="32"/>
          <w:szCs w:val="32"/>
          <w:highlight w:val="none"/>
          <w:lang w:val="en-US" w:eastAsia="zh-CN"/>
        </w:rPr>
        <w:t>本项目生产工序用热全部为电加热，厂房内冬季采暖由十三所园区供给。</w:t>
      </w:r>
    </w:p>
    <w:p w14:paraId="677BC567">
      <w:pPr>
        <w:adjustRightInd w:val="0"/>
        <w:snapToGrid w:val="0"/>
        <w:spacing w:line="600" w:lineRule="exact"/>
        <w:ind w:firstLine="643" w:firstLineChars="200"/>
        <w:rPr>
          <w:rFonts w:hint="default" w:ascii="Times New Roman" w:hAnsi="Times New Roman" w:eastAsia="仿宋" w:cs="Times New Roman"/>
          <w:b/>
          <w:bCs/>
          <w:color w:val="auto"/>
          <w:sz w:val="32"/>
          <w:szCs w:val="32"/>
          <w:highlight w:val="none"/>
        </w:rPr>
      </w:pPr>
      <w:r>
        <w:rPr>
          <w:rFonts w:hint="eastAsia" w:eastAsia="仿宋" w:cs="Times New Roman"/>
          <w:b/>
          <w:bCs/>
          <w:color w:val="auto"/>
          <w:sz w:val="32"/>
          <w:szCs w:val="32"/>
          <w:highlight w:val="none"/>
          <w:lang w:val="en-US" w:eastAsia="zh-CN"/>
        </w:rPr>
        <w:t>3</w:t>
      </w:r>
      <w:r>
        <w:rPr>
          <w:rFonts w:hint="default" w:ascii="Times New Roman" w:hAnsi="Times New Roman" w:eastAsia="仿宋" w:cs="Times New Roman"/>
          <w:b/>
          <w:bCs/>
          <w:color w:val="auto"/>
          <w:sz w:val="32"/>
          <w:szCs w:val="32"/>
          <w:highlight w:val="none"/>
          <w:lang w:val="en-US" w:eastAsia="zh-CN"/>
        </w:rPr>
        <w:t>、</w:t>
      </w:r>
      <w:r>
        <w:rPr>
          <w:rFonts w:hint="default" w:ascii="Times New Roman" w:hAnsi="Times New Roman" w:eastAsia="仿宋" w:cs="Times New Roman"/>
          <w:b/>
          <w:bCs/>
          <w:color w:val="auto"/>
          <w:sz w:val="32"/>
          <w:szCs w:val="32"/>
          <w:highlight w:val="none"/>
        </w:rPr>
        <w:t>选址</w:t>
      </w:r>
      <w:r>
        <w:rPr>
          <w:rFonts w:hint="default" w:ascii="Times New Roman" w:hAnsi="Times New Roman" w:eastAsia="仿宋" w:cs="Times New Roman"/>
          <w:b/>
          <w:bCs/>
          <w:color w:val="auto"/>
          <w:sz w:val="32"/>
          <w:szCs w:val="32"/>
          <w:highlight w:val="none"/>
          <w:lang w:val="en-US" w:eastAsia="zh-CN"/>
        </w:rPr>
        <w:t>及规划符合</w:t>
      </w:r>
      <w:r>
        <w:rPr>
          <w:rFonts w:hint="default" w:ascii="Times New Roman" w:hAnsi="Times New Roman" w:eastAsia="仿宋" w:cs="Times New Roman"/>
          <w:b/>
          <w:bCs/>
          <w:color w:val="auto"/>
          <w:sz w:val="32"/>
          <w:szCs w:val="32"/>
          <w:highlight w:val="none"/>
        </w:rPr>
        <w:t>性</w:t>
      </w:r>
    </w:p>
    <w:p w14:paraId="2646CEAF">
      <w:pPr>
        <w:adjustRightInd w:val="0"/>
        <w:snapToGrid w:val="0"/>
        <w:spacing w:line="600" w:lineRule="exact"/>
        <w:ind w:firstLine="640" w:firstLineChars="200"/>
        <w:rPr>
          <w:rFonts w:hint="eastAsia" w:eastAsia="仿宋" w:cs="Times New Roman"/>
          <w:b w:val="0"/>
          <w:bCs w:val="0"/>
          <w:color w:val="auto"/>
          <w:sz w:val="32"/>
          <w:szCs w:val="32"/>
          <w:highlight w:val="none"/>
          <w:lang w:val="en-US" w:eastAsia="zh-CN"/>
        </w:rPr>
      </w:pPr>
      <w:r>
        <w:rPr>
          <w:rFonts w:hint="eastAsia" w:eastAsia="仿宋" w:cs="Times New Roman"/>
          <w:b w:val="0"/>
          <w:bCs w:val="0"/>
          <w:color w:val="auto"/>
          <w:sz w:val="32"/>
          <w:szCs w:val="32"/>
          <w:highlight w:val="none"/>
          <w:lang w:val="en-US" w:eastAsia="zh-CN"/>
        </w:rPr>
        <w:t>本项目为扩建项目，利用现有C2厂房进行改造。C2厂房现有3大类生产线，分别为新型元器件封装外壳及封装产业化生产线、大功率氮化铝陶瓷封装基板生产线、表贴型电子陶瓷封装生产线，本次扩建仅涉及新型元器件封装外壳及封装产业化生产线，其他2类产品生产线不涉及。新型元器件封装外壳生产线产能由2000万只/年扩建至4000万只/年。项目建设利用现有厂房，不新增占地，不新增构筑物。</w:t>
      </w:r>
    </w:p>
    <w:p w14:paraId="34641D5A">
      <w:pPr>
        <w:adjustRightInd w:val="0"/>
        <w:snapToGrid w:val="0"/>
        <w:spacing w:line="600" w:lineRule="exact"/>
        <w:ind w:firstLine="643" w:firstLineChars="200"/>
        <w:rPr>
          <w:rFonts w:hint="default" w:ascii="Times New Roman" w:hAnsi="Times New Roman" w:eastAsia="仿宋" w:cs="Times New Roman"/>
          <w:b/>
          <w:bCs/>
          <w:color w:val="auto"/>
          <w:sz w:val="32"/>
          <w:szCs w:val="32"/>
          <w:highlight w:val="none"/>
        </w:rPr>
      </w:pPr>
      <w:r>
        <w:rPr>
          <w:rFonts w:hint="eastAsia" w:eastAsia="仿宋" w:cs="Times New Roman"/>
          <w:b/>
          <w:bCs/>
          <w:color w:val="auto"/>
          <w:sz w:val="32"/>
          <w:szCs w:val="32"/>
          <w:highlight w:val="none"/>
          <w:lang w:val="en-US" w:eastAsia="zh-CN"/>
        </w:rPr>
        <w:t>4</w:t>
      </w:r>
      <w:r>
        <w:rPr>
          <w:rFonts w:hint="default" w:ascii="Times New Roman" w:hAnsi="Times New Roman" w:eastAsia="仿宋" w:cs="Times New Roman"/>
          <w:b/>
          <w:bCs/>
          <w:color w:val="auto"/>
          <w:sz w:val="32"/>
          <w:szCs w:val="32"/>
          <w:highlight w:val="none"/>
          <w:lang w:val="en-US" w:eastAsia="zh-CN"/>
        </w:rPr>
        <w:t>、</w:t>
      </w:r>
      <w:r>
        <w:rPr>
          <w:rFonts w:hint="default" w:ascii="Times New Roman" w:hAnsi="Times New Roman" w:eastAsia="仿宋" w:cs="Times New Roman"/>
          <w:b/>
          <w:bCs/>
          <w:color w:val="auto"/>
          <w:sz w:val="32"/>
          <w:szCs w:val="32"/>
          <w:highlight w:val="none"/>
        </w:rPr>
        <w:t>产业政策符合性</w:t>
      </w:r>
    </w:p>
    <w:p w14:paraId="57C73E87">
      <w:pPr>
        <w:adjustRightInd w:val="0"/>
        <w:snapToGrid w:val="0"/>
        <w:spacing w:line="600" w:lineRule="exact"/>
        <w:ind w:firstLine="640" w:firstLineChars="200"/>
        <w:rPr>
          <w:rFonts w:hint="eastAsia" w:eastAsia="仿宋" w:cs="Times New Roman"/>
          <w:b w:val="0"/>
          <w:bCs/>
          <w:strike w:val="0"/>
          <w:dstrike w:val="0"/>
          <w:color w:val="auto"/>
          <w:sz w:val="32"/>
          <w:szCs w:val="32"/>
          <w:highlight w:val="none"/>
          <w:lang w:val="en-US" w:eastAsia="zh-CN"/>
        </w:rPr>
      </w:pPr>
      <w:r>
        <w:rPr>
          <w:rFonts w:hint="eastAsia" w:eastAsia="仿宋" w:cs="Times New Roman"/>
          <w:b w:val="0"/>
          <w:bCs/>
          <w:strike w:val="0"/>
          <w:dstrike w:val="0"/>
          <w:color w:val="auto"/>
          <w:sz w:val="32"/>
          <w:szCs w:val="32"/>
          <w:highlight w:val="none"/>
          <w:lang w:val="en-US" w:eastAsia="zh-CN"/>
        </w:rPr>
        <w:t>本项目为电子专用材料制造项目，属于《产业结构调整指导目录》（2024年本）中鼓励类二十八、信息产业中第6项“电子元器件生产专用材料：半导体、光电子器件、新型电子元器件（片式元器件、电力电子器件、光电子器件、敏感元器件及传感器、新型机电元件、高频微波印制电路板、高速通信电路板、柔性电路板、高性能覆铜板等）等电子产品用材料，包括半导体材料、电子陶瓷材料、压电晶体材料等电子功能材料，覆铜板材料、电子铜箔、引线框架等封装和装联材料”，符合产业政策。</w:t>
      </w:r>
    </w:p>
    <w:p w14:paraId="1D4CD26D">
      <w:pPr>
        <w:adjustRightInd w:val="0"/>
        <w:snapToGrid w:val="0"/>
        <w:spacing w:line="600" w:lineRule="exact"/>
        <w:ind w:firstLine="643" w:firstLineChars="200"/>
        <w:rPr>
          <w:rFonts w:hint="default" w:ascii="Times New Roman" w:hAnsi="Times New Roman" w:eastAsia="仿宋" w:cs="Times New Roman"/>
          <w:b/>
          <w:bCs/>
          <w:color w:val="auto"/>
          <w:sz w:val="32"/>
          <w:szCs w:val="32"/>
          <w:highlight w:val="none"/>
          <w:lang w:val="en-US" w:eastAsia="zh-CN"/>
        </w:rPr>
      </w:pPr>
      <w:r>
        <w:rPr>
          <w:rFonts w:hint="eastAsia" w:eastAsia="仿宋" w:cs="Times New Roman"/>
          <w:b/>
          <w:bCs/>
          <w:color w:val="auto"/>
          <w:sz w:val="32"/>
          <w:szCs w:val="32"/>
          <w:highlight w:val="none"/>
          <w:lang w:val="en-US" w:eastAsia="zh-CN"/>
        </w:rPr>
        <w:t>5</w:t>
      </w:r>
      <w:r>
        <w:rPr>
          <w:rFonts w:hint="default" w:ascii="Times New Roman" w:hAnsi="Times New Roman" w:eastAsia="仿宋" w:cs="Times New Roman"/>
          <w:b/>
          <w:bCs/>
          <w:color w:val="auto"/>
          <w:sz w:val="32"/>
          <w:szCs w:val="32"/>
          <w:highlight w:val="none"/>
          <w:lang w:val="en-US" w:eastAsia="zh-CN"/>
        </w:rPr>
        <w:t>、“三线一单”符合性分析</w:t>
      </w:r>
    </w:p>
    <w:p w14:paraId="4A20BD24">
      <w:pPr>
        <w:adjustRightInd w:val="0"/>
        <w:snapToGrid w:val="0"/>
        <w:spacing w:line="600" w:lineRule="exact"/>
        <w:ind w:firstLine="640" w:firstLineChars="200"/>
        <w:rPr>
          <w:rFonts w:hint="eastAsia" w:eastAsia="仿宋" w:cs="Times New Roman"/>
          <w:bCs/>
          <w:color w:val="auto"/>
          <w:sz w:val="32"/>
          <w:szCs w:val="32"/>
          <w:highlight w:val="none"/>
          <w:lang w:val="en-US" w:eastAsia="zh-CN"/>
        </w:rPr>
      </w:pPr>
      <w:bookmarkStart w:id="1" w:name="_Toc15724"/>
      <w:r>
        <w:rPr>
          <w:rFonts w:hint="eastAsia" w:eastAsia="仿宋" w:cs="Times New Roman"/>
          <w:bCs/>
          <w:color w:val="auto"/>
          <w:sz w:val="32"/>
          <w:szCs w:val="32"/>
          <w:highlight w:val="none"/>
          <w:lang w:val="en-US" w:eastAsia="zh-CN"/>
        </w:rPr>
        <w:t>根据石家庄市生态保护红线划定成果及《石家庄市人民政府关于加快实施“三线一单”生态环境分区管控的意见》（石政函[2021]40号），本项目位于河北鹿泉经济开发区电子信息园，根据石家庄市鹿泉区生态保护红线图，本项目不在生态保护红线内，符合要求。</w:t>
      </w:r>
    </w:p>
    <w:p w14:paraId="5EAD7FB6">
      <w:pPr>
        <w:adjustRightInd w:val="0"/>
        <w:snapToGrid w:val="0"/>
        <w:spacing w:line="600" w:lineRule="exact"/>
        <w:ind w:firstLine="640" w:firstLineChars="200"/>
        <w:rPr>
          <w:rFonts w:hint="eastAsia" w:eastAsia="仿宋" w:cs="Times New Roman"/>
          <w:bCs/>
          <w:color w:val="auto"/>
          <w:sz w:val="32"/>
          <w:szCs w:val="32"/>
          <w:highlight w:val="none"/>
          <w:lang w:val="en-US" w:eastAsia="zh-CN"/>
        </w:rPr>
      </w:pPr>
      <w:r>
        <w:rPr>
          <w:rFonts w:hint="eastAsia" w:eastAsia="仿宋" w:cs="Times New Roman"/>
          <w:bCs/>
          <w:color w:val="auto"/>
          <w:sz w:val="32"/>
          <w:szCs w:val="32"/>
          <w:highlight w:val="none"/>
          <w:lang w:val="en-US" w:eastAsia="zh-CN"/>
        </w:rPr>
        <w:t>本项目产生的污染物采取相应措施后，不会造成区域环境质量改变，符合环境质量底线的要求。</w:t>
      </w:r>
    </w:p>
    <w:p w14:paraId="484F2A28">
      <w:pPr>
        <w:adjustRightInd w:val="0"/>
        <w:snapToGrid w:val="0"/>
        <w:spacing w:line="600" w:lineRule="exact"/>
        <w:ind w:firstLine="640" w:firstLineChars="200"/>
        <w:rPr>
          <w:rFonts w:hint="eastAsia" w:eastAsia="仿宋" w:cs="Times New Roman"/>
          <w:bCs/>
          <w:color w:val="auto"/>
          <w:sz w:val="32"/>
          <w:szCs w:val="32"/>
          <w:highlight w:val="none"/>
          <w:lang w:val="en-US" w:eastAsia="zh-CN"/>
        </w:rPr>
      </w:pPr>
      <w:r>
        <w:rPr>
          <w:rFonts w:hint="eastAsia" w:eastAsia="仿宋" w:cs="Times New Roman"/>
          <w:bCs/>
          <w:color w:val="auto"/>
          <w:sz w:val="32"/>
          <w:szCs w:val="32"/>
          <w:highlight w:val="none"/>
          <w:lang w:val="en-US" w:eastAsia="zh-CN"/>
        </w:rPr>
        <w:t>本项目新鲜水由西山站水厂供给，不开采地下水；不新增占地；不会突破资源利用上限。</w:t>
      </w:r>
    </w:p>
    <w:p w14:paraId="15B5A194">
      <w:pPr>
        <w:adjustRightInd w:val="0"/>
        <w:snapToGrid w:val="0"/>
        <w:spacing w:line="600" w:lineRule="exact"/>
        <w:ind w:firstLine="640" w:firstLineChars="200"/>
        <w:rPr>
          <w:rFonts w:hint="eastAsia" w:eastAsia="仿宋" w:cs="Times New Roman"/>
          <w:bCs/>
          <w:color w:val="auto"/>
          <w:sz w:val="32"/>
          <w:szCs w:val="32"/>
          <w:highlight w:val="none"/>
          <w:lang w:val="en-US" w:eastAsia="zh-CN"/>
        </w:rPr>
      </w:pPr>
      <w:r>
        <w:rPr>
          <w:rFonts w:hint="eastAsia" w:eastAsia="仿宋" w:cs="Times New Roman"/>
          <w:bCs/>
          <w:color w:val="auto"/>
          <w:sz w:val="32"/>
          <w:szCs w:val="32"/>
          <w:highlight w:val="none"/>
          <w:lang w:val="en-US" w:eastAsia="zh-CN"/>
        </w:rPr>
        <w:t>根据《关于做好“三线一单”生态环境分区管控动态更新成果实施应用工作的通知》（2023年5月4日）：</w:t>
      </w:r>
    </w:p>
    <w:p w14:paraId="5EEC06C4">
      <w:pPr>
        <w:adjustRightInd w:val="0"/>
        <w:snapToGrid w:val="0"/>
        <w:spacing w:line="600" w:lineRule="exact"/>
        <w:ind w:firstLine="640" w:firstLineChars="200"/>
        <w:rPr>
          <w:rFonts w:hint="eastAsia" w:eastAsia="仿宋" w:cs="Times New Roman"/>
          <w:bCs/>
          <w:color w:val="auto"/>
          <w:sz w:val="32"/>
          <w:szCs w:val="32"/>
          <w:highlight w:val="none"/>
          <w:lang w:val="en-US" w:eastAsia="zh-CN"/>
        </w:rPr>
      </w:pPr>
      <w:r>
        <w:rPr>
          <w:rFonts w:hint="eastAsia" w:eastAsia="仿宋" w:cs="Times New Roman"/>
          <w:bCs/>
          <w:color w:val="auto"/>
          <w:sz w:val="32"/>
          <w:szCs w:val="32"/>
          <w:highlight w:val="none"/>
          <w:lang w:val="en-US" w:eastAsia="zh-CN"/>
        </w:rPr>
        <w:t>本项目位河北鹿泉经济开发区电子信息园，属于重点管控单元中的第8项，在空间布局约束、污染物排放管控、环境风险防控、资源利用效率等方面均满足《关于做好“三线一单”生态环境分区管控动态更新成果实施应用工作的通知》（2023年5月4日）要求。</w:t>
      </w:r>
    </w:p>
    <w:p w14:paraId="69DCAAB9">
      <w:pPr>
        <w:adjustRightInd w:val="0"/>
        <w:snapToGrid w:val="0"/>
        <w:spacing w:line="600" w:lineRule="exact"/>
        <w:ind w:firstLine="640" w:firstLineChars="200"/>
        <w:rPr>
          <w:rFonts w:hint="eastAsia" w:eastAsia="仿宋" w:cs="Times New Roman"/>
          <w:bCs/>
          <w:color w:val="auto"/>
          <w:sz w:val="32"/>
          <w:szCs w:val="32"/>
          <w:highlight w:val="none"/>
          <w:lang w:val="en-US" w:eastAsia="zh-CN"/>
        </w:rPr>
      </w:pPr>
      <w:r>
        <w:rPr>
          <w:rFonts w:hint="eastAsia" w:eastAsia="仿宋" w:cs="Times New Roman"/>
          <w:bCs/>
          <w:color w:val="auto"/>
          <w:sz w:val="32"/>
          <w:szCs w:val="32"/>
          <w:highlight w:val="none"/>
          <w:lang w:val="en-US" w:eastAsia="zh-CN"/>
        </w:rPr>
        <w:t>根据《河北鹿泉经济开发区总体规划（2020-2030年）环境影响报告书》，本项目污染物排放强度、清洁生产指标、技术经济及环保指标、环境准入等均符合河北鹿泉经济开发区电子信息园产业准入要求。</w:t>
      </w:r>
    </w:p>
    <w:p w14:paraId="1CC65D9E">
      <w:pPr>
        <w:adjustRightInd w:val="0"/>
        <w:snapToGrid w:val="0"/>
        <w:spacing w:line="600" w:lineRule="exact"/>
        <w:ind w:firstLine="643" w:firstLineChars="200"/>
        <w:rPr>
          <w:rFonts w:hint="eastAsia" w:eastAsia="仿宋" w:cs="Times New Roman"/>
          <w:b w:val="0"/>
          <w:bCs/>
          <w:color w:val="auto"/>
          <w:kern w:val="2"/>
          <w:sz w:val="32"/>
          <w:szCs w:val="32"/>
          <w:highlight w:val="none"/>
          <w:lang w:val="en-US" w:eastAsia="zh-CN" w:bidi="ar-SA"/>
        </w:rPr>
      </w:pPr>
      <w:r>
        <w:rPr>
          <w:rFonts w:hint="eastAsia" w:ascii="Times New Roman" w:hAnsi="Times New Roman" w:eastAsia="仿宋" w:cs="Times New Roman"/>
          <w:b/>
          <w:bCs w:val="0"/>
          <w:color w:val="auto"/>
          <w:sz w:val="32"/>
          <w:szCs w:val="32"/>
          <w:highlight w:val="none"/>
          <w:lang w:val="en-US" w:eastAsia="zh-CN"/>
        </w:rPr>
        <w:t>综上</w:t>
      </w:r>
      <w:r>
        <w:rPr>
          <w:rFonts w:hint="default" w:ascii="Times New Roman" w:hAnsi="Times New Roman" w:eastAsia="仿宋" w:cs="Times New Roman"/>
          <w:b/>
          <w:bCs w:val="0"/>
          <w:color w:val="auto"/>
          <w:sz w:val="32"/>
          <w:szCs w:val="32"/>
          <w:highlight w:val="none"/>
          <w:lang w:val="en-US" w:eastAsia="zh-CN"/>
        </w:rPr>
        <w:t>所述，本项目符合“三线一单”政策要求。</w:t>
      </w:r>
    </w:p>
    <w:p w14:paraId="07C251F2">
      <w:pPr>
        <w:snapToGrid w:val="0"/>
        <w:spacing w:line="600" w:lineRule="exact"/>
        <w:ind w:firstLine="646"/>
        <w:outlineLvl w:val="0"/>
        <w:rPr>
          <w:rFonts w:hint="default" w:ascii="Times New Roman" w:hAnsi="Times New Roman" w:eastAsia="仿宋" w:cs="Times New Roman"/>
          <w:b/>
          <w:bCs w:val="0"/>
          <w:strike w:val="0"/>
          <w:dstrike w:val="0"/>
          <w:color w:val="auto"/>
          <w:sz w:val="32"/>
          <w:szCs w:val="32"/>
          <w:highlight w:val="none"/>
        </w:rPr>
      </w:pPr>
      <w:r>
        <w:rPr>
          <w:rFonts w:hint="default" w:ascii="Times New Roman" w:hAnsi="Times New Roman" w:eastAsia="仿宋" w:cs="Times New Roman"/>
          <w:b/>
          <w:bCs w:val="0"/>
          <w:strike w:val="0"/>
          <w:dstrike w:val="0"/>
          <w:color w:val="auto"/>
          <w:sz w:val="32"/>
          <w:szCs w:val="32"/>
          <w:highlight w:val="none"/>
        </w:rPr>
        <w:t>二、环境质量现状</w:t>
      </w:r>
      <w:bookmarkEnd w:id="1"/>
    </w:p>
    <w:p w14:paraId="6E0D5709">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1、大气环境质量现状</w:t>
      </w:r>
    </w:p>
    <w:p w14:paraId="72664D77">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根据2023年石家庄市生态环境局发布的《2022年石家庄市生态环境状况公报》，项目所在区域为环境空气质量不达标区，不达标因子为PM</w:t>
      </w:r>
      <w:r>
        <w:rPr>
          <w:rFonts w:hint="default" w:ascii="Times New Roman" w:hAnsi="Times New Roman" w:eastAsia="仿宋" w:cs="Times New Roman"/>
          <w:b w:val="0"/>
          <w:bCs w:val="0"/>
          <w:strike w:val="0"/>
          <w:dstrike w:val="0"/>
          <w:color w:val="auto"/>
          <w:sz w:val="32"/>
          <w:szCs w:val="32"/>
          <w:highlight w:val="none"/>
          <w:vertAlign w:val="subscript"/>
          <w:lang w:val="en-US" w:eastAsia="zh-CN"/>
        </w:rPr>
        <w:t>10</w:t>
      </w:r>
      <w:r>
        <w:rPr>
          <w:rFonts w:hint="default" w:ascii="Times New Roman" w:hAnsi="Times New Roman" w:eastAsia="仿宋" w:cs="Times New Roman"/>
          <w:b w:val="0"/>
          <w:bCs w:val="0"/>
          <w:strike w:val="0"/>
          <w:dstrike w:val="0"/>
          <w:color w:val="auto"/>
          <w:sz w:val="32"/>
          <w:szCs w:val="32"/>
          <w:highlight w:val="none"/>
          <w:lang w:val="en-US" w:eastAsia="zh-CN"/>
        </w:rPr>
        <w:t>、PM</w:t>
      </w:r>
      <w:r>
        <w:rPr>
          <w:rFonts w:hint="default" w:ascii="Times New Roman" w:hAnsi="Times New Roman" w:eastAsia="仿宋" w:cs="Times New Roman"/>
          <w:b w:val="0"/>
          <w:bCs w:val="0"/>
          <w:strike w:val="0"/>
          <w:dstrike w:val="0"/>
          <w:color w:val="auto"/>
          <w:sz w:val="32"/>
          <w:szCs w:val="32"/>
          <w:highlight w:val="none"/>
          <w:vertAlign w:val="subscript"/>
          <w:lang w:val="en-US" w:eastAsia="zh-CN"/>
        </w:rPr>
        <w:t>2.5</w:t>
      </w:r>
      <w:r>
        <w:rPr>
          <w:rFonts w:hint="default" w:ascii="Times New Roman" w:hAnsi="Times New Roman" w:eastAsia="仿宋" w:cs="Times New Roman"/>
          <w:b w:val="0"/>
          <w:bCs w:val="0"/>
          <w:strike w:val="0"/>
          <w:dstrike w:val="0"/>
          <w:color w:val="auto"/>
          <w:sz w:val="32"/>
          <w:szCs w:val="32"/>
          <w:highlight w:val="none"/>
          <w:lang w:val="en-US" w:eastAsia="zh-CN"/>
        </w:rPr>
        <w:t>、O</w:t>
      </w:r>
      <w:r>
        <w:rPr>
          <w:rFonts w:hint="default" w:ascii="Times New Roman" w:hAnsi="Times New Roman" w:eastAsia="仿宋" w:cs="Times New Roman"/>
          <w:b w:val="0"/>
          <w:bCs w:val="0"/>
          <w:strike w:val="0"/>
          <w:dstrike w:val="0"/>
          <w:color w:val="auto"/>
          <w:sz w:val="32"/>
          <w:szCs w:val="32"/>
          <w:highlight w:val="none"/>
          <w:vertAlign w:val="subscript"/>
          <w:lang w:val="en-US" w:eastAsia="zh-CN"/>
        </w:rPr>
        <w:t>3</w:t>
      </w:r>
      <w:r>
        <w:rPr>
          <w:rFonts w:hint="default" w:ascii="Times New Roman" w:hAnsi="Times New Roman" w:eastAsia="仿宋" w:cs="Times New Roman"/>
          <w:b w:val="0"/>
          <w:bCs w:val="0"/>
          <w:strike w:val="0"/>
          <w:dstrike w:val="0"/>
          <w:color w:val="auto"/>
          <w:sz w:val="32"/>
          <w:szCs w:val="32"/>
          <w:highlight w:val="none"/>
          <w:lang w:val="en-US" w:eastAsia="zh-CN"/>
        </w:rPr>
        <w:t>。</w:t>
      </w:r>
    </w:p>
    <w:p w14:paraId="798AF1F0">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2023年9月19日～10月2日对其他污染物监测显示，评价区各监测点氯化氢、硫酸日平均浓度均满足《环境影响评价技术导则  大气环境》（HJ2.2-2018）附录 D要求。氰化氢昼夜平均浓度满足《苏联居民区大气中有害物质的最大允许浓度》（CH245-71）。</w:t>
      </w:r>
    </w:p>
    <w:p w14:paraId="028B635F">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各监测点非甲烷总烃小时浓度满足《环境空气质量 非甲烷总烃限值》（DB13/1577-2012）二级标准要求；氯化氢、硫酸、氨、硫化氢小时浓度满足《环境影响评价技术导则  大气环境》（HJ2.2-2018）附录 D标准值。</w:t>
      </w:r>
    </w:p>
    <w:p w14:paraId="2B10DE11">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2、声环境质量现状</w:t>
      </w:r>
    </w:p>
    <w:p w14:paraId="474030EE">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从声环境现状监测统计和评价情况可知，厂界噪声昼间、夜间均满足《声环境质量标准》（GB3096-2008））3类标准要求；十三所职工住宅昼间、夜间均满足《声环境质量标准》（GB3096-2008））2类标准要求。</w:t>
      </w:r>
    </w:p>
    <w:p w14:paraId="68BF5604">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3、地下水环境质量现状</w:t>
      </w:r>
    </w:p>
    <w:p w14:paraId="14D87E4B">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各监测点潜水井各监测因子除总硬度外均能够满足《地下水质量标准》（GB/T14848-2017）Ⅲ类标准；深层水井各监测因子均能够满足《地下水质量标准》（GB/T14848-2017）Ⅲ类标准。总硬度超标为地质原因导致。</w:t>
      </w:r>
    </w:p>
    <w:p w14:paraId="559F3FD1">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4、土壤环境质量现状</w:t>
      </w:r>
    </w:p>
    <w:p w14:paraId="36A06C0A">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建设用地各监测点位氨氮能够满足《建设用地土壤污染风险筛选值》（DB13/T5216-2022）中表1第二类用地筛选值标准，各监测点位其他因子均能够满足《土壤环境质量 建设用地土壤污染风险管控标准（试行）》（GB36600-2018）中表1第二类用地筛选值标准；农用地各监测点位均能够满足《土壤环境质量 农用地土壤污染风险管控标准（试行）》（GB15618-2018）标准要求。</w:t>
      </w:r>
    </w:p>
    <w:p w14:paraId="2B71E9FD">
      <w:pPr>
        <w:adjustRightInd w:val="0"/>
        <w:snapToGrid w:val="0"/>
        <w:spacing w:line="600" w:lineRule="exact"/>
        <w:ind w:firstLine="640" w:firstLineChars="200"/>
        <w:rPr>
          <w:rFonts w:hint="default" w:ascii="Times New Roman" w:hAnsi="Times New Roman" w:eastAsia="仿宋" w:cs="Times New Roman"/>
          <w:b w:val="0"/>
          <w:bCs w:val="0"/>
          <w:strike w:val="0"/>
          <w:dstrike w:val="0"/>
          <w:color w:val="auto"/>
          <w:sz w:val="32"/>
          <w:szCs w:val="32"/>
          <w:highlight w:val="none"/>
          <w:lang w:val="en-US" w:eastAsia="zh-CN"/>
        </w:rPr>
      </w:pPr>
      <w:r>
        <w:rPr>
          <w:rFonts w:hint="default" w:ascii="Times New Roman" w:hAnsi="Times New Roman" w:eastAsia="仿宋" w:cs="Times New Roman"/>
          <w:b w:val="0"/>
          <w:bCs w:val="0"/>
          <w:strike w:val="0"/>
          <w:dstrike w:val="0"/>
          <w:color w:val="auto"/>
          <w:sz w:val="32"/>
          <w:szCs w:val="32"/>
          <w:highlight w:val="none"/>
          <w:lang w:val="en-US" w:eastAsia="zh-CN"/>
        </w:rPr>
        <w:t>5、环境保护目标</w:t>
      </w:r>
    </w:p>
    <w:p w14:paraId="4A784DB8">
      <w:pPr>
        <w:adjustRightInd w:val="0"/>
        <w:snapToGrid w:val="0"/>
        <w:spacing w:line="600" w:lineRule="exact"/>
        <w:ind w:firstLine="640" w:firstLineChars="200"/>
        <w:rPr>
          <w:rFonts w:hint="eastAsia" w:eastAsia="仿宋" w:cs="Times New Roman"/>
          <w:strike w:val="0"/>
          <w:dstrike w:val="0"/>
          <w:color w:val="auto"/>
          <w:kern w:val="2"/>
          <w:sz w:val="32"/>
          <w:szCs w:val="32"/>
          <w:highlight w:val="none"/>
          <w:lang w:val="en-US" w:eastAsia="zh-CN" w:bidi="ar-SA"/>
        </w:rPr>
      </w:pPr>
      <w:r>
        <w:rPr>
          <w:rFonts w:hint="default" w:ascii="Times New Roman" w:hAnsi="Times New Roman" w:eastAsia="仿宋" w:cs="Times New Roman"/>
          <w:b w:val="0"/>
          <w:bCs w:val="0"/>
          <w:strike w:val="0"/>
          <w:dstrike w:val="0"/>
          <w:color w:val="auto"/>
          <w:sz w:val="32"/>
          <w:szCs w:val="32"/>
          <w:highlight w:val="none"/>
          <w:lang w:val="en-US" w:eastAsia="zh-CN"/>
        </w:rPr>
        <w:t>本项目评价区域内没有珍稀濒危野生动植物资源天然集中分布区、自然保护区、饮用水源保护区等敏感目标。大气评价范围内居民点为大气环境保护目标；南水北调中线总干渠为地表水环境保护目标；评价范围内地下水为地下水保护目标；十三所职工住宅区为声环境保护目标；生态评价范围内生态系统及自然资源为生态环境保护目标；厂址周边1km范围内的村庄、农田作为土壤环境保护目标；风险评价范围内大气、地下水、土壤作为环境风险保护目标。</w:t>
      </w:r>
    </w:p>
    <w:p w14:paraId="7076C7D0">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bCs w:val="0"/>
          <w:color w:val="auto"/>
          <w:sz w:val="32"/>
          <w:szCs w:val="32"/>
          <w:highlight w:val="none"/>
        </w:rPr>
      </w:pPr>
      <w:bookmarkStart w:id="2" w:name="_Toc7448"/>
      <w:r>
        <w:rPr>
          <w:rFonts w:hint="default" w:ascii="Times New Roman" w:hAnsi="Times New Roman" w:eastAsia="仿宋" w:cs="Times New Roman"/>
          <w:b/>
          <w:bCs w:val="0"/>
          <w:color w:val="auto"/>
          <w:sz w:val="32"/>
          <w:szCs w:val="32"/>
          <w:highlight w:val="none"/>
        </w:rPr>
        <w:t>三、</w:t>
      </w:r>
      <w:bookmarkEnd w:id="2"/>
      <w:r>
        <w:rPr>
          <w:rFonts w:hint="default" w:ascii="Times New Roman" w:hAnsi="Times New Roman" w:eastAsia="仿宋" w:cs="Times New Roman"/>
          <w:b/>
          <w:bCs/>
          <w:color w:val="auto"/>
          <w:sz w:val="32"/>
          <w:szCs w:val="32"/>
          <w:highlight w:val="none"/>
        </w:rPr>
        <w:t>环境影响分析结论</w:t>
      </w:r>
    </w:p>
    <w:p w14:paraId="5176D8A4">
      <w:pPr>
        <w:keepNext w:val="0"/>
        <w:keepLines w:val="0"/>
        <w:pageBreakBefore w:val="0"/>
        <w:widowControl w:val="0"/>
        <w:kinsoku/>
        <w:overflowPunct/>
        <w:topLinePunct w:val="0"/>
        <w:autoSpaceDE/>
        <w:autoSpaceDN/>
        <w:bidi w:val="0"/>
        <w:adjustRightInd w:val="0"/>
        <w:snapToGrid w:val="0"/>
        <w:spacing w:line="560" w:lineRule="exact"/>
        <w:ind w:firstLine="643" w:firstLineChars="200"/>
        <w:textAlignment w:val="auto"/>
        <w:rPr>
          <w:rFonts w:hint="default" w:ascii="Times New Roman" w:hAnsi="Times New Roman" w:eastAsia="仿宋" w:cs="Times New Roman"/>
          <w:b/>
          <w:bCs/>
          <w:color w:val="auto"/>
          <w:sz w:val="32"/>
          <w:szCs w:val="32"/>
          <w:highlight w:val="yellow"/>
        </w:rPr>
      </w:pPr>
      <w:r>
        <w:rPr>
          <w:rFonts w:hint="default" w:ascii="Times New Roman" w:hAnsi="Times New Roman" w:eastAsia="仿宋" w:cs="Times New Roman"/>
          <w:b/>
          <w:bCs/>
          <w:color w:val="auto"/>
          <w:sz w:val="32"/>
          <w:szCs w:val="32"/>
          <w:highlight w:val="none"/>
          <w:lang w:val="en-US" w:eastAsia="zh-CN"/>
        </w:rPr>
        <w:t>1、</w:t>
      </w:r>
      <w:r>
        <w:rPr>
          <w:rFonts w:hint="default" w:ascii="Times New Roman" w:hAnsi="Times New Roman" w:eastAsia="仿宋" w:cs="Times New Roman"/>
          <w:b/>
          <w:bCs/>
          <w:color w:val="auto"/>
          <w:sz w:val="32"/>
          <w:szCs w:val="32"/>
          <w:highlight w:val="none"/>
        </w:rPr>
        <w:t>施工期环境影响分析</w:t>
      </w:r>
    </w:p>
    <w:p w14:paraId="31C6E193">
      <w:pPr>
        <w:keepNext w:val="0"/>
        <w:keepLines w:val="0"/>
        <w:pageBreakBefore w:val="0"/>
        <w:widowControl w:val="0"/>
        <w:kinsoku/>
        <w:overflowPunct/>
        <w:topLinePunct w:val="0"/>
        <w:autoSpaceDE/>
        <w:autoSpaceDN/>
        <w:bidi w:val="0"/>
        <w:adjustRightInd w:val="0"/>
        <w:snapToGrid w:val="0"/>
        <w:spacing w:line="560" w:lineRule="exact"/>
        <w:ind w:firstLine="640" w:firstLineChars="200"/>
        <w:textAlignment w:val="auto"/>
        <w:rPr>
          <w:rFonts w:hint="eastAsia" w:eastAsia="仿宋" w:cs="Times New Roman"/>
          <w:color w:val="auto"/>
          <w:sz w:val="32"/>
          <w:szCs w:val="32"/>
          <w:highlight w:val="none"/>
          <w:lang w:val="en-US" w:eastAsia="zh-CN"/>
        </w:rPr>
      </w:pPr>
      <w:r>
        <w:rPr>
          <w:rFonts w:hint="eastAsia" w:eastAsia="仿宋" w:cs="Times New Roman"/>
          <w:color w:val="auto"/>
          <w:sz w:val="32"/>
          <w:szCs w:val="32"/>
          <w:highlight w:val="none"/>
          <w:lang w:val="en-US" w:eastAsia="zh-CN"/>
        </w:rPr>
        <w:t>本项目利用现有厂房，基本无土建施工；仅新增部分设备。施工期主要环境影响为设备安装噪声。施工期间，砂轮锯、切割机、汽车起重机、电动卷扬机、电锤等是主要的噪声源，施工期昼间场界噪声贡献值满足《建筑施工场界环境噪声排放标准》（GB12523-2011）；十三所职工住宅噪声贡献值及预测值均满足《声环境质量标准》（GB3096-2008）2类标准。因此施工期噪声对敏感点影响很小。</w:t>
      </w:r>
    </w:p>
    <w:p w14:paraId="7C950BD9">
      <w:pPr>
        <w:keepNext w:val="0"/>
        <w:keepLines w:val="0"/>
        <w:pageBreakBefore w:val="0"/>
        <w:widowControl w:val="0"/>
        <w:kinsoku/>
        <w:overflowPunct/>
        <w:topLinePunct w:val="0"/>
        <w:autoSpaceDE/>
        <w:autoSpaceDN/>
        <w:bidi w:val="0"/>
        <w:adjustRightInd w:val="0"/>
        <w:snapToGrid w:val="0"/>
        <w:spacing w:line="560" w:lineRule="exact"/>
        <w:ind w:firstLine="640" w:firstLineChars="200"/>
        <w:textAlignment w:val="auto"/>
        <w:rPr>
          <w:rFonts w:hint="eastAsia" w:eastAsia="仿宋" w:cs="Times New Roman"/>
          <w:color w:val="auto"/>
          <w:sz w:val="32"/>
          <w:szCs w:val="32"/>
          <w:highlight w:val="none"/>
          <w:lang w:val="en-US" w:eastAsia="zh-CN"/>
        </w:rPr>
      </w:pPr>
      <w:r>
        <w:rPr>
          <w:rFonts w:hint="eastAsia" w:eastAsia="仿宋" w:cs="Times New Roman"/>
          <w:color w:val="auto"/>
          <w:sz w:val="32"/>
          <w:szCs w:val="32"/>
          <w:highlight w:val="none"/>
          <w:lang w:val="en-US" w:eastAsia="zh-CN"/>
        </w:rPr>
        <w:t>建议在施工期间采取以下相应措施：加强施工管理，合理安排作业时间，严格按照施工噪声管理的有关规定；尽量采用低噪声施工设备和噪声低的施工方法；作业时在高噪声设备周围设置屏蔽。</w:t>
      </w:r>
    </w:p>
    <w:p w14:paraId="7AB45ED7">
      <w:pPr>
        <w:keepNext w:val="0"/>
        <w:keepLines w:val="0"/>
        <w:pageBreakBefore w:val="0"/>
        <w:widowControl w:val="0"/>
        <w:kinsoku/>
        <w:overflowPunct/>
        <w:topLinePunct w:val="0"/>
        <w:autoSpaceDE/>
        <w:autoSpaceDN/>
        <w:bidi w:val="0"/>
        <w:adjustRightInd w:val="0"/>
        <w:snapToGrid w:val="0"/>
        <w:spacing w:line="560" w:lineRule="exact"/>
        <w:ind w:firstLine="640" w:firstLineChars="200"/>
        <w:textAlignment w:val="auto"/>
        <w:rPr>
          <w:rFonts w:hint="eastAsia" w:eastAsia="仿宋" w:cs="Times New Roman"/>
          <w:color w:val="auto"/>
          <w:sz w:val="32"/>
          <w:szCs w:val="32"/>
          <w:highlight w:val="none"/>
          <w:lang w:val="en-US" w:eastAsia="zh-CN"/>
        </w:rPr>
      </w:pPr>
      <w:r>
        <w:rPr>
          <w:rFonts w:hint="eastAsia" w:eastAsia="仿宋" w:cs="Times New Roman"/>
          <w:color w:val="auto"/>
          <w:sz w:val="32"/>
          <w:szCs w:val="32"/>
          <w:highlight w:val="none"/>
          <w:lang w:val="en-US" w:eastAsia="zh-CN"/>
        </w:rPr>
        <w:t>另外，施工期间还会产生一定的废水和垃圾。</w:t>
      </w:r>
    </w:p>
    <w:p w14:paraId="35151711">
      <w:pPr>
        <w:keepNext w:val="0"/>
        <w:keepLines w:val="0"/>
        <w:pageBreakBefore w:val="0"/>
        <w:widowControl w:val="0"/>
        <w:kinsoku/>
        <w:overflowPunct/>
        <w:topLinePunct w:val="0"/>
        <w:autoSpaceDE/>
        <w:autoSpaceDN/>
        <w:bidi w:val="0"/>
        <w:adjustRightInd w:val="0"/>
        <w:snapToGrid w:val="0"/>
        <w:spacing w:line="560" w:lineRule="exact"/>
        <w:ind w:firstLine="640" w:firstLineChars="200"/>
        <w:textAlignment w:val="auto"/>
        <w:rPr>
          <w:rFonts w:hint="eastAsia" w:eastAsia="仿宋" w:cs="Times New Roman"/>
          <w:color w:val="auto"/>
          <w:sz w:val="32"/>
          <w:szCs w:val="32"/>
          <w:highlight w:val="none"/>
          <w:lang w:val="en-US" w:eastAsia="zh-CN"/>
        </w:rPr>
      </w:pPr>
      <w:r>
        <w:rPr>
          <w:rFonts w:hint="eastAsia" w:eastAsia="仿宋" w:cs="Times New Roman"/>
          <w:color w:val="auto"/>
          <w:sz w:val="32"/>
          <w:szCs w:val="32"/>
          <w:highlight w:val="none"/>
          <w:lang w:val="en-US" w:eastAsia="zh-CN"/>
        </w:rPr>
        <w:t>废水是由于施工队伍的生活活动造成的，包括洗涤废水和冲厕水。由于扩建项目在现有厂区施工，施工人员可依托厂区现有生活设施，利用厂区设施处理。施工期废水不会对环境产生影响。</w:t>
      </w:r>
    </w:p>
    <w:p w14:paraId="652496F4">
      <w:pPr>
        <w:keepNext w:val="0"/>
        <w:keepLines w:val="0"/>
        <w:pageBreakBefore w:val="0"/>
        <w:widowControl w:val="0"/>
        <w:kinsoku/>
        <w:overflowPunct/>
        <w:topLinePunct w:val="0"/>
        <w:autoSpaceDE/>
        <w:autoSpaceDN/>
        <w:bidi w:val="0"/>
        <w:adjustRightInd w:val="0"/>
        <w:snapToGrid w:val="0"/>
        <w:spacing w:line="560" w:lineRule="exact"/>
        <w:ind w:firstLine="640" w:firstLineChars="200"/>
        <w:textAlignment w:val="auto"/>
        <w:rPr>
          <w:rFonts w:hint="eastAsia" w:eastAsia="仿宋" w:cs="Times New Roman"/>
          <w:color w:val="auto"/>
          <w:sz w:val="32"/>
          <w:szCs w:val="32"/>
          <w:highlight w:val="none"/>
          <w:lang w:val="en-US" w:eastAsia="zh-CN"/>
        </w:rPr>
      </w:pPr>
      <w:r>
        <w:rPr>
          <w:rFonts w:hint="eastAsia" w:eastAsia="仿宋" w:cs="Times New Roman"/>
          <w:color w:val="auto"/>
          <w:sz w:val="32"/>
          <w:szCs w:val="32"/>
          <w:highlight w:val="none"/>
          <w:lang w:val="en-US" w:eastAsia="zh-CN"/>
        </w:rPr>
        <w:t>施工期产生的固体废物为建筑垃圾和生活垃圾。施工垃圾必须按照有关市容和环境卫生的管理规定及时清运到指定地点；生活垃圾利用现有厂区处理设施处置，严禁乱堆乱扔，防止产生二次污染。</w:t>
      </w:r>
    </w:p>
    <w:p w14:paraId="00E98FD8">
      <w:pPr>
        <w:keepNext w:val="0"/>
        <w:keepLines w:val="0"/>
        <w:pageBreakBefore w:val="0"/>
        <w:widowControl w:val="0"/>
        <w:kinsoku/>
        <w:overflowPunct/>
        <w:topLinePunct w:val="0"/>
        <w:autoSpaceDE/>
        <w:autoSpaceDN/>
        <w:bidi w:val="0"/>
        <w:adjustRightInd w:val="0"/>
        <w:snapToGrid w:val="0"/>
        <w:spacing w:line="560" w:lineRule="exact"/>
        <w:ind w:firstLine="640" w:firstLineChars="200"/>
        <w:textAlignment w:val="auto"/>
        <w:rPr>
          <w:rFonts w:hint="eastAsia" w:eastAsia="仿宋" w:cs="Times New Roman"/>
          <w:color w:val="auto"/>
          <w:sz w:val="32"/>
          <w:szCs w:val="32"/>
          <w:highlight w:val="none"/>
          <w:lang w:val="en-US" w:eastAsia="zh-CN"/>
        </w:rPr>
      </w:pPr>
      <w:r>
        <w:rPr>
          <w:rFonts w:hint="eastAsia" w:eastAsia="仿宋" w:cs="Times New Roman"/>
          <w:color w:val="auto"/>
          <w:sz w:val="32"/>
          <w:szCs w:val="32"/>
          <w:highlight w:val="none"/>
          <w:lang w:val="en-US" w:eastAsia="zh-CN"/>
        </w:rPr>
        <w:t>施工结束后，施工影响即可消除。</w:t>
      </w:r>
    </w:p>
    <w:p w14:paraId="1DF6D3AA">
      <w:pPr>
        <w:keepNext w:val="0"/>
        <w:keepLines w:val="0"/>
        <w:pageBreakBefore w:val="0"/>
        <w:widowControl w:val="0"/>
        <w:kinsoku/>
        <w:overflowPunct/>
        <w:topLinePunct w:val="0"/>
        <w:autoSpaceDE/>
        <w:autoSpaceDN/>
        <w:bidi w:val="0"/>
        <w:adjustRightInd w:val="0"/>
        <w:snapToGrid w:val="0"/>
        <w:spacing w:line="560" w:lineRule="exact"/>
        <w:ind w:firstLine="643" w:firstLineChars="200"/>
        <w:textAlignment w:val="auto"/>
        <w:rPr>
          <w:rFonts w:hint="default" w:ascii="Times New Roman" w:hAnsi="Times New Roman" w:eastAsia="仿宋" w:cs="Times New Roman"/>
          <w:b/>
          <w:bCs/>
          <w:color w:val="auto"/>
          <w:sz w:val="32"/>
          <w:szCs w:val="32"/>
          <w:highlight w:val="none"/>
        </w:rPr>
      </w:pPr>
      <w:r>
        <w:rPr>
          <w:rFonts w:hint="default" w:ascii="Times New Roman" w:hAnsi="Times New Roman" w:eastAsia="仿宋" w:cs="Times New Roman"/>
          <w:b/>
          <w:bCs/>
          <w:color w:val="auto"/>
          <w:sz w:val="32"/>
          <w:szCs w:val="32"/>
          <w:highlight w:val="none"/>
          <w:lang w:val="en-US" w:eastAsia="zh-CN"/>
        </w:rPr>
        <w:t>2、</w:t>
      </w:r>
      <w:r>
        <w:rPr>
          <w:rFonts w:hint="default" w:ascii="Times New Roman" w:hAnsi="Times New Roman" w:eastAsia="仿宋" w:cs="Times New Roman"/>
          <w:b/>
          <w:bCs/>
          <w:color w:val="auto"/>
          <w:sz w:val="32"/>
          <w:szCs w:val="32"/>
          <w:highlight w:val="none"/>
        </w:rPr>
        <w:t>营运期环境影响分析结论</w:t>
      </w:r>
    </w:p>
    <w:p w14:paraId="7FDF6CEB">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bCs/>
          <w:color w:val="auto"/>
          <w:sz w:val="32"/>
          <w:szCs w:val="32"/>
          <w:highlight w:val="none"/>
          <w:lang w:val="en-US" w:eastAsia="zh-CN"/>
        </w:rPr>
      </w:pPr>
      <w:bookmarkStart w:id="3" w:name="_Toc14338"/>
      <w:r>
        <w:rPr>
          <w:rFonts w:hint="default" w:ascii="Times New Roman" w:hAnsi="Times New Roman" w:eastAsia="仿宋" w:cs="Times New Roman"/>
          <w:b/>
          <w:bCs/>
          <w:color w:val="auto"/>
          <w:sz w:val="32"/>
          <w:szCs w:val="32"/>
          <w:highlight w:val="none"/>
          <w:lang w:val="en-US" w:eastAsia="zh-CN"/>
        </w:rPr>
        <w:t>（1）大气环境影响</w:t>
      </w:r>
    </w:p>
    <w:p w14:paraId="6C5F0961">
      <w:pPr>
        <w:adjustRightInd w:val="0"/>
        <w:snapToGrid w:val="0"/>
        <w:spacing w:line="600" w:lineRule="exact"/>
        <w:ind w:firstLine="640" w:firstLineChars="200"/>
        <w:rPr>
          <w:rFonts w:hint="default" w:ascii="Times New Roman" w:hAnsi="Times New Roman" w:eastAsia="仿宋" w:cs="Times New Roman"/>
          <w:color w:val="auto"/>
          <w:sz w:val="32"/>
          <w:szCs w:val="32"/>
          <w:highlight w:val="none"/>
          <w:lang w:val="en-US" w:eastAsia="zh-CN"/>
        </w:rPr>
      </w:pPr>
      <w:r>
        <w:rPr>
          <w:rFonts w:hint="default" w:eastAsia="仿宋" w:cs="Times New Roman"/>
          <w:strike w:val="0"/>
          <w:dstrike w:val="0"/>
          <w:color w:val="auto"/>
          <w:kern w:val="2"/>
          <w:sz w:val="32"/>
          <w:szCs w:val="32"/>
          <w:highlight w:val="none"/>
          <w:lang w:val="en-US" w:eastAsia="zh-CN" w:bidi="ar-SA"/>
        </w:rPr>
        <w:t>本项目废气主要包括含氰废气、含铬废气、酸碱废气、有机废气、污水站废气，含氰废气破氰后采用洗涤塔处理、含铬废气理采用用网格+过滤球+喷淋吸收净处理、酸碱废气采用洗涤塔处理。有机废气采用二级活性炭吸附装置处理。污水站废气采用酸性洗涤塔+生物除臭洗涤塔处理。</w:t>
      </w:r>
    </w:p>
    <w:p w14:paraId="1F7B5876">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bCs/>
          <w:color w:val="auto"/>
          <w:sz w:val="32"/>
          <w:szCs w:val="32"/>
          <w:highlight w:val="none"/>
          <w:lang w:val="en-US" w:eastAsia="zh-CN"/>
        </w:rPr>
      </w:pPr>
      <w:r>
        <w:rPr>
          <w:rFonts w:hint="default" w:ascii="Times New Roman" w:hAnsi="Times New Roman" w:eastAsia="仿宋" w:cs="Times New Roman"/>
          <w:b/>
          <w:bCs/>
          <w:color w:val="auto"/>
          <w:sz w:val="32"/>
          <w:szCs w:val="32"/>
          <w:highlight w:val="none"/>
          <w:lang w:val="en-US" w:eastAsia="zh-CN"/>
        </w:rPr>
        <w:t>（2）</w:t>
      </w:r>
      <w:r>
        <w:rPr>
          <w:rFonts w:hint="eastAsia" w:ascii="Times New Roman" w:hAnsi="Times New Roman" w:eastAsia="仿宋" w:cs="Times New Roman"/>
          <w:b/>
          <w:bCs/>
          <w:color w:val="auto"/>
          <w:sz w:val="32"/>
          <w:szCs w:val="32"/>
          <w:highlight w:val="none"/>
          <w:lang w:val="en-US" w:eastAsia="zh-CN"/>
        </w:rPr>
        <w:t>废水</w:t>
      </w:r>
      <w:r>
        <w:rPr>
          <w:rFonts w:hint="default" w:ascii="Times New Roman" w:hAnsi="Times New Roman" w:eastAsia="仿宋" w:cs="Times New Roman"/>
          <w:b/>
          <w:bCs/>
          <w:color w:val="auto"/>
          <w:sz w:val="32"/>
          <w:szCs w:val="32"/>
          <w:highlight w:val="none"/>
          <w:lang w:val="en-US" w:eastAsia="zh-CN"/>
        </w:rPr>
        <w:t>环境影响</w:t>
      </w:r>
    </w:p>
    <w:p w14:paraId="5434F7F3">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eastAsia="仿宋" w:cs="Times New Roman"/>
          <w:strike w:val="0"/>
          <w:dstrike w:val="0"/>
          <w:color w:val="auto"/>
          <w:kern w:val="2"/>
          <w:sz w:val="32"/>
          <w:szCs w:val="32"/>
          <w:highlight w:val="none"/>
          <w:lang w:val="en-US" w:eastAsia="zh-CN" w:bidi="ar-SA"/>
        </w:rPr>
      </w:pPr>
      <w:r>
        <w:rPr>
          <w:rFonts w:hint="default" w:eastAsia="仿宋" w:cs="Times New Roman"/>
          <w:strike w:val="0"/>
          <w:dstrike w:val="0"/>
          <w:color w:val="auto"/>
          <w:kern w:val="2"/>
          <w:sz w:val="32"/>
          <w:szCs w:val="32"/>
          <w:highlight w:val="none"/>
          <w:lang w:val="en-US" w:eastAsia="zh-CN" w:bidi="ar-SA"/>
        </w:rPr>
        <w:t>生产废水分类收集、分类处置，预处理后的各类废水排入污水站进一步处理。污水站采用物化沉淀+生化处理+膜处理+电渗析。废水处理后生成电阻率&gt;10MΩ超纯水回用于生产。产生的浓水经蒸发器浓缩后作为危废处置。</w:t>
      </w:r>
    </w:p>
    <w:p w14:paraId="44EF1776">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eastAsia="仿宋" w:cs="Times New Roman"/>
          <w:strike w:val="0"/>
          <w:dstrike w:val="0"/>
          <w:color w:val="auto"/>
          <w:kern w:val="2"/>
          <w:sz w:val="32"/>
          <w:szCs w:val="32"/>
          <w:highlight w:val="none"/>
          <w:lang w:val="en-US" w:eastAsia="zh-CN" w:bidi="ar-SA"/>
        </w:rPr>
      </w:pPr>
      <w:r>
        <w:rPr>
          <w:rFonts w:hint="default" w:eastAsia="仿宋" w:cs="Times New Roman"/>
          <w:strike w:val="0"/>
          <w:dstrike w:val="0"/>
          <w:color w:val="auto"/>
          <w:kern w:val="2"/>
          <w:sz w:val="32"/>
          <w:szCs w:val="32"/>
          <w:highlight w:val="none"/>
          <w:lang w:val="en-US" w:eastAsia="zh-CN" w:bidi="ar-SA"/>
        </w:rPr>
        <w:t>废槽液：废清洗液（除铬酸洗废清洗液外）分批送至污水站处理，其中腐蚀工序废清洗液送至污水站前首先进行破氰预处理，亚硫酸钠清洗工序废清洗液引入含铬废水车间还原池；铬酸洗工序废清洗液将六价铬还原为三价铬后作为危废送资质单位处置，采用亚硫酸氢钠和硫酸还原六价铬工艺；废镀液作为危废送资质单位处置。</w:t>
      </w:r>
    </w:p>
    <w:p w14:paraId="51E27A04">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bCs/>
          <w:color w:val="auto"/>
          <w:sz w:val="32"/>
          <w:szCs w:val="32"/>
          <w:highlight w:val="none"/>
          <w:lang w:val="en-US" w:eastAsia="zh-CN"/>
        </w:rPr>
      </w:pPr>
      <w:r>
        <w:rPr>
          <w:rFonts w:hint="default" w:ascii="Times New Roman" w:hAnsi="Times New Roman" w:eastAsia="仿宋" w:cs="Times New Roman"/>
          <w:b/>
          <w:bCs/>
          <w:color w:val="auto"/>
          <w:sz w:val="32"/>
          <w:szCs w:val="32"/>
          <w:highlight w:val="none"/>
          <w:lang w:val="en-US" w:eastAsia="zh-CN"/>
        </w:rPr>
        <w:t>（3）声环境影响</w:t>
      </w:r>
    </w:p>
    <w:p w14:paraId="6FD1530E">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eastAsia="仿宋" w:cs="Times New Roman"/>
          <w:strike w:val="0"/>
          <w:dstrike w:val="0"/>
          <w:color w:val="auto"/>
          <w:kern w:val="2"/>
          <w:sz w:val="32"/>
          <w:szCs w:val="32"/>
          <w:highlight w:val="none"/>
          <w:lang w:val="en-US" w:eastAsia="zh-CN" w:bidi="ar-SA"/>
        </w:rPr>
      </w:pPr>
      <w:r>
        <w:rPr>
          <w:rFonts w:hint="default" w:eastAsia="仿宋" w:cs="Times New Roman"/>
          <w:strike w:val="0"/>
          <w:dstrike w:val="0"/>
          <w:color w:val="auto"/>
          <w:kern w:val="2"/>
          <w:sz w:val="32"/>
          <w:szCs w:val="32"/>
          <w:highlight w:val="none"/>
          <w:lang w:val="en-US" w:eastAsia="zh-CN" w:bidi="ar-SA"/>
        </w:rPr>
        <w:t>本项目选用低噪声设备；采用室内布置、设置减振基座进行消声；楼顶设置声屏障。</w:t>
      </w:r>
    </w:p>
    <w:p w14:paraId="2CB7074B">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bCs/>
          <w:color w:val="auto"/>
          <w:sz w:val="32"/>
          <w:szCs w:val="32"/>
          <w:highlight w:val="none"/>
          <w:lang w:val="en-US" w:eastAsia="zh-CN"/>
        </w:rPr>
      </w:pPr>
      <w:r>
        <w:rPr>
          <w:rFonts w:hint="default" w:ascii="Times New Roman" w:hAnsi="Times New Roman" w:eastAsia="仿宋" w:cs="Times New Roman"/>
          <w:b/>
          <w:bCs/>
          <w:color w:val="auto"/>
          <w:sz w:val="32"/>
          <w:szCs w:val="32"/>
          <w:highlight w:val="none"/>
          <w:lang w:val="en-US" w:eastAsia="zh-CN"/>
        </w:rPr>
        <w:t>（4）固体废物影响</w:t>
      </w:r>
    </w:p>
    <w:p w14:paraId="4AE7780B">
      <w:pPr>
        <w:adjustRightInd w:val="0"/>
        <w:snapToGrid w:val="0"/>
        <w:spacing w:line="600" w:lineRule="exact"/>
        <w:ind w:firstLine="640" w:firstLineChars="200"/>
        <w:rPr>
          <w:rFonts w:hint="default" w:eastAsia="仿宋" w:cs="Times New Roman"/>
          <w:strike w:val="0"/>
          <w:dstrike w:val="0"/>
          <w:color w:val="auto"/>
          <w:kern w:val="2"/>
          <w:sz w:val="32"/>
          <w:szCs w:val="32"/>
          <w:highlight w:val="none"/>
          <w:lang w:val="en-US" w:eastAsia="zh-CN" w:bidi="ar-SA"/>
        </w:rPr>
      </w:pPr>
      <w:r>
        <w:rPr>
          <w:rFonts w:hint="default" w:eastAsia="仿宋" w:cs="Times New Roman"/>
          <w:strike w:val="0"/>
          <w:dstrike w:val="0"/>
          <w:color w:val="auto"/>
          <w:kern w:val="2"/>
          <w:sz w:val="32"/>
          <w:szCs w:val="32"/>
          <w:highlight w:val="none"/>
          <w:lang w:val="en-US" w:eastAsia="zh-CN" w:bidi="ar-SA"/>
        </w:rPr>
        <w:t>废下脚料外售综合处置。废滤袋由厂家回收。</w:t>
      </w:r>
    </w:p>
    <w:p w14:paraId="79B1B615">
      <w:pPr>
        <w:adjustRightInd w:val="0"/>
        <w:snapToGrid w:val="0"/>
        <w:spacing w:line="600" w:lineRule="exact"/>
        <w:ind w:firstLine="640" w:firstLineChars="200"/>
        <w:rPr>
          <w:rFonts w:hint="default" w:eastAsia="仿宋" w:cs="Times New Roman"/>
          <w:strike w:val="0"/>
          <w:dstrike w:val="0"/>
          <w:color w:val="auto"/>
          <w:kern w:val="2"/>
          <w:sz w:val="32"/>
          <w:szCs w:val="32"/>
          <w:highlight w:val="none"/>
          <w:lang w:val="en-US" w:eastAsia="zh-CN" w:bidi="ar-SA"/>
        </w:rPr>
      </w:pPr>
      <w:r>
        <w:rPr>
          <w:rFonts w:hint="default" w:eastAsia="仿宋" w:cs="Times New Roman"/>
          <w:strike w:val="0"/>
          <w:dstrike w:val="0"/>
          <w:color w:val="auto"/>
          <w:kern w:val="2"/>
          <w:sz w:val="32"/>
          <w:szCs w:val="32"/>
          <w:highlight w:val="none"/>
          <w:lang w:val="en-US" w:eastAsia="zh-CN" w:bidi="ar-SA"/>
        </w:rPr>
        <w:t>蒸发器产生的污盐、铬酸洗废清洗液、镀金废镀液、镀镍废镀液、退镀金废镀液、退镀镍废镀液、氢氧化铬沉淀、氢氧化镍沉淀、废膜、板框压滤机废滤布、剩余污泥、废包装、废硝酸、废乙醇清洗液、废活性炭、镀镍槽过滤槽渣及滤芯、镀金槽过滤槽渣及滤芯、废过滤棉均为危险废物，在厂内危废暂存场所暂存后交由有资质的单位处理处置。本项目建设危废暂存场所3个，共设置危废库3个，1#危废库面积30m</w:t>
      </w:r>
      <w:r>
        <w:rPr>
          <w:rFonts w:hint="default" w:eastAsia="仿宋" w:cs="Times New Roman"/>
          <w:strike w:val="0"/>
          <w:dstrike w:val="0"/>
          <w:color w:val="auto"/>
          <w:kern w:val="2"/>
          <w:sz w:val="32"/>
          <w:szCs w:val="32"/>
          <w:highlight w:val="none"/>
          <w:vertAlign w:val="superscript"/>
          <w:lang w:val="en-US" w:eastAsia="zh-CN" w:bidi="ar-SA"/>
        </w:rPr>
        <w:t>2</w:t>
      </w:r>
      <w:r>
        <w:rPr>
          <w:rFonts w:hint="default" w:eastAsia="仿宋" w:cs="Times New Roman"/>
          <w:strike w:val="0"/>
          <w:dstrike w:val="0"/>
          <w:color w:val="auto"/>
          <w:kern w:val="2"/>
          <w:sz w:val="32"/>
          <w:szCs w:val="32"/>
          <w:highlight w:val="none"/>
          <w:lang w:val="en-US" w:eastAsia="zh-CN" w:bidi="ar-SA"/>
        </w:rPr>
        <w:t>，位于厂房一层北部，用于暂存废硝酸、剩余污泥；3#危废库面积40m</w:t>
      </w:r>
      <w:r>
        <w:rPr>
          <w:rFonts w:hint="default" w:eastAsia="仿宋" w:cs="Times New Roman"/>
          <w:strike w:val="0"/>
          <w:dstrike w:val="0"/>
          <w:color w:val="auto"/>
          <w:kern w:val="2"/>
          <w:sz w:val="32"/>
          <w:szCs w:val="32"/>
          <w:highlight w:val="none"/>
          <w:vertAlign w:val="superscript"/>
          <w:lang w:val="en-US" w:eastAsia="zh-CN" w:bidi="ar-SA"/>
        </w:rPr>
        <w:t>2</w:t>
      </w:r>
      <w:r>
        <w:rPr>
          <w:rFonts w:hint="default" w:eastAsia="仿宋" w:cs="Times New Roman"/>
          <w:strike w:val="0"/>
          <w:dstrike w:val="0"/>
          <w:color w:val="auto"/>
          <w:kern w:val="2"/>
          <w:sz w:val="32"/>
          <w:szCs w:val="32"/>
          <w:highlight w:val="none"/>
          <w:lang w:val="en-US" w:eastAsia="zh-CN" w:bidi="ar-SA"/>
        </w:rPr>
        <w:t>，位于厂房外西侧中部，用于存放氢氧化铬沉淀、氢氧化镍沉淀、废镀液、铬酸废清洗液、污盐；2#危废库面积80m</w:t>
      </w:r>
      <w:r>
        <w:rPr>
          <w:rFonts w:hint="default" w:eastAsia="仿宋" w:cs="Times New Roman"/>
          <w:strike w:val="0"/>
          <w:dstrike w:val="0"/>
          <w:color w:val="auto"/>
          <w:kern w:val="2"/>
          <w:sz w:val="32"/>
          <w:szCs w:val="32"/>
          <w:highlight w:val="none"/>
          <w:vertAlign w:val="superscript"/>
          <w:lang w:val="en-US" w:eastAsia="zh-CN" w:bidi="ar-SA"/>
        </w:rPr>
        <w:t>2</w:t>
      </w:r>
      <w:r>
        <w:rPr>
          <w:rFonts w:hint="default" w:eastAsia="仿宋" w:cs="Times New Roman"/>
          <w:strike w:val="0"/>
          <w:dstrike w:val="0"/>
          <w:color w:val="auto"/>
          <w:kern w:val="2"/>
          <w:sz w:val="32"/>
          <w:szCs w:val="32"/>
          <w:highlight w:val="none"/>
          <w:lang w:val="en-US" w:eastAsia="zh-CN" w:bidi="ar-SA"/>
        </w:rPr>
        <w:t>，位于厂房外西北部，用于储存其他危废。危险废物暂存场所按照《危险废物贮存污染控制标准》(GB18597-2023)、《危险废物收集贮存运输技术规范》(HJ2025-2012)中的相关内容设置。</w:t>
      </w:r>
    </w:p>
    <w:p w14:paraId="5051C115">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bCs/>
          <w:color w:val="auto"/>
          <w:sz w:val="32"/>
          <w:szCs w:val="32"/>
          <w:highlight w:val="none"/>
        </w:rPr>
      </w:pPr>
      <w:r>
        <w:rPr>
          <w:rFonts w:hint="default" w:ascii="Times New Roman" w:hAnsi="Times New Roman" w:eastAsia="仿宋" w:cs="Times New Roman"/>
          <w:b/>
          <w:bCs/>
          <w:color w:val="auto"/>
          <w:sz w:val="32"/>
          <w:szCs w:val="32"/>
          <w:highlight w:val="none"/>
        </w:rPr>
        <w:t>（</w:t>
      </w:r>
      <w:r>
        <w:rPr>
          <w:rFonts w:hint="default" w:ascii="Times New Roman" w:hAnsi="Times New Roman" w:eastAsia="仿宋" w:cs="Times New Roman"/>
          <w:b/>
          <w:bCs/>
          <w:color w:val="auto"/>
          <w:sz w:val="32"/>
          <w:szCs w:val="32"/>
          <w:highlight w:val="none"/>
          <w:lang w:val="en-US" w:eastAsia="zh-CN"/>
        </w:rPr>
        <w:t>6</w:t>
      </w:r>
      <w:r>
        <w:rPr>
          <w:rFonts w:hint="default" w:ascii="Times New Roman" w:hAnsi="Times New Roman" w:eastAsia="仿宋" w:cs="Times New Roman"/>
          <w:b/>
          <w:bCs/>
          <w:color w:val="auto"/>
          <w:sz w:val="32"/>
          <w:szCs w:val="32"/>
          <w:highlight w:val="none"/>
        </w:rPr>
        <w:t>）环境风险评价</w:t>
      </w:r>
    </w:p>
    <w:p w14:paraId="579962D4">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eastAsia="仿宋" w:cs="Times New Roman"/>
          <w:strike w:val="0"/>
          <w:dstrike w:val="0"/>
          <w:color w:val="auto"/>
          <w:kern w:val="2"/>
          <w:sz w:val="32"/>
          <w:szCs w:val="32"/>
          <w:highlight w:val="none"/>
          <w:lang w:val="de-DE" w:eastAsia="zh-CN" w:bidi="ar-SA"/>
        </w:rPr>
      </w:pPr>
      <w:r>
        <w:rPr>
          <w:rFonts w:hint="eastAsia" w:eastAsia="仿宋" w:cs="Times New Roman"/>
          <w:strike w:val="0"/>
          <w:dstrike w:val="0"/>
          <w:color w:val="auto"/>
          <w:kern w:val="2"/>
          <w:sz w:val="32"/>
          <w:szCs w:val="32"/>
          <w:highlight w:val="none"/>
          <w:lang w:val="en-US" w:eastAsia="zh-CN" w:bidi="ar-SA"/>
        </w:rPr>
        <w:t>①</w:t>
      </w:r>
      <w:r>
        <w:rPr>
          <w:rFonts w:hint="default" w:eastAsia="仿宋" w:cs="Times New Roman"/>
          <w:strike w:val="0"/>
          <w:dstrike w:val="0"/>
          <w:color w:val="auto"/>
          <w:kern w:val="2"/>
          <w:sz w:val="32"/>
          <w:szCs w:val="32"/>
          <w:highlight w:val="none"/>
          <w:lang w:val="de-DE" w:eastAsia="zh-CN" w:bidi="ar-SA"/>
        </w:rPr>
        <w:t>泄漏事故后果分析</w:t>
      </w:r>
    </w:p>
    <w:p w14:paraId="45947D0B">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eastAsia="仿宋" w:cs="Times New Roman"/>
          <w:strike w:val="0"/>
          <w:dstrike w:val="0"/>
          <w:color w:val="auto"/>
          <w:kern w:val="2"/>
          <w:sz w:val="32"/>
          <w:szCs w:val="32"/>
          <w:highlight w:val="none"/>
          <w:lang w:val="de-DE" w:eastAsia="zh-CN" w:bidi="ar-SA"/>
        </w:rPr>
      </w:pPr>
      <w:r>
        <w:rPr>
          <w:rFonts w:hint="default" w:eastAsia="仿宋" w:cs="Times New Roman"/>
          <w:strike w:val="0"/>
          <w:dstrike w:val="0"/>
          <w:color w:val="auto"/>
          <w:kern w:val="2"/>
          <w:sz w:val="32"/>
          <w:szCs w:val="32"/>
          <w:highlight w:val="none"/>
          <w:lang w:val="de-DE" w:eastAsia="zh-CN" w:bidi="ar-SA"/>
        </w:rPr>
        <w:t>废水收集池泄漏事故后果分析</w:t>
      </w:r>
      <w:r>
        <w:rPr>
          <w:rFonts w:hint="eastAsia" w:eastAsia="仿宋" w:cs="Times New Roman"/>
          <w:strike w:val="0"/>
          <w:dstrike w:val="0"/>
          <w:color w:val="auto"/>
          <w:kern w:val="2"/>
          <w:sz w:val="32"/>
          <w:szCs w:val="32"/>
          <w:highlight w:val="none"/>
          <w:lang w:val="de-DE" w:eastAsia="zh-CN" w:bidi="ar-SA"/>
        </w:rPr>
        <w:t>：</w:t>
      </w:r>
      <w:r>
        <w:rPr>
          <w:rFonts w:hint="default" w:eastAsia="仿宋" w:cs="Times New Roman"/>
          <w:strike w:val="0"/>
          <w:dstrike w:val="0"/>
          <w:color w:val="auto"/>
          <w:kern w:val="2"/>
          <w:sz w:val="32"/>
          <w:szCs w:val="32"/>
          <w:highlight w:val="none"/>
          <w:lang w:val="de-DE" w:eastAsia="zh-CN" w:bidi="ar-SA"/>
        </w:rPr>
        <w:t>废水收集池泄漏事故发生后对地下水的影响见地下水环境影响预测。在发生泄漏事故情况下，镍、氰化物、六价铬的超标范围均在厂界内，不会对周围环境产生影响。</w:t>
      </w:r>
    </w:p>
    <w:p w14:paraId="47D81DA5">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eastAsia="仿宋" w:cs="Times New Roman"/>
          <w:strike w:val="0"/>
          <w:dstrike w:val="0"/>
          <w:color w:val="auto"/>
          <w:kern w:val="2"/>
          <w:sz w:val="32"/>
          <w:szCs w:val="32"/>
          <w:highlight w:val="none"/>
          <w:lang w:val="de-DE" w:eastAsia="zh-CN" w:bidi="ar-SA"/>
        </w:rPr>
      </w:pPr>
      <w:r>
        <w:rPr>
          <w:rFonts w:hint="default" w:eastAsia="仿宋" w:cs="Times New Roman"/>
          <w:strike w:val="0"/>
          <w:dstrike w:val="0"/>
          <w:color w:val="auto"/>
          <w:kern w:val="2"/>
          <w:sz w:val="32"/>
          <w:szCs w:val="32"/>
          <w:highlight w:val="none"/>
          <w:lang w:val="de-DE" w:eastAsia="zh-CN" w:bidi="ar-SA"/>
        </w:rPr>
        <w:t>电镀车间泄漏事故后果分析</w:t>
      </w:r>
      <w:r>
        <w:rPr>
          <w:rFonts w:hint="eastAsia" w:eastAsia="仿宋" w:cs="Times New Roman"/>
          <w:strike w:val="0"/>
          <w:dstrike w:val="0"/>
          <w:color w:val="auto"/>
          <w:kern w:val="2"/>
          <w:sz w:val="32"/>
          <w:szCs w:val="32"/>
          <w:highlight w:val="none"/>
          <w:lang w:val="de-DE" w:eastAsia="zh-CN" w:bidi="ar-SA"/>
        </w:rPr>
        <w:t>：</w:t>
      </w:r>
      <w:r>
        <w:rPr>
          <w:rFonts w:hint="default" w:eastAsia="仿宋" w:cs="Times New Roman"/>
          <w:strike w:val="0"/>
          <w:dstrike w:val="0"/>
          <w:color w:val="auto"/>
          <w:kern w:val="2"/>
          <w:sz w:val="32"/>
          <w:szCs w:val="32"/>
          <w:highlight w:val="none"/>
          <w:lang w:val="de-DE" w:eastAsia="zh-CN" w:bidi="ar-SA"/>
        </w:rPr>
        <w:t>镀槽破损产生镀液泄漏时，车间设置的事故罐可收集泄漏镀液，项目最大镀槽容积为0.82m</w:t>
      </w:r>
      <w:r>
        <w:rPr>
          <w:rFonts w:hint="default" w:eastAsia="仿宋" w:cs="Times New Roman"/>
          <w:strike w:val="0"/>
          <w:dstrike w:val="0"/>
          <w:color w:val="auto"/>
          <w:kern w:val="2"/>
          <w:sz w:val="32"/>
          <w:szCs w:val="32"/>
          <w:highlight w:val="none"/>
          <w:vertAlign w:val="superscript"/>
          <w:lang w:val="de-DE" w:eastAsia="zh-CN" w:bidi="ar-SA"/>
        </w:rPr>
        <w:t>3</w:t>
      </w:r>
      <w:r>
        <w:rPr>
          <w:rFonts w:hint="default" w:eastAsia="仿宋" w:cs="Times New Roman"/>
          <w:strike w:val="0"/>
          <w:dstrike w:val="0"/>
          <w:color w:val="auto"/>
          <w:kern w:val="2"/>
          <w:sz w:val="32"/>
          <w:szCs w:val="32"/>
          <w:highlight w:val="none"/>
          <w:lang w:val="de-DE" w:eastAsia="zh-CN" w:bidi="ar-SA"/>
        </w:rPr>
        <w:t>，车间设置1m</w:t>
      </w:r>
      <w:r>
        <w:rPr>
          <w:rFonts w:hint="default" w:eastAsia="仿宋" w:cs="Times New Roman"/>
          <w:strike w:val="0"/>
          <w:dstrike w:val="0"/>
          <w:color w:val="auto"/>
          <w:kern w:val="2"/>
          <w:sz w:val="32"/>
          <w:szCs w:val="32"/>
          <w:highlight w:val="none"/>
          <w:vertAlign w:val="superscript"/>
          <w:lang w:val="de-DE" w:eastAsia="zh-CN" w:bidi="ar-SA"/>
        </w:rPr>
        <w:t>3</w:t>
      </w:r>
      <w:r>
        <w:rPr>
          <w:rFonts w:hint="default" w:eastAsia="仿宋" w:cs="Times New Roman"/>
          <w:strike w:val="0"/>
          <w:dstrike w:val="0"/>
          <w:color w:val="auto"/>
          <w:kern w:val="2"/>
          <w:sz w:val="32"/>
          <w:szCs w:val="32"/>
          <w:highlight w:val="none"/>
          <w:lang w:val="de-DE" w:eastAsia="zh-CN" w:bidi="ar-SA"/>
        </w:rPr>
        <w:t>事故罐2个，可以容纳最不利情况即最大镀槽镀液全部泄漏量。在镀液泄漏的情况下不会对地表水环境造成影响。</w:t>
      </w:r>
    </w:p>
    <w:p w14:paraId="31099D69">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eastAsia="仿宋" w:cs="Times New Roman"/>
          <w:strike w:val="0"/>
          <w:dstrike w:val="0"/>
          <w:color w:val="auto"/>
          <w:kern w:val="2"/>
          <w:sz w:val="32"/>
          <w:szCs w:val="32"/>
          <w:highlight w:val="none"/>
          <w:lang w:val="de-DE" w:eastAsia="zh-CN" w:bidi="ar-SA"/>
        </w:rPr>
      </w:pPr>
      <w:r>
        <w:rPr>
          <w:rFonts w:hint="default" w:eastAsia="仿宋" w:cs="Times New Roman"/>
          <w:strike w:val="0"/>
          <w:dstrike w:val="0"/>
          <w:color w:val="auto"/>
          <w:kern w:val="2"/>
          <w:sz w:val="32"/>
          <w:szCs w:val="32"/>
          <w:highlight w:val="none"/>
          <w:lang w:val="de-DE" w:eastAsia="zh-CN" w:bidi="ar-SA"/>
        </w:rPr>
        <w:t>危废暂存间泄漏事故后果分析</w:t>
      </w:r>
      <w:r>
        <w:rPr>
          <w:rFonts w:hint="eastAsia" w:eastAsia="仿宋" w:cs="Times New Roman"/>
          <w:strike w:val="0"/>
          <w:dstrike w:val="0"/>
          <w:color w:val="auto"/>
          <w:kern w:val="2"/>
          <w:sz w:val="32"/>
          <w:szCs w:val="32"/>
          <w:highlight w:val="none"/>
          <w:lang w:val="de-DE" w:eastAsia="zh-CN" w:bidi="ar-SA"/>
        </w:rPr>
        <w:t>：</w:t>
      </w:r>
      <w:r>
        <w:rPr>
          <w:rFonts w:hint="default" w:eastAsia="仿宋" w:cs="Times New Roman"/>
          <w:strike w:val="0"/>
          <w:dstrike w:val="0"/>
          <w:color w:val="auto"/>
          <w:kern w:val="2"/>
          <w:sz w:val="32"/>
          <w:szCs w:val="32"/>
          <w:highlight w:val="none"/>
          <w:lang w:val="de-DE" w:eastAsia="zh-CN" w:bidi="ar-SA"/>
        </w:rPr>
        <w:t>危废暂存间暂存的液态危废产生泄漏时，暂存间围堰可防止危废漫流至其他区域，泄漏物料通过物料收集设施收集，不会对地表水环境造成影响。</w:t>
      </w:r>
    </w:p>
    <w:p w14:paraId="2A55C895">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eastAsia" w:eastAsia="仿宋" w:cs="Times New Roman"/>
          <w:strike w:val="0"/>
          <w:dstrike w:val="0"/>
          <w:color w:val="auto"/>
          <w:kern w:val="2"/>
          <w:sz w:val="32"/>
          <w:szCs w:val="32"/>
          <w:highlight w:val="none"/>
          <w:lang w:val="de-DE" w:eastAsia="zh-CN" w:bidi="ar-SA"/>
        </w:rPr>
      </w:pPr>
      <w:r>
        <w:rPr>
          <w:rFonts w:hint="eastAsia" w:eastAsia="仿宋" w:cs="Times New Roman"/>
          <w:strike w:val="0"/>
          <w:dstrike w:val="0"/>
          <w:color w:val="auto"/>
          <w:kern w:val="2"/>
          <w:sz w:val="32"/>
          <w:szCs w:val="32"/>
          <w:highlight w:val="none"/>
          <w:lang w:val="en-US" w:eastAsia="zh-CN" w:bidi="ar-SA"/>
        </w:rPr>
        <w:t>②</w:t>
      </w:r>
      <w:r>
        <w:rPr>
          <w:rFonts w:hint="eastAsia" w:eastAsia="仿宋" w:cs="Times New Roman"/>
          <w:strike w:val="0"/>
          <w:dstrike w:val="0"/>
          <w:color w:val="auto"/>
          <w:kern w:val="2"/>
          <w:sz w:val="32"/>
          <w:szCs w:val="32"/>
          <w:highlight w:val="none"/>
          <w:lang w:val="de-DE" w:eastAsia="zh-CN" w:bidi="ar-SA"/>
        </w:rPr>
        <w:t>大气环境风险评价</w:t>
      </w:r>
    </w:p>
    <w:p w14:paraId="6255AAD4">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eastAsia="仿宋" w:cs="Times New Roman"/>
          <w:strike w:val="0"/>
          <w:dstrike w:val="0"/>
          <w:color w:val="auto"/>
          <w:kern w:val="2"/>
          <w:sz w:val="32"/>
          <w:szCs w:val="32"/>
          <w:highlight w:val="none"/>
          <w:lang w:val="en-US" w:eastAsia="zh-CN" w:bidi="ar-SA"/>
        </w:rPr>
      </w:pPr>
      <w:r>
        <w:rPr>
          <w:rFonts w:hint="eastAsia" w:eastAsia="仿宋" w:cs="Times New Roman"/>
          <w:strike w:val="0"/>
          <w:dstrike w:val="0"/>
          <w:color w:val="auto"/>
          <w:kern w:val="2"/>
          <w:sz w:val="32"/>
          <w:szCs w:val="32"/>
          <w:highlight w:val="none"/>
          <w:lang w:val="de-DE" w:eastAsia="zh-CN" w:bidi="ar-SA"/>
        </w:rPr>
        <w:t>氰化氢下风向最大浓度为0</w:t>
      </w:r>
      <w:r>
        <w:rPr>
          <w:rFonts w:hint="default" w:eastAsia="仿宋" w:cs="Times New Roman"/>
          <w:strike w:val="0"/>
          <w:dstrike w:val="0"/>
          <w:color w:val="auto"/>
          <w:kern w:val="2"/>
          <w:sz w:val="32"/>
          <w:szCs w:val="32"/>
          <w:highlight w:val="none"/>
          <w:lang w:val="de-DE" w:eastAsia="zh-CN" w:bidi="ar-SA"/>
        </w:rPr>
        <w:t>.0000025mg/m</w:t>
      </w:r>
      <w:r>
        <w:rPr>
          <w:rFonts w:hint="default" w:eastAsia="仿宋" w:cs="Times New Roman"/>
          <w:strike w:val="0"/>
          <w:dstrike w:val="0"/>
          <w:color w:val="auto"/>
          <w:kern w:val="2"/>
          <w:sz w:val="32"/>
          <w:szCs w:val="32"/>
          <w:highlight w:val="none"/>
          <w:vertAlign w:val="superscript"/>
          <w:lang w:val="de-DE" w:eastAsia="zh-CN" w:bidi="ar-SA"/>
        </w:rPr>
        <w:t>3</w:t>
      </w:r>
      <w:r>
        <w:rPr>
          <w:rFonts w:hint="eastAsia" w:eastAsia="仿宋" w:cs="Times New Roman"/>
          <w:strike w:val="0"/>
          <w:dstrike w:val="0"/>
          <w:color w:val="auto"/>
          <w:kern w:val="2"/>
          <w:sz w:val="32"/>
          <w:szCs w:val="32"/>
          <w:highlight w:val="none"/>
          <w:lang w:val="de-DE" w:eastAsia="zh-CN" w:bidi="ar-SA"/>
        </w:rPr>
        <w:t>，低于大气毒性浓度终点值-</w:t>
      </w:r>
      <w:r>
        <w:rPr>
          <w:rFonts w:hint="default" w:eastAsia="仿宋" w:cs="Times New Roman"/>
          <w:strike w:val="0"/>
          <w:dstrike w:val="0"/>
          <w:color w:val="auto"/>
          <w:kern w:val="2"/>
          <w:sz w:val="32"/>
          <w:szCs w:val="32"/>
          <w:highlight w:val="none"/>
          <w:lang w:val="de-DE" w:eastAsia="zh-CN" w:bidi="ar-SA"/>
        </w:rPr>
        <w:t>1</w:t>
      </w:r>
      <w:r>
        <w:rPr>
          <w:rFonts w:hint="eastAsia" w:eastAsia="仿宋" w:cs="Times New Roman"/>
          <w:strike w:val="0"/>
          <w:dstrike w:val="0"/>
          <w:color w:val="auto"/>
          <w:kern w:val="2"/>
          <w:sz w:val="32"/>
          <w:szCs w:val="32"/>
          <w:highlight w:val="none"/>
          <w:lang w:val="de-DE" w:eastAsia="zh-CN" w:bidi="ar-SA"/>
        </w:rPr>
        <w:t>“1</w:t>
      </w:r>
      <w:r>
        <w:rPr>
          <w:rFonts w:hint="default" w:eastAsia="仿宋" w:cs="Times New Roman"/>
          <w:strike w:val="0"/>
          <w:dstrike w:val="0"/>
          <w:color w:val="auto"/>
          <w:kern w:val="2"/>
          <w:sz w:val="32"/>
          <w:szCs w:val="32"/>
          <w:highlight w:val="none"/>
          <w:lang w:val="de-DE" w:eastAsia="zh-CN" w:bidi="ar-SA"/>
        </w:rPr>
        <w:t>7mg/m</w:t>
      </w:r>
      <w:r>
        <w:rPr>
          <w:rFonts w:hint="default" w:eastAsia="仿宋" w:cs="Times New Roman"/>
          <w:strike w:val="0"/>
          <w:dstrike w:val="0"/>
          <w:color w:val="auto"/>
          <w:kern w:val="2"/>
          <w:sz w:val="32"/>
          <w:szCs w:val="32"/>
          <w:highlight w:val="none"/>
          <w:vertAlign w:val="superscript"/>
          <w:lang w:val="de-DE" w:eastAsia="zh-CN" w:bidi="ar-SA"/>
        </w:rPr>
        <w:t>3</w:t>
      </w:r>
      <w:r>
        <w:rPr>
          <w:rFonts w:hint="eastAsia" w:eastAsia="仿宋" w:cs="Times New Roman"/>
          <w:strike w:val="0"/>
          <w:dstrike w:val="0"/>
          <w:color w:val="auto"/>
          <w:kern w:val="2"/>
          <w:sz w:val="32"/>
          <w:szCs w:val="32"/>
          <w:highlight w:val="none"/>
          <w:lang w:val="de-DE" w:eastAsia="zh-CN" w:bidi="ar-SA"/>
        </w:rPr>
        <w:t>”、大气毒性浓度终点值-</w:t>
      </w:r>
      <w:r>
        <w:rPr>
          <w:rFonts w:hint="default" w:eastAsia="仿宋" w:cs="Times New Roman"/>
          <w:strike w:val="0"/>
          <w:dstrike w:val="0"/>
          <w:color w:val="auto"/>
          <w:kern w:val="2"/>
          <w:sz w:val="32"/>
          <w:szCs w:val="32"/>
          <w:highlight w:val="none"/>
          <w:lang w:val="de-DE" w:eastAsia="zh-CN" w:bidi="ar-SA"/>
        </w:rPr>
        <w:t>2</w:t>
      </w:r>
      <w:r>
        <w:rPr>
          <w:rFonts w:hint="eastAsia" w:eastAsia="仿宋" w:cs="Times New Roman"/>
          <w:strike w:val="0"/>
          <w:dstrike w:val="0"/>
          <w:color w:val="auto"/>
          <w:kern w:val="2"/>
          <w:sz w:val="32"/>
          <w:szCs w:val="32"/>
          <w:highlight w:val="none"/>
          <w:lang w:val="de-DE" w:eastAsia="zh-CN" w:bidi="ar-SA"/>
        </w:rPr>
        <w:t>“</w:t>
      </w:r>
      <w:r>
        <w:rPr>
          <w:rFonts w:hint="default" w:eastAsia="仿宋" w:cs="Times New Roman"/>
          <w:strike w:val="0"/>
          <w:dstrike w:val="0"/>
          <w:color w:val="auto"/>
          <w:kern w:val="2"/>
          <w:sz w:val="32"/>
          <w:szCs w:val="32"/>
          <w:highlight w:val="none"/>
          <w:lang w:val="de-DE" w:eastAsia="zh-CN" w:bidi="ar-SA"/>
        </w:rPr>
        <w:t>7.8mg/m</w:t>
      </w:r>
      <w:r>
        <w:rPr>
          <w:rFonts w:hint="default" w:eastAsia="仿宋" w:cs="Times New Roman"/>
          <w:strike w:val="0"/>
          <w:dstrike w:val="0"/>
          <w:color w:val="auto"/>
          <w:kern w:val="2"/>
          <w:sz w:val="32"/>
          <w:szCs w:val="32"/>
          <w:highlight w:val="none"/>
          <w:vertAlign w:val="superscript"/>
          <w:lang w:val="de-DE" w:eastAsia="zh-CN" w:bidi="ar-SA"/>
        </w:rPr>
        <w:t>3</w:t>
      </w:r>
      <w:r>
        <w:rPr>
          <w:rFonts w:hint="eastAsia" w:eastAsia="仿宋" w:cs="Times New Roman"/>
          <w:strike w:val="0"/>
          <w:dstrike w:val="0"/>
          <w:color w:val="auto"/>
          <w:kern w:val="2"/>
          <w:sz w:val="32"/>
          <w:szCs w:val="32"/>
          <w:highlight w:val="none"/>
          <w:lang w:val="de-DE" w:eastAsia="zh-CN" w:bidi="ar-SA"/>
        </w:rPr>
        <w:t>”，预测浓度到达毒性终点浓度的范围为0；各关心点的预测浓度均未超过评价标准。事故情况下对评价范围内人群健康影响较小，大气环境风险可以接受。</w:t>
      </w:r>
    </w:p>
    <w:p w14:paraId="126C7416">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bCs/>
          <w:color w:val="auto"/>
          <w:sz w:val="32"/>
          <w:szCs w:val="32"/>
          <w:highlight w:val="none"/>
          <w:lang w:val="en-US" w:eastAsia="zh-CN"/>
        </w:rPr>
      </w:pPr>
      <w:r>
        <w:rPr>
          <w:rFonts w:hint="default" w:ascii="Times New Roman" w:hAnsi="Times New Roman" w:eastAsia="仿宋" w:cs="Times New Roman"/>
          <w:b/>
          <w:bCs/>
          <w:color w:val="auto"/>
          <w:sz w:val="32"/>
          <w:szCs w:val="32"/>
          <w:highlight w:val="none"/>
          <w:lang w:val="en-US" w:eastAsia="zh-CN"/>
        </w:rPr>
        <w:t>（7）生态环境影响评价</w:t>
      </w:r>
    </w:p>
    <w:p w14:paraId="30A5A1D2">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color w:val="auto"/>
          <w:sz w:val="32"/>
          <w:szCs w:val="32"/>
          <w:highlight w:val="none"/>
        </w:rPr>
      </w:pPr>
      <w:r>
        <w:rPr>
          <w:rFonts w:hint="eastAsia" w:ascii="Times New Roman" w:hAnsi="Times New Roman" w:eastAsia="仿宋" w:cs="Times New Roman"/>
          <w:color w:val="auto"/>
          <w:sz w:val="32"/>
          <w:szCs w:val="32"/>
          <w:highlight w:val="none"/>
        </w:rPr>
        <w:t>根据生态环境状况指数计算结果，对照生态环境状况分级情况，该区域生态环境质量现状属于“一般”，植被覆盖度中等，生物多样性一般水平，较适合人类生存。</w:t>
      </w:r>
    </w:p>
    <w:p w14:paraId="5AD740F0">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eastAsia"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本项目不新增占地</w:t>
      </w:r>
      <w:r>
        <w:rPr>
          <w:rFonts w:hint="eastAsia" w:ascii="Times New Roman" w:hAnsi="Times New Roman" w:eastAsia="仿宋" w:cs="Times New Roman"/>
          <w:color w:val="auto"/>
          <w:sz w:val="32"/>
          <w:szCs w:val="32"/>
          <w:highlight w:val="none"/>
        </w:rPr>
        <w:t>，不会造成所在区域的生物丰度指数降低，植被覆盖度不会减少，物种组成不发生变化。</w:t>
      </w:r>
      <w:r>
        <w:rPr>
          <w:rFonts w:hint="default" w:ascii="Times New Roman" w:hAnsi="Times New Roman" w:eastAsia="仿宋" w:cs="Times New Roman"/>
          <w:color w:val="auto"/>
          <w:sz w:val="32"/>
          <w:szCs w:val="32"/>
          <w:highlight w:val="none"/>
        </w:rPr>
        <w:t>项目占地性质为工业用地</w:t>
      </w:r>
      <w:r>
        <w:rPr>
          <w:rFonts w:hint="eastAsia" w:ascii="Times New Roman" w:hAnsi="Times New Roman" w:eastAsia="仿宋" w:cs="Times New Roman"/>
          <w:color w:val="auto"/>
          <w:sz w:val="32"/>
          <w:szCs w:val="32"/>
          <w:highlight w:val="none"/>
        </w:rPr>
        <w:t>，</w:t>
      </w:r>
      <w:r>
        <w:rPr>
          <w:rFonts w:hint="default" w:ascii="Times New Roman" w:hAnsi="Times New Roman" w:eastAsia="仿宋" w:cs="Times New Roman"/>
          <w:color w:val="auto"/>
          <w:sz w:val="32"/>
          <w:szCs w:val="32"/>
          <w:highlight w:val="none"/>
        </w:rPr>
        <w:t>不会改变土利用现状</w:t>
      </w:r>
      <w:r>
        <w:rPr>
          <w:rFonts w:hint="eastAsia" w:ascii="Times New Roman" w:hAnsi="Times New Roman" w:eastAsia="仿宋" w:cs="Times New Roman"/>
          <w:color w:val="auto"/>
          <w:sz w:val="32"/>
          <w:szCs w:val="32"/>
          <w:highlight w:val="none"/>
        </w:rPr>
        <w:t>。综上所述，项目建设对所在区域生态</w:t>
      </w:r>
      <w:r>
        <w:rPr>
          <w:rFonts w:hint="default" w:ascii="Times New Roman" w:hAnsi="Times New Roman" w:eastAsia="仿宋" w:cs="Times New Roman"/>
          <w:color w:val="auto"/>
          <w:sz w:val="32"/>
          <w:szCs w:val="32"/>
          <w:highlight w:val="none"/>
        </w:rPr>
        <w:t>环境影响较小</w:t>
      </w:r>
      <w:r>
        <w:rPr>
          <w:rFonts w:hint="eastAsia" w:ascii="Times New Roman" w:hAnsi="Times New Roman" w:eastAsia="仿宋" w:cs="Times New Roman"/>
          <w:color w:val="auto"/>
          <w:sz w:val="32"/>
          <w:szCs w:val="32"/>
          <w:highlight w:val="none"/>
        </w:rPr>
        <w:t>。</w:t>
      </w:r>
    </w:p>
    <w:p w14:paraId="003D1E38">
      <w:pPr>
        <w:keepNext w:val="0"/>
        <w:keepLines w:val="0"/>
        <w:pageBreakBefore w:val="0"/>
        <w:widowControl w:val="0"/>
        <w:tabs>
          <w:tab w:val="left" w:pos="8610"/>
        </w:tabs>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bCs w:val="0"/>
          <w:color w:val="auto"/>
          <w:sz w:val="32"/>
          <w:szCs w:val="32"/>
          <w:highlight w:val="none"/>
          <w:lang w:val="en-US" w:eastAsia="zh-CN"/>
        </w:rPr>
      </w:pPr>
      <w:r>
        <w:rPr>
          <w:rFonts w:hint="default" w:ascii="Times New Roman" w:hAnsi="Times New Roman" w:eastAsia="仿宋" w:cs="Times New Roman"/>
          <w:b/>
          <w:bCs w:val="0"/>
          <w:color w:val="auto"/>
          <w:sz w:val="32"/>
          <w:szCs w:val="32"/>
          <w:highlight w:val="none"/>
          <w:lang w:val="en-US" w:eastAsia="zh-CN"/>
        </w:rPr>
        <w:t>四、环境管理与监测计划</w:t>
      </w:r>
    </w:p>
    <w:p w14:paraId="3962C519">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环境监测按国家和地方的环保要求进行，采用国家规定的标准监测方法，根据本项目生产特征和污染物排放特征，制定监测方案，监测工作可委托当地环保监测站或有资质相关单位承担。每次监测都应有完整的记录。监测数据应及时整理、统计，按时向管理部门、调度部门报告，做好监测资料的归档工作。</w:t>
      </w:r>
    </w:p>
    <w:p w14:paraId="3ED4C83F">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bCs w:val="0"/>
          <w:color w:val="auto"/>
          <w:sz w:val="32"/>
          <w:szCs w:val="32"/>
          <w:highlight w:val="none"/>
        </w:rPr>
      </w:pPr>
      <w:r>
        <w:rPr>
          <w:rFonts w:hint="eastAsia" w:eastAsia="仿宋" w:cs="Times New Roman"/>
          <w:b/>
          <w:bCs w:val="0"/>
          <w:color w:val="auto"/>
          <w:sz w:val="32"/>
          <w:szCs w:val="32"/>
          <w:highlight w:val="none"/>
          <w:lang w:val="en-US" w:eastAsia="zh-CN"/>
        </w:rPr>
        <w:t>五</w:t>
      </w:r>
      <w:r>
        <w:rPr>
          <w:rFonts w:hint="default" w:ascii="Times New Roman" w:hAnsi="Times New Roman" w:eastAsia="仿宋" w:cs="Times New Roman"/>
          <w:b/>
          <w:bCs w:val="0"/>
          <w:color w:val="auto"/>
          <w:sz w:val="32"/>
          <w:szCs w:val="32"/>
          <w:highlight w:val="none"/>
        </w:rPr>
        <w:t>、总量控制指标</w:t>
      </w:r>
    </w:p>
    <w:p w14:paraId="7E058EBB">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default" w:ascii="Times New Roman" w:hAnsi="Times New Roman" w:eastAsia="仿宋" w:cs="Times New Roman"/>
          <w:b w:val="0"/>
          <w:bCs w:val="0"/>
          <w:color w:val="auto"/>
          <w:sz w:val="32"/>
          <w:szCs w:val="32"/>
          <w:highlight w:val="none"/>
          <w:lang w:val="en-US" w:eastAsia="zh-CN"/>
        </w:rPr>
      </w:pPr>
      <w:r>
        <w:rPr>
          <w:rFonts w:hint="eastAsia" w:ascii="Times New Roman" w:hAnsi="Times New Roman" w:eastAsia="仿宋" w:cs="Times New Roman"/>
          <w:b w:val="0"/>
          <w:bCs w:val="0"/>
          <w:color w:val="auto"/>
          <w:sz w:val="32"/>
          <w:szCs w:val="32"/>
          <w:highlight w:val="none"/>
          <w:lang w:val="en-US" w:eastAsia="zh-CN"/>
        </w:rPr>
        <w:t>项目</w:t>
      </w:r>
      <w:r>
        <w:rPr>
          <w:rFonts w:hint="default" w:ascii="Times New Roman" w:hAnsi="Times New Roman" w:eastAsia="仿宋" w:cs="Times New Roman"/>
          <w:b w:val="0"/>
          <w:bCs w:val="0"/>
          <w:color w:val="auto"/>
          <w:sz w:val="32"/>
          <w:szCs w:val="32"/>
          <w:highlight w:val="none"/>
          <w:lang w:val="en-US" w:eastAsia="zh-CN"/>
        </w:rPr>
        <w:t>扩建完成后本项目总量控制指标不变，仍为COD2.171t/a、氨氮0.228t/a、二氧化硫0t/a、氮氧化物0t/a。</w:t>
      </w:r>
    </w:p>
    <w:p w14:paraId="7B549617">
      <w:pPr>
        <w:keepNext w:val="0"/>
        <w:keepLines w:val="0"/>
        <w:pageBreakBefore w:val="0"/>
        <w:widowControl w:val="0"/>
        <w:kinsoku/>
        <w:overflowPunct/>
        <w:topLinePunct w:val="0"/>
        <w:autoSpaceDE/>
        <w:autoSpaceDN/>
        <w:bidi w:val="0"/>
        <w:snapToGrid w:val="0"/>
        <w:spacing w:line="560" w:lineRule="exact"/>
        <w:ind w:firstLine="646"/>
        <w:textAlignment w:val="auto"/>
        <w:outlineLvl w:val="0"/>
        <w:rPr>
          <w:rFonts w:hint="eastAsia" w:ascii="Times New Roman" w:hAnsi="Times New Roman" w:eastAsia="仿宋" w:cs="Times New Roman"/>
          <w:b/>
          <w:bCs w:val="0"/>
          <w:color w:val="auto"/>
          <w:sz w:val="32"/>
          <w:szCs w:val="32"/>
          <w:highlight w:val="none"/>
          <w:lang w:val="en-US" w:eastAsia="zh-CN"/>
        </w:rPr>
      </w:pPr>
      <w:r>
        <w:rPr>
          <w:rFonts w:hint="eastAsia" w:eastAsia="仿宋" w:cs="Times New Roman"/>
          <w:b/>
          <w:bCs w:val="0"/>
          <w:color w:val="auto"/>
          <w:sz w:val="32"/>
          <w:szCs w:val="32"/>
          <w:highlight w:val="none"/>
          <w:lang w:val="en-US" w:eastAsia="zh-CN"/>
        </w:rPr>
        <w:t>六</w:t>
      </w:r>
      <w:r>
        <w:rPr>
          <w:rFonts w:hint="eastAsia" w:ascii="Times New Roman" w:hAnsi="Times New Roman" w:eastAsia="仿宋" w:cs="Times New Roman"/>
          <w:b/>
          <w:bCs w:val="0"/>
          <w:color w:val="auto"/>
          <w:sz w:val="32"/>
          <w:szCs w:val="32"/>
          <w:highlight w:val="none"/>
          <w:lang w:val="en-US" w:eastAsia="zh-CN"/>
        </w:rPr>
        <w:t>、</w:t>
      </w:r>
      <w:r>
        <w:rPr>
          <w:rFonts w:hint="eastAsia" w:eastAsia="仿宋" w:cs="Times New Roman"/>
          <w:b/>
          <w:bCs w:val="0"/>
          <w:color w:val="auto"/>
          <w:sz w:val="32"/>
          <w:szCs w:val="32"/>
          <w:highlight w:val="none"/>
          <w:lang w:val="en-US" w:eastAsia="zh-CN"/>
        </w:rPr>
        <w:t>项目可行性结论</w:t>
      </w:r>
    </w:p>
    <w:p w14:paraId="1F793A2D">
      <w:pPr>
        <w:keepNext w:val="0"/>
        <w:keepLines w:val="0"/>
        <w:pageBreakBefore w:val="0"/>
        <w:widowControl w:val="0"/>
        <w:kinsoku/>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cs="Times New Roman"/>
          <w:color w:val="auto"/>
          <w:sz w:val="32"/>
          <w:szCs w:val="32"/>
          <w:highlight w:val="none"/>
          <w:lang w:val="en-US" w:eastAsia="zh-CN"/>
        </w:rPr>
      </w:pPr>
      <w:r>
        <w:rPr>
          <w:rFonts w:hint="eastAsia" w:ascii="Times New Roman" w:hAnsi="Times New Roman" w:eastAsia="仿宋" w:cs="Times New Roman"/>
          <w:color w:val="auto"/>
          <w:sz w:val="32"/>
          <w:szCs w:val="32"/>
          <w:highlight w:val="none"/>
          <w:lang w:val="en-US" w:eastAsia="zh-CN"/>
        </w:rPr>
        <w:t>本项目符合国家及地方产业政策要求，用地符合规划，建设规模合理，在采取本次环评提出的各项污染防治措施下，污染物均达标排放，对区域环境质量影响较小，厂址选择可行，从环保角度分析，本项目的建设是可行。</w:t>
      </w:r>
    </w:p>
    <w:p w14:paraId="73293DA3">
      <w:pPr>
        <w:keepNext w:val="0"/>
        <w:keepLines w:val="0"/>
        <w:pageBreakBefore w:val="0"/>
        <w:widowControl w:val="0"/>
        <w:kinsoku/>
        <w:overflowPunct/>
        <w:topLinePunct w:val="0"/>
        <w:autoSpaceDE/>
        <w:autoSpaceDN/>
        <w:bidi w:val="0"/>
        <w:adjustRightInd w:val="0"/>
        <w:snapToGrid w:val="0"/>
        <w:spacing w:line="560" w:lineRule="exact"/>
        <w:ind w:firstLine="643" w:firstLineChars="200"/>
        <w:textAlignment w:val="auto"/>
        <w:rPr>
          <w:rFonts w:hint="eastAsia" w:ascii="Times New Roman" w:hAnsi="Times New Roman" w:eastAsia="仿宋" w:cs="Times New Roman"/>
          <w:b/>
          <w:bCs w:val="0"/>
          <w:color w:val="auto"/>
          <w:sz w:val="32"/>
          <w:szCs w:val="32"/>
          <w:highlight w:val="none"/>
          <w:lang w:val="en-US" w:eastAsia="zh-CN"/>
        </w:rPr>
      </w:pPr>
      <w:r>
        <w:rPr>
          <w:rFonts w:hint="eastAsia" w:ascii="Times New Roman" w:hAnsi="Times New Roman" w:eastAsia="仿宋" w:cs="Times New Roman"/>
          <w:b/>
          <w:bCs w:val="0"/>
          <w:color w:val="auto"/>
          <w:sz w:val="32"/>
          <w:szCs w:val="32"/>
          <w:highlight w:val="none"/>
          <w:lang w:val="en-US" w:eastAsia="zh-CN"/>
        </w:rPr>
        <w:t>七、环境影响评价文件编制质量</w:t>
      </w:r>
    </w:p>
    <w:p w14:paraId="43D2EB57">
      <w:pPr>
        <w:keepNext w:val="0"/>
        <w:keepLines w:val="0"/>
        <w:pageBreakBefore w:val="0"/>
        <w:widowControl w:val="0"/>
        <w:kinsoku/>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cs="Times New Roman"/>
          <w:b/>
          <w:bCs w:val="0"/>
          <w:color w:val="auto"/>
          <w:sz w:val="32"/>
          <w:szCs w:val="32"/>
          <w:highlight w:val="none"/>
          <w:lang w:val="en-US" w:eastAsia="zh-CN"/>
        </w:rPr>
      </w:pPr>
      <w:r>
        <w:rPr>
          <w:rFonts w:hint="eastAsia" w:ascii="Times New Roman" w:hAnsi="Times New Roman" w:eastAsia="仿宋" w:cs="Times New Roman"/>
          <w:b w:val="0"/>
          <w:bCs/>
          <w:color w:val="auto"/>
          <w:sz w:val="32"/>
          <w:szCs w:val="32"/>
          <w:highlight w:val="none"/>
          <w:lang w:val="en-US" w:eastAsia="zh-CN"/>
        </w:rPr>
        <w:t>该报告书评价内容较全面，重点较突出，工程分析基本清楚，规定的污染防治措施总体可行，评价方法正确，评价结论可信。相关附件齐全、有效，</w:t>
      </w:r>
      <w:bookmarkStart w:id="4" w:name="_Hlk54167917"/>
      <w:r>
        <w:rPr>
          <w:rFonts w:hint="eastAsia" w:ascii="Times New Roman" w:hAnsi="Times New Roman" w:eastAsia="仿宋" w:cs="Times New Roman"/>
          <w:b w:val="0"/>
          <w:bCs/>
          <w:color w:val="auto"/>
          <w:sz w:val="32"/>
          <w:szCs w:val="32"/>
          <w:highlight w:val="none"/>
          <w:lang w:val="en-US" w:eastAsia="zh-CN"/>
        </w:rPr>
        <w:t>环境保护措施监督检查清单</w:t>
      </w:r>
      <w:bookmarkEnd w:id="4"/>
      <w:r>
        <w:rPr>
          <w:rFonts w:hint="eastAsia" w:ascii="Times New Roman" w:hAnsi="Times New Roman" w:eastAsia="仿宋" w:cs="Times New Roman"/>
          <w:b w:val="0"/>
          <w:bCs/>
          <w:color w:val="auto"/>
          <w:sz w:val="32"/>
          <w:szCs w:val="32"/>
          <w:highlight w:val="none"/>
          <w:lang w:val="en-US" w:eastAsia="zh-CN"/>
        </w:rPr>
        <w:t>内容齐全。</w:t>
      </w:r>
    </w:p>
    <w:p w14:paraId="7FB48FAC">
      <w:pPr>
        <w:keepNext w:val="0"/>
        <w:keepLines w:val="0"/>
        <w:pageBreakBefore w:val="0"/>
        <w:widowControl w:val="0"/>
        <w:kinsoku/>
        <w:overflowPunct/>
        <w:topLinePunct w:val="0"/>
        <w:autoSpaceDE/>
        <w:autoSpaceDN/>
        <w:bidi w:val="0"/>
        <w:adjustRightInd w:val="0"/>
        <w:snapToGrid w:val="0"/>
        <w:spacing w:line="560" w:lineRule="exact"/>
        <w:ind w:firstLine="643" w:firstLineChars="200"/>
        <w:textAlignment w:val="auto"/>
        <w:rPr>
          <w:rFonts w:hint="default" w:ascii="Times New Roman" w:hAnsi="Times New Roman" w:eastAsia="仿宋" w:cs="Times New Roman"/>
          <w:b/>
          <w:bCs w:val="0"/>
          <w:color w:val="auto"/>
          <w:sz w:val="32"/>
          <w:szCs w:val="32"/>
          <w:highlight w:val="none"/>
          <w:lang w:val="en-US" w:eastAsia="zh-CN"/>
        </w:rPr>
      </w:pPr>
      <w:r>
        <w:rPr>
          <w:rFonts w:hint="eastAsia" w:ascii="Times New Roman" w:hAnsi="Times New Roman" w:eastAsia="仿宋" w:cs="Times New Roman"/>
          <w:b/>
          <w:bCs w:val="0"/>
          <w:color w:val="auto"/>
          <w:sz w:val="32"/>
          <w:szCs w:val="32"/>
          <w:highlight w:val="none"/>
          <w:lang w:val="en-US" w:eastAsia="zh-CN"/>
        </w:rPr>
        <w:t>六</w:t>
      </w:r>
      <w:r>
        <w:rPr>
          <w:rFonts w:hint="default" w:ascii="Times New Roman" w:hAnsi="Times New Roman" w:eastAsia="仿宋" w:cs="Times New Roman"/>
          <w:b/>
          <w:bCs w:val="0"/>
          <w:color w:val="auto"/>
          <w:sz w:val="32"/>
          <w:szCs w:val="32"/>
          <w:highlight w:val="none"/>
          <w:lang w:val="en-US" w:eastAsia="zh-CN"/>
        </w:rPr>
        <w:t>、</w:t>
      </w:r>
      <w:bookmarkEnd w:id="3"/>
      <w:bookmarkStart w:id="5" w:name="_Toc18000"/>
      <w:r>
        <w:rPr>
          <w:rFonts w:hint="default" w:ascii="Times New Roman" w:hAnsi="Times New Roman" w:eastAsia="仿宋" w:cs="Times New Roman"/>
          <w:b/>
          <w:bCs w:val="0"/>
          <w:color w:val="auto"/>
          <w:sz w:val="32"/>
          <w:szCs w:val="32"/>
          <w:highlight w:val="none"/>
          <w:lang w:val="en-US" w:eastAsia="zh-CN"/>
        </w:rPr>
        <w:t>评估结论</w:t>
      </w:r>
      <w:bookmarkEnd w:id="5"/>
    </w:p>
    <w:p w14:paraId="76A036E1">
      <w:pPr>
        <w:keepNext w:val="0"/>
        <w:keepLines w:val="0"/>
        <w:pageBreakBefore w:val="0"/>
        <w:widowControl w:val="0"/>
        <w:kinsoku/>
        <w:overflowPunct/>
        <w:topLinePunct w:val="0"/>
        <w:autoSpaceDE/>
        <w:autoSpaceDN/>
        <w:bidi w:val="0"/>
        <w:adjustRightInd w:val="0"/>
        <w:snapToGrid w:val="0"/>
        <w:spacing w:line="560" w:lineRule="exact"/>
        <w:ind w:firstLine="640" w:firstLineChars="200"/>
        <w:jc w:val="left"/>
        <w:textAlignment w:val="auto"/>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b w:val="0"/>
          <w:bCs/>
          <w:color w:val="auto"/>
          <w:sz w:val="32"/>
          <w:szCs w:val="32"/>
          <w:highlight w:val="none"/>
          <w:lang w:val="en-US" w:eastAsia="zh-CN"/>
        </w:rPr>
        <w:t>经环境影响技术评估，环评文件和相关附件内容支持环评结论，本项目建设可行。</w:t>
      </w:r>
    </w:p>
    <w:p w14:paraId="49B9AC9D">
      <w:pPr>
        <w:keepNext w:val="0"/>
        <w:keepLines w:val="0"/>
        <w:pageBreakBefore w:val="0"/>
        <w:widowControl w:val="0"/>
        <w:kinsoku/>
        <w:wordWrap/>
        <w:overflowPunct/>
        <w:topLinePunct w:val="0"/>
        <w:autoSpaceDE/>
        <w:autoSpaceDN/>
        <w:bidi w:val="0"/>
        <w:adjustRightInd/>
        <w:snapToGrid/>
        <w:spacing w:line="540" w:lineRule="exact"/>
        <w:ind w:firstLine="420" w:firstLineChars="200"/>
        <w:jc w:val="both"/>
        <w:textAlignment w:val="auto"/>
        <w:rPr>
          <w:rFonts w:hint="default"/>
          <w:lang w:val="en-US" w:eastAsia="zh-CN"/>
        </w:rPr>
      </w:pPr>
      <w:bookmarkStart w:id="6" w:name="_GoBack"/>
      <w:bookmarkEnd w:id="6"/>
      <w:r>
        <w:drawing>
          <wp:anchor distT="0" distB="0" distL="114300" distR="114300" simplePos="0" relativeHeight="251659264" behindDoc="1" locked="0" layoutInCell="1" allowOverlap="1">
            <wp:simplePos x="0" y="0"/>
            <wp:positionH relativeFrom="column">
              <wp:posOffset>1045210</wp:posOffset>
            </wp:positionH>
            <wp:positionV relativeFrom="paragraph">
              <wp:posOffset>-15198090</wp:posOffset>
            </wp:positionV>
            <wp:extent cx="5143500" cy="7172325"/>
            <wp:effectExtent l="0" t="0" r="0" b="9525"/>
            <wp:wrapNone/>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6"/>
                    <a:stretch>
                      <a:fillRect/>
                    </a:stretch>
                  </pic:blipFill>
                  <pic:spPr>
                    <a:xfrm>
                      <a:off x="0" y="0"/>
                      <a:ext cx="5143500" cy="7172325"/>
                    </a:xfrm>
                    <a:prstGeom prst="rect">
                      <a:avLst/>
                    </a:prstGeom>
                    <a:noFill/>
                    <a:ln>
                      <a:noFill/>
                    </a:ln>
                  </pic:spPr>
                </pic:pic>
              </a:graphicData>
            </a:graphic>
          </wp:anchor>
        </w:drawing>
      </w:r>
    </w:p>
    <w:sectPr>
      <w:headerReference r:id="rId3" w:type="default"/>
      <w:footerReference r:id="rId4" w:type="default"/>
      <w:pgSz w:w="11906" w:h="16838"/>
      <w:pgMar w:top="1587" w:right="1587" w:bottom="1587" w:left="1587" w:header="851" w:footer="992" w:gutter="0"/>
      <w:pgBorders>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imesNewRomanPSMT">
    <w:altName w:val="Times New Roman"/>
    <w:panose1 w:val="00000000000000000000"/>
    <w:charset w:val="00"/>
    <w:family w:val="auto"/>
    <w:pitch w:val="default"/>
    <w:sig w:usb0="00000000" w:usb1="00000000" w:usb2="00000000" w:usb3="00000000" w:csb0="00040001" w:csb1="00000000"/>
  </w:font>
  <w:font w:name="MingLiU">
    <w:panose1 w:val="02020509000000000000"/>
    <w:charset w:val="88"/>
    <w:family w:val="modern"/>
    <w:pitch w:val="default"/>
    <w:sig w:usb0="A00002FF" w:usb1="28CFFCFA" w:usb2="00000016" w:usb3="00000000" w:csb0="00100001" w:csb1="00000000"/>
  </w:font>
  <w:font w:name="Sim Sun">
    <w:altName w:val="微软雅黑"/>
    <w:panose1 w:val="00000000000000000000"/>
    <w:charset w:val="86"/>
    <w:family w:val="swiss"/>
    <w:pitch w:val="default"/>
    <w:sig w:usb0="00000000" w:usb1="00000000" w:usb2="00000010" w:usb3="00000000" w:csb0="00040000" w:csb1="00000000"/>
  </w:font>
  <w:font w:name="Batang">
    <w:panose1 w:val="02030600000101010101"/>
    <w:charset w:val="81"/>
    <w:family w:val="roman"/>
    <w:pitch w:val="default"/>
    <w:sig w:usb0="B00002AF" w:usb1="69D77CFB" w:usb2="00000030" w:usb3="00000000" w:csb0="4008009F" w:csb1="DFD70000"/>
  </w:font>
  <w:font w:name="仿宋">
    <w:panose1 w:val="02010609060101010101"/>
    <w:charset w:val="86"/>
    <w:family w:val="auto"/>
    <w:pitch w:val="default"/>
    <w:sig w:usb0="800002BF" w:usb1="38CF7CFA" w:usb2="00000016" w:usb3="00000000" w:csb0="00040001" w:csb1="00000000"/>
    <w:embedRegular r:id="rId1" w:fontKey="{40689549-422A-4478-ACAC-F71BEF97967A}"/>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embedRegular r:id="rId2" w:fontKey="{4604AB13-C01B-4AFD-ACB0-3C44970DA11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4B4F8E">
    <w:pPr>
      <w:pStyle w:val="2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02964D">
    <w:pPr>
      <w:pStyle w:val="2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F70D7E4"/>
    <w:multiLevelType w:val="singleLevel"/>
    <w:tmpl w:val="0F70D7E4"/>
    <w:lvl w:ilvl="0" w:tentative="0">
      <w:start w:val="1"/>
      <w:numFmt w:val="bullet"/>
      <w:pStyle w:val="17"/>
      <w:lvlText w:val=""/>
      <w:lvlJc w:val="left"/>
      <w:pPr>
        <w:tabs>
          <w:tab w:val="left" w:pos="2040"/>
        </w:tabs>
        <w:ind w:left="2040" w:hanging="360"/>
      </w:pPr>
      <w:rPr>
        <w:rFonts w:hint="default" w:ascii="Wingdings" w:hAnsi="Wingdings"/>
      </w:rPr>
    </w:lvl>
  </w:abstractNum>
  <w:abstractNum w:abstractNumId="1">
    <w:nsid w:val="221B2AA8"/>
    <w:multiLevelType w:val="multilevel"/>
    <w:tmpl w:val="221B2AA8"/>
    <w:lvl w:ilvl="0" w:tentative="0">
      <w:start w:val="1"/>
      <w:numFmt w:val="decimal"/>
      <w:suff w:val="nothing"/>
      <w:lvlText w:val="%1"/>
      <w:lvlJc w:val="left"/>
      <w:pPr>
        <w:ind w:left="4252" w:firstLine="0"/>
      </w:pPr>
      <w:rPr>
        <w:rFonts w:hint="default" w:ascii="Times New Roman" w:hAnsi="Times New Roman" w:eastAsia="宋体"/>
        <w:color w:val="FFFFFF"/>
        <w:sz w:val="32"/>
      </w:rPr>
    </w:lvl>
    <w:lvl w:ilvl="1" w:tentative="0">
      <w:start w:val="1"/>
      <w:numFmt w:val="decimal"/>
      <w:pStyle w:val="93"/>
      <w:lvlText w:val="表%1-%2"/>
      <w:lvlJc w:val="left"/>
      <w:pPr>
        <w:tabs>
          <w:tab w:val="left" w:pos="851"/>
        </w:tabs>
        <w:ind w:left="210" w:firstLine="0"/>
      </w:pPr>
      <w:rPr>
        <w:rFonts w:hint="default" w:ascii="Times New Roman" w:hAnsi="Times New Roman" w:eastAsia="宋体"/>
        <w:sz w:val="21"/>
      </w:rPr>
    </w:lvl>
    <w:lvl w:ilvl="2" w:tentative="0">
      <w:start w:val="1"/>
      <w:numFmt w:val="decimal"/>
      <w:lvlRestart w:val="1"/>
      <w:lvlText w:val="图%1-%3"/>
      <w:lvlJc w:val="left"/>
      <w:pPr>
        <w:tabs>
          <w:tab w:val="left" w:pos="851"/>
        </w:tabs>
        <w:ind w:left="0" w:firstLine="0"/>
      </w:pPr>
      <w:rPr>
        <w:rFonts w:hint="default" w:ascii="Times New Roman" w:hAnsi="Times New Roman" w:eastAsia="宋体"/>
        <w:sz w:val="24"/>
      </w:rPr>
    </w:lvl>
    <w:lvl w:ilvl="3" w:tentative="0">
      <w:start w:val="1"/>
      <w:numFmt w:val="decimal"/>
      <w:lvlText w:val="%1.%2.%3.%4"/>
      <w:lvlJc w:val="left"/>
      <w:pPr>
        <w:tabs>
          <w:tab w:val="left" w:pos="851"/>
        </w:tabs>
        <w:ind w:left="0" w:firstLine="0"/>
      </w:pPr>
      <w:rPr>
        <w:rFonts w:hint="eastAsia"/>
      </w:rPr>
    </w:lvl>
    <w:lvl w:ilvl="4" w:tentative="0">
      <w:start w:val="1"/>
      <w:numFmt w:val="decimal"/>
      <w:lvlText w:val="%1.%2.%3.%4.%5"/>
      <w:lvlJc w:val="left"/>
      <w:pPr>
        <w:tabs>
          <w:tab w:val="left" w:pos="851"/>
        </w:tabs>
        <w:ind w:left="0" w:firstLine="0"/>
      </w:pPr>
      <w:rPr>
        <w:rFonts w:hint="eastAsia"/>
      </w:rPr>
    </w:lvl>
    <w:lvl w:ilvl="5" w:tentative="0">
      <w:start w:val="1"/>
      <w:numFmt w:val="decimal"/>
      <w:lvlText w:val="%1.%2.%3.%4.%5.%6"/>
      <w:lvlJc w:val="left"/>
      <w:pPr>
        <w:tabs>
          <w:tab w:val="left" w:pos="851"/>
        </w:tabs>
        <w:ind w:left="0" w:firstLine="0"/>
      </w:pPr>
      <w:rPr>
        <w:rFonts w:hint="eastAsia"/>
      </w:rPr>
    </w:lvl>
    <w:lvl w:ilvl="6" w:tentative="0">
      <w:start w:val="1"/>
      <w:numFmt w:val="decimal"/>
      <w:lvlText w:val="%1.%2.%3.%4.%5.%6.%7"/>
      <w:lvlJc w:val="left"/>
      <w:pPr>
        <w:tabs>
          <w:tab w:val="left" w:pos="851"/>
        </w:tabs>
        <w:ind w:left="0" w:firstLine="0"/>
      </w:pPr>
      <w:rPr>
        <w:rFonts w:hint="eastAsia"/>
      </w:rPr>
    </w:lvl>
    <w:lvl w:ilvl="7" w:tentative="0">
      <w:start w:val="1"/>
      <w:numFmt w:val="decimal"/>
      <w:lvlText w:val="%1.%2.%3.%4.%5.%6.%7.%8"/>
      <w:lvlJc w:val="left"/>
      <w:pPr>
        <w:tabs>
          <w:tab w:val="left" w:pos="851"/>
        </w:tabs>
        <w:ind w:left="0" w:firstLine="0"/>
      </w:pPr>
      <w:rPr>
        <w:rFonts w:hint="eastAsia"/>
      </w:rPr>
    </w:lvl>
    <w:lvl w:ilvl="8" w:tentative="0">
      <w:start w:val="1"/>
      <w:numFmt w:val="decimal"/>
      <w:lvlText w:val="%1.%2.%3.%4.%5.%6.%7.%8.%9"/>
      <w:lvlJc w:val="left"/>
      <w:pPr>
        <w:tabs>
          <w:tab w:val="left" w:pos="851"/>
        </w:tabs>
        <w:ind w:left="0" w:firstLine="0"/>
      </w:pPr>
      <w:rPr>
        <w:rFonts w:hint="eastAsia"/>
      </w:rPr>
    </w:lvl>
  </w:abstractNum>
  <w:abstractNum w:abstractNumId="2">
    <w:nsid w:val="33EF1FC1"/>
    <w:multiLevelType w:val="multilevel"/>
    <w:tmpl w:val="33EF1FC1"/>
    <w:lvl w:ilvl="0" w:tentative="0">
      <w:start w:val="1"/>
      <w:numFmt w:val="decimal"/>
      <w:lvlText w:val="%1"/>
      <w:lvlJc w:val="left"/>
      <w:pPr>
        <w:ind w:left="0" w:firstLine="0"/>
      </w:pPr>
      <w:rPr>
        <w:rFonts w:hint="eastAsia"/>
      </w:rPr>
    </w:lvl>
    <w:lvl w:ilvl="1" w:tentative="0">
      <w:start w:val="1"/>
      <w:numFmt w:val="decimal"/>
      <w:pStyle w:val="118"/>
      <w:lvlText w:val="%1.%2"/>
      <w:lvlJc w:val="left"/>
      <w:pPr>
        <w:ind w:left="0" w:firstLine="0"/>
      </w:pPr>
      <w:rPr>
        <w:rFonts w:hint="eastAsia"/>
      </w:rPr>
    </w:lvl>
    <w:lvl w:ilvl="2" w:tentative="0">
      <w:start w:val="1"/>
      <w:numFmt w:val="decimal"/>
      <w:lvlText w:val="%1.%2.%3"/>
      <w:lvlJc w:val="left"/>
      <w:pPr>
        <w:ind w:left="0" w:firstLine="0"/>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FkZmIxYzYzMTZjMGZhMzkzMjcxNjE1NzljNzQyMTIifQ=="/>
  </w:docVars>
  <w:rsids>
    <w:rsidRoot w:val="005354A9"/>
    <w:rsid w:val="00023B4B"/>
    <w:rsid w:val="000274DA"/>
    <w:rsid w:val="00046675"/>
    <w:rsid w:val="00053EC5"/>
    <w:rsid w:val="00057B8D"/>
    <w:rsid w:val="0009273F"/>
    <w:rsid w:val="0009345F"/>
    <w:rsid w:val="000B1DBB"/>
    <w:rsid w:val="000C1289"/>
    <w:rsid w:val="000C4373"/>
    <w:rsid w:val="000F1238"/>
    <w:rsid w:val="0010323A"/>
    <w:rsid w:val="001113E5"/>
    <w:rsid w:val="00116AEF"/>
    <w:rsid w:val="00126E72"/>
    <w:rsid w:val="0013199A"/>
    <w:rsid w:val="00154C09"/>
    <w:rsid w:val="001873EE"/>
    <w:rsid w:val="001A26B2"/>
    <w:rsid w:val="001A34F2"/>
    <w:rsid w:val="001A643A"/>
    <w:rsid w:val="001B17CB"/>
    <w:rsid w:val="001B59E5"/>
    <w:rsid w:val="001E2B91"/>
    <w:rsid w:val="001E5D15"/>
    <w:rsid w:val="00207A92"/>
    <w:rsid w:val="00213B56"/>
    <w:rsid w:val="00241FD4"/>
    <w:rsid w:val="002604AB"/>
    <w:rsid w:val="00276D48"/>
    <w:rsid w:val="002946EC"/>
    <w:rsid w:val="002B4525"/>
    <w:rsid w:val="002B4BA5"/>
    <w:rsid w:val="002C1233"/>
    <w:rsid w:val="002D5A86"/>
    <w:rsid w:val="002F1BA0"/>
    <w:rsid w:val="00300B92"/>
    <w:rsid w:val="0030567A"/>
    <w:rsid w:val="003355D7"/>
    <w:rsid w:val="00346582"/>
    <w:rsid w:val="00386650"/>
    <w:rsid w:val="00397399"/>
    <w:rsid w:val="003C3EF4"/>
    <w:rsid w:val="003E46EF"/>
    <w:rsid w:val="003E51B6"/>
    <w:rsid w:val="003F3023"/>
    <w:rsid w:val="004359EA"/>
    <w:rsid w:val="00440F01"/>
    <w:rsid w:val="00442354"/>
    <w:rsid w:val="0045311B"/>
    <w:rsid w:val="00453C0C"/>
    <w:rsid w:val="00455146"/>
    <w:rsid w:val="00456A97"/>
    <w:rsid w:val="004B79FA"/>
    <w:rsid w:val="004C1375"/>
    <w:rsid w:val="004D0793"/>
    <w:rsid w:val="004E509E"/>
    <w:rsid w:val="004F6E82"/>
    <w:rsid w:val="00503338"/>
    <w:rsid w:val="005066B3"/>
    <w:rsid w:val="00516289"/>
    <w:rsid w:val="00517144"/>
    <w:rsid w:val="005354A9"/>
    <w:rsid w:val="00543D22"/>
    <w:rsid w:val="00547D9F"/>
    <w:rsid w:val="00567BAD"/>
    <w:rsid w:val="00580B35"/>
    <w:rsid w:val="005866A9"/>
    <w:rsid w:val="005F1A1C"/>
    <w:rsid w:val="005F21B1"/>
    <w:rsid w:val="005F689D"/>
    <w:rsid w:val="00603C5E"/>
    <w:rsid w:val="00610577"/>
    <w:rsid w:val="00614125"/>
    <w:rsid w:val="00615310"/>
    <w:rsid w:val="006216B4"/>
    <w:rsid w:val="00640927"/>
    <w:rsid w:val="0064177B"/>
    <w:rsid w:val="00653F32"/>
    <w:rsid w:val="00665F52"/>
    <w:rsid w:val="00671625"/>
    <w:rsid w:val="006C1FDA"/>
    <w:rsid w:val="00733819"/>
    <w:rsid w:val="00744308"/>
    <w:rsid w:val="007473A5"/>
    <w:rsid w:val="00752D6F"/>
    <w:rsid w:val="00761EAA"/>
    <w:rsid w:val="00764232"/>
    <w:rsid w:val="0076683F"/>
    <w:rsid w:val="007722D2"/>
    <w:rsid w:val="00773343"/>
    <w:rsid w:val="007A3DB7"/>
    <w:rsid w:val="007A771C"/>
    <w:rsid w:val="007B07E8"/>
    <w:rsid w:val="007B55A2"/>
    <w:rsid w:val="00807EA5"/>
    <w:rsid w:val="008516BA"/>
    <w:rsid w:val="00862C50"/>
    <w:rsid w:val="00867857"/>
    <w:rsid w:val="008770D7"/>
    <w:rsid w:val="008810DB"/>
    <w:rsid w:val="008B419F"/>
    <w:rsid w:val="008F4418"/>
    <w:rsid w:val="008F5BA3"/>
    <w:rsid w:val="00906F99"/>
    <w:rsid w:val="009119C2"/>
    <w:rsid w:val="00920934"/>
    <w:rsid w:val="009260DA"/>
    <w:rsid w:val="00931F65"/>
    <w:rsid w:val="00945AA0"/>
    <w:rsid w:val="00965642"/>
    <w:rsid w:val="00967FE1"/>
    <w:rsid w:val="00991FF7"/>
    <w:rsid w:val="009B0400"/>
    <w:rsid w:val="009C710E"/>
    <w:rsid w:val="00A33F83"/>
    <w:rsid w:val="00A45700"/>
    <w:rsid w:val="00A560DA"/>
    <w:rsid w:val="00A700A5"/>
    <w:rsid w:val="00A9288A"/>
    <w:rsid w:val="00A940BB"/>
    <w:rsid w:val="00AA2ADA"/>
    <w:rsid w:val="00AA728C"/>
    <w:rsid w:val="00AE30E7"/>
    <w:rsid w:val="00B155BC"/>
    <w:rsid w:val="00B36C87"/>
    <w:rsid w:val="00B40DF9"/>
    <w:rsid w:val="00B51CB9"/>
    <w:rsid w:val="00B9671A"/>
    <w:rsid w:val="00B97122"/>
    <w:rsid w:val="00BB538C"/>
    <w:rsid w:val="00BC5FC0"/>
    <w:rsid w:val="00BF0954"/>
    <w:rsid w:val="00BF459A"/>
    <w:rsid w:val="00C31068"/>
    <w:rsid w:val="00C37048"/>
    <w:rsid w:val="00C41F0A"/>
    <w:rsid w:val="00C445F7"/>
    <w:rsid w:val="00C569B5"/>
    <w:rsid w:val="00C73119"/>
    <w:rsid w:val="00C83B50"/>
    <w:rsid w:val="00CA78C3"/>
    <w:rsid w:val="00CB228A"/>
    <w:rsid w:val="00CB6471"/>
    <w:rsid w:val="00CB6979"/>
    <w:rsid w:val="00CE1162"/>
    <w:rsid w:val="00CE188C"/>
    <w:rsid w:val="00CF03D8"/>
    <w:rsid w:val="00D276D3"/>
    <w:rsid w:val="00D52834"/>
    <w:rsid w:val="00D6345B"/>
    <w:rsid w:val="00D95610"/>
    <w:rsid w:val="00DA1C2A"/>
    <w:rsid w:val="00DA266D"/>
    <w:rsid w:val="00DD0B10"/>
    <w:rsid w:val="00E13B93"/>
    <w:rsid w:val="00E20E3F"/>
    <w:rsid w:val="00E3333B"/>
    <w:rsid w:val="00E33F4D"/>
    <w:rsid w:val="00E3428D"/>
    <w:rsid w:val="00E41842"/>
    <w:rsid w:val="00E478BD"/>
    <w:rsid w:val="00E543BA"/>
    <w:rsid w:val="00E572DF"/>
    <w:rsid w:val="00EA21A4"/>
    <w:rsid w:val="00EB6D31"/>
    <w:rsid w:val="00EC036D"/>
    <w:rsid w:val="00EE78B0"/>
    <w:rsid w:val="00EE7EB6"/>
    <w:rsid w:val="00EF1C14"/>
    <w:rsid w:val="00F005BD"/>
    <w:rsid w:val="00F30A2D"/>
    <w:rsid w:val="00F31CDF"/>
    <w:rsid w:val="00F401C3"/>
    <w:rsid w:val="00F74687"/>
    <w:rsid w:val="00F836A0"/>
    <w:rsid w:val="00F8638B"/>
    <w:rsid w:val="00FA0E11"/>
    <w:rsid w:val="00FB741D"/>
    <w:rsid w:val="00FC0CB3"/>
    <w:rsid w:val="00FC7E04"/>
    <w:rsid w:val="00FD5F9F"/>
    <w:rsid w:val="00FD7399"/>
    <w:rsid w:val="00FF4F2F"/>
    <w:rsid w:val="010A6538"/>
    <w:rsid w:val="011F4203"/>
    <w:rsid w:val="01590129"/>
    <w:rsid w:val="01BB3CD7"/>
    <w:rsid w:val="02060C67"/>
    <w:rsid w:val="02125BD8"/>
    <w:rsid w:val="022146FE"/>
    <w:rsid w:val="02423327"/>
    <w:rsid w:val="027B3085"/>
    <w:rsid w:val="02C314CA"/>
    <w:rsid w:val="02EB4148"/>
    <w:rsid w:val="032C29CA"/>
    <w:rsid w:val="034F46D6"/>
    <w:rsid w:val="03692BB3"/>
    <w:rsid w:val="03733D60"/>
    <w:rsid w:val="038728BB"/>
    <w:rsid w:val="039C5E27"/>
    <w:rsid w:val="03B84907"/>
    <w:rsid w:val="03E3529C"/>
    <w:rsid w:val="04105243"/>
    <w:rsid w:val="041F679F"/>
    <w:rsid w:val="04402271"/>
    <w:rsid w:val="04605AFB"/>
    <w:rsid w:val="04651CD8"/>
    <w:rsid w:val="0466198A"/>
    <w:rsid w:val="046C3066"/>
    <w:rsid w:val="049D2D12"/>
    <w:rsid w:val="04A40A52"/>
    <w:rsid w:val="04B03393"/>
    <w:rsid w:val="04B87402"/>
    <w:rsid w:val="04C90229"/>
    <w:rsid w:val="04CD4F0D"/>
    <w:rsid w:val="04D05ECC"/>
    <w:rsid w:val="04E012C6"/>
    <w:rsid w:val="050D2A9B"/>
    <w:rsid w:val="05207307"/>
    <w:rsid w:val="0534231A"/>
    <w:rsid w:val="05413C72"/>
    <w:rsid w:val="054D4D97"/>
    <w:rsid w:val="05900799"/>
    <w:rsid w:val="05DD1AFB"/>
    <w:rsid w:val="06316315"/>
    <w:rsid w:val="064717B5"/>
    <w:rsid w:val="06652520"/>
    <w:rsid w:val="06C143E5"/>
    <w:rsid w:val="06CB42A7"/>
    <w:rsid w:val="06E64309"/>
    <w:rsid w:val="07043A2A"/>
    <w:rsid w:val="07100621"/>
    <w:rsid w:val="0717375D"/>
    <w:rsid w:val="071F6D77"/>
    <w:rsid w:val="07450F80"/>
    <w:rsid w:val="0768220B"/>
    <w:rsid w:val="078A2181"/>
    <w:rsid w:val="07C77A7D"/>
    <w:rsid w:val="07DA681D"/>
    <w:rsid w:val="07E1307C"/>
    <w:rsid w:val="07FF40E4"/>
    <w:rsid w:val="08032536"/>
    <w:rsid w:val="080719B1"/>
    <w:rsid w:val="081B727D"/>
    <w:rsid w:val="081F031D"/>
    <w:rsid w:val="0822685D"/>
    <w:rsid w:val="08464B96"/>
    <w:rsid w:val="084F2C45"/>
    <w:rsid w:val="08746F6A"/>
    <w:rsid w:val="088F6443"/>
    <w:rsid w:val="08B05023"/>
    <w:rsid w:val="08FB1B8C"/>
    <w:rsid w:val="09102CCC"/>
    <w:rsid w:val="092640D6"/>
    <w:rsid w:val="094F33D3"/>
    <w:rsid w:val="095E375B"/>
    <w:rsid w:val="099217C1"/>
    <w:rsid w:val="09BB563C"/>
    <w:rsid w:val="0A017483"/>
    <w:rsid w:val="0A140428"/>
    <w:rsid w:val="0A2A33D9"/>
    <w:rsid w:val="0A3B7763"/>
    <w:rsid w:val="0A6C6C86"/>
    <w:rsid w:val="0AB30325"/>
    <w:rsid w:val="0AF847C1"/>
    <w:rsid w:val="0B2D70D8"/>
    <w:rsid w:val="0B4F43F5"/>
    <w:rsid w:val="0B6A5046"/>
    <w:rsid w:val="0B717211"/>
    <w:rsid w:val="0B7A7E73"/>
    <w:rsid w:val="0B8868F3"/>
    <w:rsid w:val="0B9E269F"/>
    <w:rsid w:val="0BB82651"/>
    <w:rsid w:val="0BB91287"/>
    <w:rsid w:val="0C030249"/>
    <w:rsid w:val="0C231B88"/>
    <w:rsid w:val="0C290B66"/>
    <w:rsid w:val="0C5A3770"/>
    <w:rsid w:val="0C955FE9"/>
    <w:rsid w:val="0CF34F99"/>
    <w:rsid w:val="0CFD391E"/>
    <w:rsid w:val="0D2F35BC"/>
    <w:rsid w:val="0D4109C5"/>
    <w:rsid w:val="0D493546"/>
    <w:rsid w:val="0D554FDF"/>
    <w:rsid w:val="0D5D2302"/>
    <w:rsid w:val="0D660DD3"/>
    <w:rsid w:val="0DAD5327"/>
    <w:rsid w:val="0DB86536"/>
    <w:rsid w:val="0DEC3824"/>
    <w:rsid w:val="0E055F1B"/>
    <w:rsid w:val="0E056A05"/>
    <w:rsid w:val="0E3015A8"/>
    <w:rsid w:val="0E613E04"/>
    <w:rsid w:val="0EBC6F03"/>
    <w:rsid w:val="0EBD108E"/>
    <w:rsid w:val="0EC06F5F"/>
    <w:rsid w:val="0EF56F76"/>
    <w:rsid w:val="0EFC21E2"/>
    <w:rsid w:val="0F0117A2"/>
    <w:rsid w:val="0FF60470"/>
    <w:rsid w:val="0FFA31A2"/>
    <w:rsid w:val="100B38EE"/>
    <w:rsid w:val="100F6370"/>
    <w:rsid w:val="101C07E8"/>
    <w:rsid w:val="10352EA6"/>
    <w:rsid w:val="10B54300"/>
    <w:rsid w:val="10B81F61"/>
    <w:rsid w:val="10BE7CE9"/>
    <w:rsid w:val="10E15772"/>
    <w:rsid w:val="10E77E1D"/>
    <w:rsid w:val="10F44839"/>
    <w:rsid w:val="11091D4E"/>
    <w:rsid w:val="11194576"/>
    <w:rsid w:val="11295681"/>
    <w:rsid w:val="114535BD"/>
    <w:rsid w:val="1191235E"/>
    <w:rsid w:val="11963E18"/>
    <w:rsid w:val="11AE2F10"/>
    <w:rsid w:val="11BD75F7"/>
    <w:rsid w:val="11C434A6"/>
    <w:rsid w:val="11C46E28"/>
    <w:rsid w:val="11E535D4"/>
    <w:rsid w:val="12352A26"/>
    <w:rsid w:val="126E2768"/>
    <w:rsid w:val="12721FDA"/>
    <w:rsid w:val="129733ED"/>
    <w:rsid w:val="12B427A8"/>
    <w:rsid w:val="13274D28"/>
    <w:rsid w:val="134B17CF"/>
    <w:rsid w:val="135263CE"/>
    <w:rsid w:val="137A4DA4"/>
    <w:rsid w:val="137A7168"/>
    <w:rsid w:val="13A15DB0"/>
    <w:rsid w:val="13C03F17"/>
    <w:rsid w:val="140304FE"/>
    <w:rsid w:val="140A01AB"/>
    <w:rsid w:val="142C70CA"/>
    <w:rsid w:val="142E3D36"/>
    <w:rsid w:val="14302302"/>
    <w:rsid w:val="1492490C"/>
    <w:rsid w:val="14977C8B"/>
    <w:rsid w:val="14D67F36"/>
    <w:rsid w:val="14DE3B0C"/>
    <w:rsid w:val="1517050D"/>
    <w:rsid w:val="15613B1A"/>
    <w:rsid w:val="15683B45"/>
    <w:rsid w:val="157C5231"/>
    <w:rsid w:val="15A22D8C"/>
    <w:rsid w:val="15A901D0"/>
    <w:rsid w:val="15AE705E"/>
    <w:rsid w:val="160457F4"/>
    <w:rsid w:val="160A01D1"/>
    <w:rsid w:val="163065E9"/>
    <w:rsid w:val="163634D4"/>
    <w:rsid w:val="1639432D"/>
    <w:rsid w:val="16437BE8"/>
    <w:rsid w:val="164448B0"/>
    <w:rsid w:val="164806CD"/>
    <w:rsid w:val="16A3500D"/>
    <w:rsid w:val="16BE0728"/>
    <w:rsid w:val="16BF3B1D"/>
    <w:rsid w:val="16EA3F1F"/>
    <w:rsid w:val="17345C65"/>
    <w:rsid w:val="17435B42"/>
    <w:rsid w:val="17571545"/>
    <w:rsid w:val="17724A22"/>
    <w:rsid w:val="17815E70"/>
    <w:rsid w:val="178F6E11"/>
    <w:rsid w:val="17D42332"/>
    <w:rsid w:val="186452DC"/>
    <w:rsid w:val="18B70186"/>
    <w:rsid w:val="19594A85"/>
    <w:rsid w:val="197A6EA6"/>
    <w:rsid w:val="19933204"/>
    <w:rsid w:val="19EF056A"/>
    <w:rsid w:val="1A0B0D84"/>
    <w:rsid w:val="1A0C353B"/>
    <w:rsid w:val="1A5A00C5"/>
    <w:rsid w:val="1A6138B9"/>
    <w:rsid w:val="1AAB26E2"/>
    <w:rsid w:val="1ABC669E"/>
    <w:rsid w:val="1AC8407D"/>
    <w:rsid w:val="1AD66F7D"/>
    <w:rsid w:val="1AFE2AFF"/>
    <w:rsid w:val="1B143545"/>
    <w:rsid w:val="1B1A3EBA"/>
    <w:rsid w:val="1B23671D"/>
    <w:rsid w:val="1B3E7CCF"/>
    <w:rsid w:val="1B46065D"/>
    <w:rsid w:val="1B485C48"/>
    <w:rsid w:val="1B696EDB"/>
    <w:rsid w:val="1BDA2694"/>
    <w:rsid w:val="1BEE7C6C"/>
    <w:rsid w:val="1C08575C"/>
    <w:rsid w:val="1C112A1C"/>
    <w:rsid w:val="1C441948"/>
    <w:rsid w:val="1C48433B"/>
    <w:rsid w:val="1C6646A5"/>
    <w:rsid w:val="1C761991"/>
    <w:rsid w:val="1C946F7D"/>
    <w:rsid w:val="1CD221A8"/>
    <w:rsid w:val="1D273F43"/>
    <w:rsid w:val="1D3646A4"/>
    <w:rsid w:val="1D3B432A"/>
    <w:rsid w:val="1D484727"/>
    <w:rsid w:val="1D7D1D85"/>
    <w:rsid w:val="1D8C3C6D"/>
    <w:rsid w:val="1D8D214F"/>
    <w:rsid w:val="1DBA6922"/>
    <w:rsid w:val="1DC07FF8"/>
    <w:rsid w:val="1E0E0829"/>
    <w:rsid w:val="1E283D1B"/>
    <w:rsid w:val="1E2E0FD0"/>
    <w:rsid w:val="1E3744D5"/>
    <w:rsid w:val="1E396F48"/>
    <w:rsid w:val="1E5368D4"/>
    <w:rsid w:val="1E5E6D5C"/>
    <w:rsid w:val="1E7942E9"/>
    <w:rsid w:val="1E8A6AB3"/>
    <w:rsid w:val="1EC34AC2"/>
    <w:rsid w:val="1EDB0785"/>
    <w:rsid w:val="1EF1268E"/>
    <w:rsid w:val="1F06065B"/>
    <w:rsid w:val="1F2A5F57"/>
    <w:rsid w:val="1F494278"/>
    <w:rsid w:val="1F792DAF"/>
    <w:rsid w:val="1F7D1DB4"/>
    <w:rsid w:val="1FBF53E5"/>
    <w:rsid w:val="1FFE6F45"/>
    <w:rsid w:val="2020358E"/>
    <w:rsid w:val="20590140"/>
    <w:rsid w:val="206A4FFF"/>
    <w:rsid w:val="207E7666"/>
    <w:rsid w:val="20B510C7"/>
    <w:rsid w:val="20C8337B"/>
    <w:rsid w:val="20D44015"/>
    <w:rsid w:val="21246D4B"/>
    <w:rsid w:val="212C2C73"/>
    <w:rsid w:val="214F2DA1"/>
    <w:rsid w:val="216D06F2"/>
    <w:rsid w:val="217D442E"/>
    <w:rsid w:val="21B94490"/>
    <w:rsid w:val="21BD4A0B"/>
    <w:rsid w:val="21DF2C72"/>
    <w:rsid w:val="21FF7F7B"/>
    <w:rsid w:val="2232754F"/>
    <w:rsid w:val="228E07C3"/>
    <w:rsid w:val="228E7A2E"/>
    <w:rsid w:val="22D874BD"/>
    <w:rsid w:val="22F00C42"/>
    <w:rsid w:val="230D73E5"/>
    <w:rsid w:val="23177C51"/>
    <w:rsid w:val="231D4494"/>
    <w:rsid w:val="232216B1"/>
    <w:rsid w:val="23867849"/>
    <w:rsid w:val="239B0C46"/>
    <w:rsid w:val="23DE757D"/>
    <w:rsid w:val="24071927"/>
    <w:rsid w:val="24473D86"/>
    <w:rsid w:val="2447514C"/>
    <w:rsid w:val="248B0E8F"/>
    <w:rsid w:val="24A629FE"/>
    <w:rsid w:val="25047917"/>
    <w:rsid w:val="25513E45"/>
    <w:rsid w:val="2587710E"/>
    <w:rsid w:val="258B7398"/>
    <w:rsid w:val="25901066"/>
    <w:rsid w:val="2592529A"/>
    <w:rsid w:val="259E7935"/>
    <w:rsid w:val="260F621B"/>
    <w:rsid w:val="261E2712"/>
    <w:rsid w:val="26217D58"/>
    <w:rsid w:val="2656340F"/>
    <w:rsid w:val="2661459D"/>
    <w:rsid w:val="266A1583"/>
    <w:rsid w:val="26922B62"/>
    <w:rsid w:val="26F87A67"/>
    <w:rsid w:val="272D624B"/>
    <w:rsid w:val="274B56C8"/>
    <w:rsid w:val="279068A1"/>
    <w:rsid w:val="27AB4C16"/>
    <w:rsid w:val="27AE3A79"/>
    <w:rsid w:val="27C64862"/>
    <w:rsid w:val="27CE5E75"/>
    <w:rsid w:val="27F43D77"/>
    <w:rsid w:val="28041684"/>
    <w:rsid w:val="28582394"/>
    <w:rsid w:val="287A36F4"/>
    <w:rsid w:val="287D5DDE"/>
    <w:rsid w:val="28825F5B"/>
    <w:rsid w:val="28C44E15"/>
    <w:rsid w:val="28E16683"/>
    <w:rsid w:val="28E308C2"/>
    <w:rsid w:val="28F70B6B"/>
    <w:rsid w:val="290E7CED"/>
    <w:rsid w:val="294C544B"/>
    <w:rsid w:val="295560AE"/>
    <w:rsid w:val="295E7940"/>
    <w:rsid w:val="299C0652"/>
    <w:rsid w:val="29C70E12"/>
    <w:rsid w:val="2A0C7BC0"/>
    <w:rsid w:val="2A5D267D"/>
    <w:rsid w:val="2A763817"/>
    <w:rsid w:val="2AB235B1"/>
    <w:rsid w:val="2ABE5E1A"/>
    <w:rsid w:val="2AC26DFE"/>
    <w:rsid w:val="2ACE13A6"/>
    <w:rsid w:val="2AEB666F"/>
    <w:rsid w:val="2B1A3A32"/>
    <w:rsid w:val="2B2128A2"/>
    <w:rsid w:val="2B894361"/>
    <w:rsid w:val="2B907E05"/>
    <w:rsid w:val="2B9E6DEB"/>
    <w:rsid w:val="2BA01BEB"/>
    <w:rsid w:val="2BE56194"/>
    <w:rsid w:val="2BF76932"/>
    <w:rsid w:val="2C337EF7"/>
    <w:rsid w:val="2C3C1D0E"/>
    <w:rsid w:val="2C5E21A6"/>
    <w:rsid w:val="2D076A0E"/>
    <w:rsid w:val="2D343544"/>
    <w:rsid w:val="2D462FCF"/>
    <w:rsid w:val="2D776B0B"/>
    <w:rsid w:val="2D79041E"/>
    <w:rsid w:val="2DCA544C"/>
    <w:rsid w:val="2DCC2121"/>
    <w:rsid w:val="2DCE2518"/>
    <w:rsid w:val="2E1C61CF"/>
    <w:rsid w:val="2E210F68"/>
    <w:rsid w:val="2E5B7B24"/>
    <w:rsid w:val="2E68132E"/>
    <w:rsid w:val="2E6E3475"/>
    <w:rsid w:val="2E853552"/>
    <w:rsid w:val="2EB245F9"/>
    <w:rsid w:val="2EBC3E95"/>
    <w:rsid w:val="2EC07CC3"/>
    <w:rsid w:val="2EE6563F"/>
    <w:rsid w:val="2F0A7F6F"/>
    <w:rsid w:val="2F1F0A58"/>
    <w:rsid w:val="2F1F4F2E"/>
    <w:rsid w:val="2F2C531D"/>
    <w:rsid w:val="2F3A672D"/>
    <w:rsid w:val="2F3F1EA5"/>
    <w:rsid w:val="2F5565E6"/>
    <w:rsid w:val="2F6775E1"/>
    <w:rsid w:val="2F9F2CFE"/>
    <w:rsid w:val="2FA419B6"/>
    <w:rsid w:val="2FB80D74"/>
    <w:rsid w:val="2FE204FD"/>
    <w:rsid w:val="30031725"/>
    <w:rsid w:val="3020098F"/>
    <w:rsid w:val="303131C0"/>
    <w:rsid w:val="30330D58"/>
    <w:rsid w:val="304639E8"/>
    <w:rsid w:val="304C7637"/>
    <w:rsid w:val="3056632F"/>
    <w:rsid w:val="307158AD"/>
    <w:rsid w:val="308405B2"/>
    <w:rsid w:val="30907F59"/>
    <w:rsid w:val="30AB0DB1"/>
    <w:rsid w:val="30B16563"/>
    <w:rsid w:val="30DF7082"/>
    <w:rsid w:val="30DF7D81"/>
    <w:rsid w:val="30E23CDF"/>
    <w:rsid w:val="30EE0944"/>
    <w:rsid w:val="30FA0E07"/>
    <w:rsid w:val="310E1F50"/>
    <w:rsid w:val="313926F2"/>
    <w:rsid w:val="31576EE4"/>
    <w:rsid w:val="31772E83"/>
    <w:rsid w:val="31CB5A97"/>
    <w:rsid w:val="31DF7625"/>
    <w:rsid w:val="31F462C5"/>
    <w:rsid w:val="322E0D22"/>
    <w:rsid w:val="322E3409"/>
    <w:rsid w:val="32583809"/>
    <w:rsid w:val="32F066F1"/>
    <w:rsid w:val="33237158"/>
    <w:rsid w:val="333E5A72"/>
    <w:rsid w:val="3353526D"/>
    <w:rsid w:val="33AC6D97"/>
    <w:rsid w:val="34081CF6"/>
    <w:rsid w:val="34A331E4"/>
    <w:rsid w:val="34B85E35"/>
    <w:rsid w:val="34CC4338"/>
    <w:rsid w:val="35153E2A"/>
    <w:rsid w:val="354B0D10"/>
    <w:rsid w:val="35645510"/>
    <w:rsid w:val="35867B7C"/>
    <w:rsid w:val="35A87AF3"/>
    <w:rsid w:val="35AD79D8"/>
    <w:rsid w:val="35B25CD8"/>
    <w:rsid w:val="35CC2D88"/>
    <w:rsid w:val="362F0550"/>
    <w:rsid w:val="36305D8E"/>
    <w:rsid w:val="365E2E82"/>
    <w:rsid w:val="367A4420"/>
    <w:rsid w:val="36C35592"/>
    <w:rsid w:val="371C657D"/>
    <w:rsid w:val="374B45DD"/>
    <w:rsid w:val="37CB2932"/>
    <w:rsid w:val="37E21875"/>
    <w:rsid w:val="37F21C51"/>
    <w:rsid w:val="38296FD6"/>
    <w:rsid w:val="38441481"/>
    <w:rsid w:val="387F55E0"/>
    <w:rsid w:val="388436B1"/>
    <w:rsid w:val="388E2C3A"/>
    <w:rsid w:val="38926838"/>
    <w:rsid w:val="38965DD9"/>
    <w:rsid w:val="38AE6105"/>
    <w:rsid w:val="38CA5FD2"/>
    <w:rsid w:val="38D93AF3"/>
    <w:rsid w:val="390C7717"/>
    <w:rsid w:val="39467EC8"/>
    <w:rsid w:val="398B18F9"/>
    <w:rsid w:val="398F472F"/>
    <w:rsid w:val="39C913A7"/>
    <w:rsid w:val="39FC0DD5"/>
    <w:rsid w:val="3A203E0D"/>
    <w:rsid w:val="3A2160C5"/>
    <w:rsid w:val="3A240428"/>
    <w:rsid w:val="3A4F31F0"/>
    <w:rsid w:val="3A6F3AA4"/>
    <w:rsid w:val="3A8A4580"/>
    <w:rsid w:val="3AA353D2"/>
    <w:rsid w:val="3AF070BF"/>
    <w:rsid w:val="3B523558"/>
    <w:rsid w:val="3B716D99"/>
    <w:rsid w:val="3BB43B8F"/>
    <w:rsid w:val="3C273457"/>
    <w:rsid w:val="3C51657B"/>
    <w:rsid w:val="3C5F6A31"/>
    <w:rsid w:val="3C621E0C"/>
    <w:rsid w:val="3C702C26"/>
    <w:rsid w:val="3C8000BC"/>
    <w:rsid w:val="3CA37266"/>
    <w:rsid w:val="3CBF7849"/>
    <w:rsid w:val="3CC571DC"/>
    <w:rsid w:val="3CD751A6"/>
    <w:rsid w:val="3CE71981"/>
    <w:rsid w:val="3D056F8D"/>
    <w:rsid w:val="3D295EEC"/>
    <w:rsid w:val="3D657C1C"/>
    <w:rsid w:val="3D9C48F6"/>
    <w:rsid w:val="3DA85EA8"/>
    <w:rsid w:val="3DFB5BD4"/>
    <w:rsid w:val="3E0222CD"/>
    <w:rsid w:val="3E277FAA"/>
    <w:rsid w:val="3E36447F"/>
    <w:rsid w:val="3E703177"/>
    <w:rsid w:val="3EB54BC1"/>
    <w:rsid w:val="3EE83EC3"/>
    <w:rsid w:val="3F1219D7"/>
    <w:rsid w:val="3F2331C1"/>
    <w:rsid w:val="3F536D21"/>
    <w:rsid w:val="3F642C15"/>
    <w:rsid w:val="3F7D0BE9"/>
    <w:rsid w:val="3FDF0CEA"/>
    <w:rsid w:val="3FFB51C8"/>
    <w:rsid w:val="3FFD50C0"/>
    <w:rsid w:val="4000052B"/>
    <w:rsid w:val="401A6EC9"/>
    <w:rsid w:val="403B42A3"/>
    <w:rsid w:val="40467281"/>
    <w:rsid w:val="404C2404"/>
    <w:rsid w:val="406D3DA8"/>
    <w:rsid w:val="408B6047"/>
    <w:rsid w:val="40956937"/>
    <w:rsid w:val="40A379E4"/>
    <w:rsid w:val="40B03488"/>
    <w:rsid w:val="40B957A1"/>
    <w:rsid w:val="40D741DB"/>
    <w:rsid w:val="40D90435"/>
    <w:rsid w:val="40EC403B"/>
    <w:rsid w:val="4122746F"/>
    <w:rsid w:val="415F59AE"/>
    <w:rsid w:val="41656EB6"/>
    <w:rsid w:val="41686AF4"/>
    <w:rsid w:val="41A03254"/>
    <w:rsid w:val="41D33EED"/>
    <w:rsid w:val="41F50414"/>
    <w:rsid w:val="41F67F37"/>
    <w:rsid w:val="420936C7"/>
    <w:rsid w:val="423D7183"/>
    <w:rsid w:val="42A11723"/>
    <w:rsid w:val="42A13395"/>
    <w:rsid w:val="430E5A54"/>
    <w:rsid w:val="43245802"/>
    <w:rsid w:val="43446CD6"/>
    <w:rsid w:val="43AA0EDA"/>
    <w:rsid w:val="43DF2B96"/>
    <w:rsid w:val="43EF7418"/>
    <w:rsid w:val="43F90D6B"/>
    <w:rsid w:val="44133CD1"/>
    <w:rsid w:val="44514111"/>
    <w:rsid w:val="449B0822"/>
    <w:rsid w:val="44AE35BC"/>
    <w:rsid w:val="4542606D"/>
    <w:rsid w:val="45434D8C"/>
    <w:rsid w:val="454F3AE7"/>
    <w:rsid w:val="45604C1C"/>
    <w:rsid w:val="45801824"/>
    <w:rsid w:val="45964DEB"/>
    <w:rsid w:val="45B1156B"/>
    <w:rsid w:val="45BD3146"/>
    <w:rsid w:val="45C82186"/>
    <w:rsid w:val="460841ED"/>
    <w:rsid w:val="464541C3"/>
    <w:rsid w:val="464C5255"/>
    <w:rsid w:val="46987923"/>
    <w:rsid w:val="46A9448A"/>
    <w:rsid w:val="47023548"/>
    <w:rsid w:val="475259E7"/>
    <w:rsid w:val="47723ABC"/>
    <w:rsid w:val="480313E0"/>
    <w:rsid w:val="485540FB"/>
    <w:rsid w:val="48662B7E"/>
    <w:rsid w:val="48681E22"/>
    <w:rsid w:val="48914A0A"/>
    <w:rsid w:val="48A44447"/>
    <w:rsid w:val="48B61F50"/>
    <w:rsid w:val="48C41EA6"/>
    <w:rsid w:val="49174906"/>
    <w:rsid w:val="49D2601A"/>
    <w:rsid w:val="49DA14C1"/>
    <w:rsid w:val="49E5346D"/>
    <w:rsid w:val="4A3100A4"/>
    <w:rsid w:val="4A69389D"/>
    <w:rsid w:val="4A903A61"/>
    <w:rsid w:val="4A9376E2"/>
    <w:rsid w:val="4AAE7501"/>
    <w:rsid w:val="4AC00FE3"/>
    <w:rsid w:val="4AC62A9D"/>
    <w:rsid w:val="4AD83FCC"/>
    <w:rsid w:val="4B417AE1"/>
    <w:rsid w:val="4B4B65EB"/>
    <w:rsid w:val="4B5C51AF"/>
    <w:rsid w:val="4C06215B"/>
    <w:rsid w:val="4C1F5A0B"/>
    <w:rsid w:val="4C2C0295"/>
    <w:rsid w:val="4C5747EF"/>
    <w:rsid w:val="4C586374"/>
    <w:rsid w:val="4C906CD2"/>
    <w:rsid w:val="4C923FA6"/>
    <w:rsid w:val="4C995FAD"/>
    <w:rsid w:val="4D153868"/>
    <w:rsid w:val="4D2E66D8"/>
    <w:rsid w:val="4D4058D0"/>
    <w:rsid w:val="4D8B3B2A"/>
    <w:rsid w:val="4E2E5700"/>
    <w:rsid w:val="4E404914"/>
    <w:rsid w:val="4E425507"/>
    <w:rsid w:val="4E447A29"/>
    <w:rsid w:val="4E4A0E65"/>
    <w:rsid w:val="4E997197"/>
    <w:rsid w:val="4EB92507"/>
    <w:rsid w:val="4EC10073"/>
    <w:rsid w:val="4EC1023C"/>
    <w:rsid w:val="4EC96918"/>
    <w:rsid w:val="4EEE25C2"/>
    <w:rsid w:val="4EF44224"/>
    <w:rsid w:val="4F11187F"/>
    <w:rsid w:val="4F1314AE"/>
    <w:rsid w:val="4F3D0C32"/>
    <w:rsid w:val="4F714FA1"/>
    <w:rsid w:val="4F8351CD"/>
    <w:rsid w:val="4F855509"/>
    <w:rsid w:val="4FAA5A09"/>
    <w:rsid w:val="4FB80389"/>
    <w:rsid w:val="4FC13833"/>
    <w:rsid w:val="504467F0"/>
    <w:rsid w:val="50853818"/>
    <w:rsid w:val="50B52C6C"/>
    <w:rsid w:val="50CF01D2"/>
    <w:rsid w:val="50DB088E"/>
    <w:rsid w:val="5124051D"/>
    <w:rsid w:val="512C73D2"/>
    <w:rsid w:val="51465AB6"/>
    <w:rsid w:val="514A198C"/>
    <w:rsid w:val="51571E03"/>
    <w:rsid w:val="516D4CA9"/>
    <w:rsid w:val="516E3468"/>
    <w:rsid w:val="51816625"/>
    <w:rsid w:val="5186012F"/>
    <w:rsid w:val="51CB0999"/>
    <w:rsid w:val="51E71E6D"/>
    <w:rsid w:val="51EC1608"/>
    <w:rsid w:val="523138FC"/>
    <w:rsid w:val="523207FA"/>
    <w:rsid w:val="52376FFE"/>
    <w:rsid w:val="524A7EDE"/>
    <w:rsid w:val="524C32D3"/>
    <w:rsid w:val="5271187C"/>
    <w:rsid w:val="52C365BB"/>
    <w:rsid w:val="53063533"/>
    <w:rsid w:val="53181FF5"/>
    <w:rsid w:val="531D3150"/>
    <w:rsid w:val="5337614D"/>
    <w:rsid w:val="53831DAB"/>
    <w:rsid w:val="53B82851"/>
    <w:rsid w:val="53BF041C"/>
    <w:rsid w:val="53C366E5"/>
    <w:rsid w:val="53E47AF0"/>
    <w:rsid w:val="53F02F0E"/>
    <w:rsid w:val="54042EF6"/>
    <w:rsid w:val="54153C68"/>
    <w:rsid w:val="541676C4"/>
    <w:rsid w:val="54271A34"/>
    <w:rsid w:val="545A1CBE"/>
    <w:rsid w:val="545A4256"/>
    <w:rsid w:val="54774E08"/>
    <w:rsid w:val="54850C26"/>
    <w:rsid w:val="548E1048"/>
    <w:rsid w:val="54C03739"/>
    <w:rsid w:val="54CA459C"/>
    <w:rsid w:val="54D66117"/>
    <w:rsid w:val="557A2AFE"/>
    <w:rsid w:val="55837B58"/>
    <w:rsid w:val="55D342C0"/>
    <w:rsid w:val="55FD30EB"/>
    <w:rsid w:val="56494582"/>
    <w:rsid w:val="56760ED0"/>
    <w:rsid w:val="56841020"/>
    <w:rsid w:val="569E48CE"/>
    <w:rsid w:val="56C86BDC"/>
    <w:rsid w:val="57152C74"/>
    <w:rsid w:val="57286E15"/>
    <w:rsid w:val="57C0516D"/>
    <w:rsid w:val="57C36524"/>
    <w:rsid w:val="57CB3592"/>
    <w:rsid w:val="57D85BBE"/>
    <w:rsid w:val="57E93A52"/>
    <w:rsid w:val="57F321FF"/>
    <w:rsid w:val="57F46318"/>
    <w:rsid w:val="580E15DF"/>
    <w:rsid w:val="581902B2"/>
    <w:rsid w:val="584F6FAD"/>
    <w:rsid w:val="587D3437"/>
    <w:rsid w:val="58A350A0"/>
    <w:rsid w:val="59866F2B"/>
    <w:rsid w:val="59AF6DF2"/>
    <w:rsid w:val="59D86CD0"/>
    <w:rsid w:val="59FE1737"/>
    <w:rsid w:val="5A1678B7"/>
    <w:rsid w:val="5A2C1B4C"/>
    <w:rsid w:val="5A416794"/>
    <w:rsid w:val="5A4C1D18"/>
    <w:rsid w:val="5A4E3326"/>
    <w:rsid w:val="5AD023D7"/>
    <w:rsid w:val="5AF363EA"/>
    <w:rsid w:val="5B51462E"/>
    <w:rsid w:val="5B55477C"/>
    <w:rsid w:val="5B767BC7"/>
    <w:rsid w:val="5B915CCF"/>
    <w:rsid w:val="5B9E0ECC"/>
    <w:rsid w:val="5BB903F9"/>
    <w:rsid w:val="5BCB28F8"/>
    <w:rsid w:val="5BD9660B"/>
    <w:rsid w:val="5BF1147F"/>
    <w:rsid w:val="5BF81EF0"/>
    <w:rsid w:val="5C1E3BA7"/>
    <w:rsid w:val="5C2E2250"/>
    <w:rsid w:val="5C4F79AC"/>
    <w:rsid w:val="5C6C5911"/>
    <w:rsid w:val="5C7921E0"/>
    <w:rsid w:val="5C7F75E3"/>
    <w:rsid w:val="5C9A5FCF"/>
    <w:rsid w:val="5CB05A5D"/>
    <w:rsid w:val="5CB25CE9"/>
    <w:rsid w:val="5CBF734C"/>
    <w:rsid w:val="5CC02C67"/>
    <w:rsid w:val="5CC4725F"/>
    <w:rsid w:val="5D4B0860"/>
    <w:rsid w:val="5D706898"/>
    <w:rsid w:val="5DF43025"/>
    <w:rsid w:val="5E841E57"/>
    <w:rsid w:val="5EB34203"/>
    <w:rsid w:val="5ED370DF"/>
    <w:rsid w:val="5EEC1E53"/>
    <w:rsid w:val="5F40686D"/>
    <w:rsid w:val="5F447E44"/>
    <w:rsid w:val="5F9215FB"/>
    <w:rsid w:val="5F936656"/>
    <w:rsid w:val="5FAD5D88"/>
    <w:rsid w:val="5FBF1537"/>
    <w:rsid w:val="60261188"/>
    <w:rsid w:val="602D1FF3"/>
    <w:rsid w:val="603718EF"/>
    <w:rsid w:val="60510355"/>
    <w:rsid w:val="606766F0"/>
    <w:rsid w:val="607162E9"/>
    <w:rsid w:val="607B0B41"/>
    <w:rsid w:val="608266E8"/>
    <w:rsid w:val="6085028F"/>
    <w:rsid w:val="609B7964"/>
    <w:rsid w:val="60A64801"/>
    <w:rsid w:val="60BC771B"/>
    <w:rsid w:val="60C25B36"/>
    <w:rsid w:val="60D95A1A"/>
    <w:rsid w:val="60F5102E"/>
    <w:rsid w:val="60FC7DE4"/>
    <w:rsid w:val="61003934"/>
    <w:rsid w:val="6101092E"/>
    <w:rsid w:val="612C6F7A"/>
    <w:rsid w:val="614D00DF"/>
    <w:rsid w:val="6168539C"/>
    <w:rsid w:val="616B7AA3"/>
    <w:rsid w:val="618405B7"/>
    <w:rsid w:val="61D010B5"/>
    <w:rsid w:val="61E1081B"/>
    <w:rsid w:val="61EB1D28"/>
    <w:rsid w:val="62B15C59"/>
    <w:rsid w:val="62C37A80"/>
    <w:rsid w:val="62CA7CDE"/>
    <w:rsid w:val="62CF1527"/>
    <w:rsid w:val="62DC6612"/>
    <w:rsid w:val="6384493C"/>
    <w:rsid w:val="639E75FF"/>
    <w:rsid w:val="63B05C41"/>
    <w:rsid w:val="63B868A3"/>
    <w:rsid w:val="63C06290"/>
    <w:rsid w:val="63CA5063"/>
    <w:rsid w:val="63F33ABB"/>
    <w:rsid w:val="643430C3"/>
    <w:rsid w:val="6472688E"/>
    <w:rsid w:val="6492646C"/>
    <w:rsid w:val="649918F9"/>
    <w:rsid w:val="64A63BE6"/>
    <w:rsid w:val="64DA749F"/>
    <w:rsid w:val="65051FBC"/>
    <w:rsid w:val="650D6380"/>
    <w:rsid w:val="651850E0"/>
    <w:rsid w:val="652B683D"/>
    <w:rsid w:val="653242CA"/>
    <w:rsid w:val="653621DB"/>
    <w:rsid w:val="657607C4"/>
    <w:rsid w:val="657E531A"/>
    <w:rsid w:val="659C1E19"/>
    <w:rsid w:val="65C04B60"/>
    <w:rsid w:val="65F542F7"/>
    <w:rsid w:val="65FF2DC5"/>
    <w:rsid w:val="662E5E34"/>
    <w:rsid w:val="66494E66"/>
    <w:rsid w:val="66986F9E"/>
    <w:rsid w:val="66D2460E"/>
    <w:rsid w:val="66E022BA"/>
    <w:rsid w:val="66F9345B"/>
    <w:rsid w:val="67053CB2"/>
    <w:rsid w:val="670E05F6"/>
    <w:rsid w:val="6710672B"/>
    <w:rsid w:val="671805F7"/>
    <w:rsid w:val="67310E46"/>
    <w:rsid w:val="673203AB"/>
    <w:rsid w:val="67472D0B"/>
    <w:rsid w:val="677D5B6A"/>
    <w:rsid w:val="679A1D6B"/>
    <w:rsid w:val="67BD6F39"/>
    <w:rsid w:val="67C8514E"/>
    <w:rsid w:val="67CA115A"/>
    <w:rsid w:val="67CB27CE"/>
    <w:rsid w:val="67E50385"/>
    <w:rsid w:val="67FA3BD1"/>
    <w:rsid w:val="67FB3F7F"/>
    <w:rsid w:val="6807439B"/>
    <w:rsid w:val="684C1EB5"/>
    <w:rsid w:val="68694610"/>
    <w:rsid w:val="68917810"/>
    <w:rsid w:val="68A37D09"/>
    <w:rsid w:val="68EC771B"/>
    <w:rsid w:val="6901368D"/>
    <w:rsid w:val="69136CA6"/>
    <w:rsid w:val="691602F4"/>
    <w:rsid w:val="691E5E83"/>
    <w:rsid w:val="692C5D69"/>
    <w:rsid w:val="694D47D9"/>
    <w:rsid w:val="69651970"/>
    <w:rsid w:val="69692225"/>
    <w:rsid w:val="69765995"/>
    <w:rsid w:val="697E2C15"/>
    <w:rsid w:val="698C3183"/>
    <w:rsid w:val="6990385C"/>
    <w:rsid w:val="69A3477D"/>
    <w:rsid w:val="69A80635"/>
    <w:rsid w:val="69B53E18"/>
    <w:rsid w:val="69ED5F83"/>
    <w:rsid w:val="6A981929"/>
    <w:rsid w:val="6AAB7643"/>
    <w:rsid w:val="6ADD22E4"/>
    <w:rsid w:val="6AFB682E"/>
    <w:rsid w:val="6B087688"/>
    <w:rsid w:val="6B2F643D"/>
    <w:rsid w:val="6B3A5394"/>
    <w:rsid w:val="6B737C7F"/>
    <w:rsid w:val="6B741C4A"/>
    <w:rsid w:val="6B8034B1"/>
    <w:rsid w:val="6B9536B0"/>
    <w:rsid w:val="6BC32289"/>
    <w:rsid w:val="6BD9385B"/>
    <w:rsid w:val="6C4E2EB7"/>
    <w:rsid w:val="6C6F41F7"/>
    <w:rsid w:val="6CC83582"/>
    <w:rsid w:val="6CD96208"/>
    <w:rsid w:val="6CE2132F"/>
    <w:rsid w:val="6CE801F9"/>
    <w:rsid w:val="6CF039A9"/>
    <w:rsid w:val="6CFE3C7B"/>
    <w:rsid w:val="6D0020E2"/>
    <w:rsid w:val="6D031875"/>
    <w:rsid w:val="6D274097"/>
    <w:rsid w:val="6D30765A"/>
    <w:rsid w:val="6D325918"/>
    <w:rsid w:val="6D3A334B"/>
    <w:rsid w:val="6D4031DE"/>
    <w:rsid w:val="6D4C63E3"/>
    <w:rsid w:val="6D635AD2"/>
    <w:rsid w:val="6D763A57"/>
    <w:rsid w:val="6D8444C3"/>
    <w:rsid w:val="6DDC19D9"/>
    <w:rsid w:val="6DDC59B1"/>
    <w:rsid w:val="6E837CCF"/>
    <w:rsid w:val="6EB234DD"/>
    <w:rsid w:val="6EBB22C6"/>
    <w:rsid w:val="6ECF78C3"/>
    <w:rsid w:val="6F0532E4"/>
    <w:rsid w:val="6F1C0612"/>
    <w:rsid w:val="6F2971E8"/>
    <w:rsid w:val="6F551042"/>
    <w:rsid w:val="6F991C7F"/>
    <w:rsid w:val="6FCE677D"/>
    <w:rsid w:val="6FF54EF1"/>
    <w:rsid w:val="6FFA38AE"/>
    <w:rsid w:val="702E1159"/>
    <w:rsid w:val="707046B3"/>
    <w:rsid w:val="707D4BB1"/>
    <w:rsid w:val="708959F9"/>
    <w:rsid w:val="708A044A"/>
    <w:rsid w:val="708A0ED0"/>
    <w:rsid w:val="70B826F1"/>
    <w:rsid w:val="70C853DF"/>
    <w:rsid w:val="70CC2B20"/>
    <w:rsid w:val="70D016D0"/>
    <w:rsid w:val="710658E6"/>
    <w:rsid w:val="711117C6"/>
    <w:rsid w:val="714E0B20"/>
    <w:rsid w:val="71625639"/>
    <w:rsid w:val="71687B5B"/>
    <w:rsid w:val="71834994"/>
    <w:rsid w:val="71837CF9"/>
    <w:rsid w:val="718D75C1"/>
    <w:rsid w:val="719E527D"/>
    <w:rsid w:val="71D7706C"/>
    <w:rsid w:val="71E76460"/>
    <w:rsid w:val="72252FB1"/>
    <w:rsid w:val="722A3530"/>
    <w:rsid w:val="723838FB"/>
    <w:rsid w:val="723F34F8"/>
    <w:rsid w:val="72436D83"/>
    <w:rsid w:val="726A7F45"/>
    <w:rsid w:val="727506AD"/>
    <w:rsid w:val="72B804EC"/>
    <w:rsid w:val="72BC39B5"/>
    <w:rsid w:val="72F7475C"/>
    <w:rsid w:val="73116262"/>
    <w:rsid w:val="731233B3"/>
    <w:rsid w:val="73172032"/>
    <w:rsid w:val="731D6709"/>
    <w:rsid w:val="733E2F41"/>
    <w:rsid w:val="733E38B8"/>
    <w:rsid w:val="73A04269"/>
    <w:rsid w:val="73A330CC"/>
    <w:rsid w:val="73B05C40"/>
    <w:rsid w:val="73EB05CF"/>
    <w:rsid w:val="73EC3EB3"/>
    <w:rsid w:val="73EE3885"/>
    <w:rsid w:val="744228E5"/>
    <w:rsid w:val="74633D9D"/>
    <w:rsid w:val="74AA1A53"/>
    <w:rsid w:val="74B724F9"/>
    <w:rsid w:val="75186BCE"/>
    <w:rsid w:val="7520389C"/>
    <w:rsid w:val="752129E9"/>
    <w:rsid w:val="75452B9D"/>
    <w:rsid w:val="75497CA3"/>
    <w:rsid w:val="75596A15"/>
    <w:rsid w:val="75642352"/>
    <w:rsid w:val="756835A9"/>
    <w:rsid w:val="75763E51"/>
    <w:rsid w:val="75C3456F"/>
    <w:rsid w:val="75D61CD1"/>
    <w:rsid w:val="762B2F49"/>
    <w:rsid w:val="763C12BA"/>
    <w:rsid w:val="769D2054"/>
    <w:rsid w:val="769E6A8E"/>
    <w:rsid w:val="76C04C3B"/>
    <w:rsid w:val="76EC08E6"/>
    <w:rsid w:val="77074A08"/>
    <w:rsid w:val="77263B8B"/>
    <w:rsid w:val="776F1C03"/>
    <w:rsid w:val="77844CF4"/>
    <w:rsid w:val="778F72D7"/>
    <w:rsid w:val="77BE3954"/>
    <w:rsid w:val="77D0074E"/>
    <w:rsid w:val="78126A72"/>
    <w:rsid w:val="783C3AEF"/>
    <w:rsid w:val="78777DDD"/>
    <w:rsid w:val="78A15D20"/>
    <w:rsid w:val="791057B6"/>
    <w:rsid w:val="792871DF"/>
    <w:rsid w:val="792B67A8"/>
    <w:rsid w:val="79331BF9"/>
    <w:rsid w:val="79366F28"/>
    <w:rsid w:val="794072EB"/>
    <w:rsid w:val="79A15A26"/>
    <w:rsid w:val="79AD033A"/>
    <w:rsid w:val="79B11B6E"/>
    <w:rsid w:val="79BA621E"/>
    <w:rsid w:val="79E53E33"/>
    <w:rsid w:val="7A0A0EE7"/>
    <w:rsid w:val="7A0C623D"/>
    <w:rsid w:val="7A4B7AE9"/>
    <w:rsid w:val="7AF11038"/>
    <w:rsid w:val="7AFA6F63"/>
    <w:rsid w:val="7AFF165C"/>
    <w:rsid w:val="7B174CA1"/>
    <w:rsid w:val="7B2C038F"/>
    <w:rsid w:val="7B3A1F85"/>
    <w:rsid w:val="7BB60E6B"/>
    <w:rsid w:val="7BD46B97"/>
    <w:rsid w:val="7BF1733C"/>
    <w:rsid w:val="7C090B25"/>
    <w:rsid w:val="7C1B2155"/>
    <w:rsid w:val="7C22346F"/>
    <w:rsid w:val="7CC73841"/>
    <w:rsid w:val="7CCA6D22"/>
    <w:rsid w:val="7CD35571"/>
    <w:rsid w:val="7CE40B9B"/>
    <w:rsid w:val="7CEC174A"/>
    <w:rsid w:val="7CED7166"/>
    <w:rsid w:val="7CF804AF"/>
    <w:rsid w:val="7D156336"/>
    <w:rsid w:val="7D180687"/>
    <w:rsid w:val="7D3326F9"/>
    <w:rsid w:val="7D483A7E"/>
    <w:rsid w:val="7D917199"/>
    <w:rsid w:val="7DA22E2C"/>
    <w:rsid w:val="7DA55F1D"/>
    <w:rsid w:val="7DAA1373"/>
    <w:rsid w:val="7DB54E81"/>
    <w:rsid w:val="7DC8079E"/>
    <w:rsid w:val="7E06382C"/>
    <w:rsid w:val="7E0C72DE"/>
    <w:rsid w:val="7E0D33BF"/>
    <w:rsid w:val="7E2E5C88"/>
    <w:rsid w:val="7E4F760B"/>
    <w:rsid w:val="7E53034C"/>
    <w:rsid w:val="7E63462C"/>
    <w:rsid w:val="7E7A130A"/>
    <w:rsid w:val="7E8D1B7D"/>
    <w:rsid w:val="7E940138"/>
    <w:rsid w:val="7EA146AC"/>
    <w:rsid w:val="7EA50C26"/>
    <w:rsid w:val="7ECD724F"/>
    <w:rsid w:val="7EFF5267"/>
    <w:rsid w:val="7F466AC0"/>
    <w:rsid w:val="7F547E3F"/>
    <w:rsid w:val="7F5A44DE"/>
    <w:rsid w:val="7F925096"/>
    <w:rsid w:val="7FBA6FEC"/>
    <w:rsid w:val="7FBD2347"/>
    <w:rsid w:val="7FBF32DD"/>
    <w:rsid w:val="7FD56B2A"/>
    <w:rsid w:val="7FD9675C"/>
    <w:rsid w:val="7FF6458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qFormat="1" w:unhideWhenUsed="0" w:uiPriority="39" w:semiHidden="0" w:name="toc 8"/>
    <w:lsdException w:uiPriority="39" w:name="toc 9"/>
    <w:lsdException w:qFormat="1" w:uiPriority="0" w:semiHidden="0"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qFormat="1" w:unhideWhenUsed="0" w:uiPriority="0"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uiPriority="99" w:name="page number"/>
    <w:lsdException w:uiPriority="99"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link w:val="45"/>
    <w:autoRedefine/>
    <w:qFormat/>
    <w:uiPriority w:val="9"/>
    <w:pPr>
      <w:keepNext/>
      <w:keepLines/>
      <w:spacing w:before="340" w:after="330" w:line="578" w:lineRule="auto"/>
      <w:outlineLvl w:val="0"/>
    </w:pPr>
    <w:rPr>
      <w:kern w:val="44"/>
      <w:sz w:val="44"/>
      <w:szCs w:val="44"/>
    </w:rPr>
  </w:style>
  <w:style w:type="paragraph" w:styleId="3">
    <w:name w:val="heading 2"/>
    <w:basedOn w:val="1"/>
    <w:next w:val="1"/>
    <w:autoRedefine/>
    <w:qFormat/>
    <w:uiPriority w:val="0"/>
    <w:pPr>
      <w:keepNext/>
      <w:widowControl w:val="0"/>
      <w:jc w:val="both"/>
      <w:outlineLvl w:val="1"/>
    </w:pPr>
    <w:rPr>
      <w:b/>
      <w:bCs/>
      <w:kern w:val="2"/>
      <w:sz w:val="21"/>
    </w:rPr>
  </w:style>
  <w:style w:type="paragraph" w:styleId="4">
    <w:name w:val="heading 3"/>
    <w:basedOn w:val="1"/>
    <w:next w:val="1"/>
    <w:autoRedefine/>
    <w:qFormat/>
    <w:uiPriority w:val="0"/>
    <w:pPr>
      <w:keepNext/>
      <w:keepLines/>
      <w:spacing w:before="260" w:after="260" w:line="416" w:lineRule="auto"/>
      <w:outlineLvl w:val="2"/>
    </w:pPr>
    <w:rPr>
      <w:b/>
      <w:bCs/>
      <w:sz w:val="32"/>
      <w:szCs w:val="32"/>
    </w:rPr>
  </w:style>
  <w:style w:type="paragraph" w:styleId="5">
    <w:name w:val="heading 4"/>
    <w:basedOn w:val="1"/>
    <w:next w:val="1"/>
    <w:autoRedefine/>
    <w:qFormat/>
    <w:uiPriority w:val="0"/>
    <w:pPr>
      <w:keepNext/>
      <w:keepLines/>
      <w:adjustRightInd w:val="0"/>
      <w:spacing w:before="280" w:after="290" w:line="376" w:lineRule="atLeast"/>
      <w:jc w:val="left"/>
      <w:textAlignment w:val="baseline"/>
      <w:outlineLvl w:val="3"/>
    </w:pPr>
    <w:rPr>
      <w:rFonts w:ascii="Arial" w:hAnsi="Arial" w:eastAsia="黑体"/>
      <w:b/>
      <w:kern w:val="0"/>
      <w:sz w:val="28"/>
      <w:szCs w:val="24"/>
    </w:rPr>
  </w:style>
  <w:style w:type="character" w:default="1" w:styleId="37">
    <w:name w:val="Default Paragraph Font"/>
    <w:autoRedefine/>
    <w:unhideWhenUsed/>
    <w:qFormat/>
    <w:uiPriority w:val="1"/>
  </w:style>
  <w:style w:type="table" w:default="1" w:styleId="35">
    <w:name w:val="Normal Table"/>
    <w:autoRedefine/>
    <w:unhideWhenUsed/>
    <w:qFormat/>
    <w:uiPriority w:val="99"/>
    <w:pPr>
      <w:keepNext w:val="0"/>
      <w:keepLines w:val="0"/>
      <w:widowControl w:val="0"/>
      <w:suppressLineNumbers w:val="0"/>
      <w:autoSpaceDE w:val="0"/>
      <w:autoSpaceDN w:val="0"/>
      <w:spacing w:before="0" w:beforeAutospacing="0" w:after="0" w:afterAutospacing="0"/>
      <w:ind w:left="0" w:right="0"/>
    </w:pPr>
    <w:rPr>
      <w:rFonts w:hint="default" w:ascii="Calibri" w:hAnsi="Calibri" w:cs="Times New Roman"/>
      <w:sz w:val="22"/>
      <w:szCs w:val="22"/>
      <w:lang w:eastAsia="en-US"/>
    </w:rPr>
    <w:tblPr>
      <w:tblCellMar>
        <w:top w:w="0" w:type="dxa"/>
        <w:left w:w="108" w:type="dxa"/>
        <w:bottom w:w="0" w:type="dxa"/>
        <w:right w:w="108" w:type="dxa"/>
      </w:tblCellMar>
    </w:tblPr>
  </w:style>
  <w:style w:type="paragraph" w:styleId="6">
    <w:name w:val="Note Heading"/>
    <w:basedOn w:val="1"/>
    <w:next w:val="1"/>
    <w:autoRedefine/>
    <w:qFormat/>
    <w:uiPriority w:val="0"/>
    <w:pPr>
      <w:jc w:val="center"/>
    </w:pPr>
    <w:rPr>
      <w:rFonts w:hint="eastAsia" w:ascii="宋体"/>
      <w:sz w:val="24"/>
    </w:rPr>
  </w:style>
  <w:style w:type="paragraph" w:styleId="7">
    <w:name w:val="Normal Indent"/>
    <w:basedOn w:val="1"/>
    <w:next w:val="8"/>
    <w:link w:val="46"/>
    <w:autoRedefine/>
    <w:unhideWhenUsed/>
    <w:qFormat/>
    <w:uiPriority w:val="0"/>
    <w:pPr>
      <w:widowControl/>
      <w:ind w:firstLine="420" w:firstLineChars="200"/>
    </w:pPr>
    <w:rPr>
      <w:rFonts w:ascii="Times New Roman" w:hAnsi="Times New Roman"/>
      <w:szCs w:val="21"/>
    </w:rPr>
  </w:style>
  <w:style w:type="paragraph" w:styleId="8">
    <w:name w:val="toc 1"/>
    <w:basedOn w:val="1"/>
    <w:next w:val="1"/>
    <w:autoRedefine/>
    <w:qFormat/>
    <w:uiPriority w:val="0"/>
    <w:pPr>
      <w:spacing w:line="340" w:lineRule="exact"/>
      <w:jc w:val="center"/>
    </w:pPr>
    <w:rPr>
      <w:bCs/>
      <w:szCs w:val="21"/>
    </w:rPr>
  </w:style>
  <w:style w:type="paragraph" w:styleId="9">
    <w:name w:val="annotation text"/>
    <w:basedOn w:val="1"/>
    <w:autoRedefine/>
    <w:unhideWhenUsed/>
    <w:qFormat/>
    <w:uiPriority w:val="99"/>
    <w:pPr>
      <w:jc w:val="left"/>
    </w:pPr>
  </w:style>
  <w:style w:type="paragraph" w:styleId="10">
    <w:name w:val="Body Text 3"/>
    <w:basedOn w:val="1"/>
    <w:autoRedefine/>
    <w:qFormat/>
    <w:uiPriority w:val="0"/>
    <w:pPr>
      <w:spacing w:after="120" w:afterLines="0"/>
    </w:pPr>
    <w:rPr>
      <w:sz w:val="16"/>
      <w:szCs w:val="16"/>
    </w:rPr>
  </w:style>
  <w:style w:type="paragraph" w:styleId="11">
    <w:name w:val="Body Text"/>
    <w:basedOn w:val="12"/>
    <w:link w:val="44"/>
    <w:autoRedefine/>
    <w:qFormat/>
    <w:uiPriority w:val="0"/>
    <w:pPr>
      <w:spacing w:after="120"/>
    </w:pPr>
    <w:rPr>
      <w:rFonts w:ascii="Times New Roman" w:hAnsi="Times New Roman"/>
      <w:szCs w:val="20"/>
    </w:rPr>
  </w:style>
  <w:style w:type="paragraph" w:customStyle="1" w:styleId="12">
    <w:name w:val="_Style 2"/>
    <w:qFormat/>
    <w:uiPriority w:val="1"/>
    <w:rPr>
      <w:rFonts w:ascii="Calibri" w:hAnsi="Calibri" w:eastAsia="宋体" w:cs="Times New Roman"/>
      <w:sz w:val="22"/>
      <w:szCs w:val="22"/>
      <w:lang w:val="en-US" w:eastAsia="zh-CN" w:bidi="ar-SA"/>
    </w:rPr>
  </w:style>
  <w:style w:type="paragraph" w:styleId="13">
    <w:name w:val="Body Text Indent"/>
    <w:basedOn w:val="1"/>
    <w:next w:val="14"/>
    <w:autoRedefine/>
    <w:qFormat/>
    <w:uiPriority w:val="0"/>
    <w:pPr>
      <w:ind w:firstLine="522" w:firstLineChars="200"/>
    </w:pPr>
    <w:rPr>
      <w:rFonts w:ascii="宋体" w:hAnsi="宋体"/>
      <w:sz w:val="28"/>
    </w:rPr>
  </w:style>
  <w:style w:type="paragraph" w:styleId="14">
    <w:name w:val="Body Text Indent 2"/>
    <w:basedOn w:val="1"/>
    <w:autoRedefine/>
    <w:qFormat/>
    <w:uiPriority w:val="0"/>
    <w:pPr>
      <w:spacing w:after="120" w:line="480" w:lineRule="auto"/>
      <w:ind w:left="420" w:leftChars="200"/>
    </w:pPr>
  </w:style>
  <w:style w:type="paragraph" w:styleId="15">
    <w:name w:val="Block Text"/>
    <w:basedOn w:val="1"/>
    <w:next w:val="1"/>
    <w:autoRedefine/>
    <w:qFormat/>
    <w:uiPriority w:val="0"/>
    <w:pPr>
      <w:ind w:left="1440" w:leftChars="700" w:right="700" w:rightChars="700"/>
    </w:pPr>
  </w:style>
  <w:style w:type="paragraph" w:styleId="16">
    <w:name w:val="Plain Text"/>
    <w:basedOn w:val="1"/>
    <w:link w:val="48"/>
    <w:autoRedefine/>
    <w:qFormat/>
    <w:uiPriority w:val="0"/>
    <w:pPr>
      <w:spacing w:line="480" w:lineRule="exact"/>
    </w:pPr>
    <w:rPr>
      <w:rFonts w:ascii="宋体" w:hAnsi="Courier New" w:cs="Courier New"/>
      <w:sz w:val="28"/>
      <w:szCs w:val="21"/>
    </w:rPr>
  </w:style>
  <w:style w:type="paragraph" w:styleId="17">
    <w:name w:val="List Bullet 5"/>
    <w:basedOn w:val="1"/>
    <w:autoRedefine/>
    <w:semiHidden/>
    <w:unhideWhenUsed/>
    <w:qFormat/>
    <w:uiPriority w:val="99"/>
    <w:pPr>
      <w:numPr>
        <w:ilvl w:val="0"/>
        <w:numId w:val="1"/>
      </w:numPr>
    </w:pPr>
  </w:style>
  <w:style w:type="paragraph" w:styleId="18">
    <w:name w:val="toc 8"/>
    <w:basedOn w:val="1"/>
    <w:next w:val="1"/>
    <w:autoRedefine/>
    <w:qFormat/>
    <w:uiPriority w:val="39"/>
    <w:pPr>
      <w:adjustRightInd/>
      <w:spacing w:line="240" w:lineRule="auto"/>
      <w:ind w:left="1750"/>
      <w:textAlignment w:val="auto"/>
    </w:pPr>
    <w:rPr>
      <w:spacing w:val="5"/>
      <w:kern w:val="2"/>
      <w:sz w:val="18"/>
      <w:szCs w:val="18"/>
    </w:rPr>
  </w:style>
  <w:style w:type="paragraph" w:styleId="19">
    <w:name w:val="Date"/>
    <w:basedOn w:val="1"/>
    <w:next w:val="1"/>
    <w:link w:val="49"/>
    <w:autoRedefine/>
    <w:unhideWhenUsed/>
    <w:qFormat/>
    <w:uiPriority w:val="99"/>
    <w:pPr>
      <w:ind w:left="100" w:leftChars="2500"/>
    </w:pPr>
  </w:style>
  <w:style w:type="paragraph" w:styleId="20">
    <w:name w:val="endnote text"/>
    <w:basedOn w:val="1"/>
    <w:autoRedefine/>
    <w:qFormat/>
    <w:uiPriority w:val="0"/>
    <w:pPr>
      <w:snapToGrid w:val="0"/>
      <w:jc w:val="left"/>
    </w:pPr>
  </w:style>
  <w:style w:type="paragraph" w:styleId="21">
    <w:name w:val="Balloon Text"/>
    <w:basedOn w:val="1"/>
    <w:link w:val="50"/>
    <w:autoRedefine/>
    <w:unhideWhenUsed/>
    <w:qFormat/>
    <w:uiPriority w:val="99"/>
    <w:rPr>
      <w:sz w:val="18"/>
      <w:szCs w:val="18"/>
    </w:rPr>
  </w:style>
  <w:style w:type="paragraph" w:styleId="22">
    <w:name w:val="footer"/>
    <w:basedOn w:val="1"/>
    <w:link w:val="51"/>
    <w:autoRedefine/>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23">
    <w:name w:val="header"/>
    <w:basedOn w:val="1"/>
    <w:next w:val="24"/>
    <w:link w:val="47"/>
    <w:autoRedefine/>
    <w:unhideWhenUsed/>
    <w:qFormat/>
    <w:uiPriority w:val="99"/>
    <w:pPr>
      <w:pBdr>
        <w:bottom w:val="single" w:color="auto" w:sz="6" w:space="1"/>
      </w:pBdr>
      <w:tabs>
        <w:tab w:val="center" w:pos="4153"/>
        <w:tab w:val="right" w:pos="8306"/>
      </w:tabs>
      <w:snapToGrid w:val="0"/>
      <w:jc w:val="center"/>
    </w:pPr>
    <w:rPr>
      <w:rFonts w:ascii="Calibri" w:hAnsi="Calibri" w:eastAsia="宋体" w:cs="Times New Roman"/>
      <w:sz w:val="18"/>
      <w:szCs w:val="18"/>
    </w:rPr>
  </w:style>
  <w:style w:type="paragraph" w:customStyle="1" w:styleId="24">
    <w:name w:val="样式5"/>
    <w:basedOn w:val="25"/>
    <w:next w:val="20"/>
    <w:autoRedefine/>
    <w:qFormat/>
    <w:uiPriority w:val="0"/>
    <w:pPr>
      <w:adjustRightInd w:val="0"/>
      <w:snapToGrid w:val="0"/>
      <w:spacing w:line="460" w:lineRule="exact"/>
      <w:ind w:firstLine="200"/>
      <w:textAlignment w:val="baseline"/>
    </w:pPr>
    <w:rPr>
      <w:rFonts w:ascii="Arial" w:hAnsi="Arial" w:cs="Arial"/>
      <w:szCs w:val="20"/>
    </w:rPr>
  </w:style>
  <w:style w:type="paragraph" w:customStyle="1" w:styleId="25">
    <w:name w:val="正文1"/>
    <w:basedOn w:val="1"/>
    <w:next w:val="1"/>
    <w:autoRedefine/>
    <w:qFormat/>
    <w:uiPriority w:val="0"/>
    <w:pPr>
      <w:adjustRightInd w:val="0"/>
      <w:snapToGrid w:val="0"/>
      <w:spacing w:line="480" w:lineRule="exact"/>
      <w:ind w:firstLine="200" w:firstLineChars="200"/>
    </w:pPr>
    <w:rPr>
      <w:sz w:val="24"/>
    </w:rPr>
  </w:style>
  <w:style w:type="paragraph" w:styleId="26">
    <w:name w:val="index heading"/>
    <w:basedOn w:val="1"/>
    <w:next w:val="27"/>
    <w:semiHidden/>
    <w:qFormat/>
    <w:uiPriority w:val="0"/>
    <w:rPr>
      <w:rFonts w:ascii="Arial" w:hAnsi="Arial" w:cs="Arial"/>
      <w:b/>
      <w:bCs/>
      <w:spacing w:val="5"/>
      <w:sz w:val="25"/>
      <w:szCs w:val="25"/>
    </w:rPr>
  </w:style>
  <w:style w:type="paragraph" w:styleId="27">
    <w:name w:val="index 1"/>
    <w:basedOn w:val="1"/>
    <w:next w:val="1"/>
    <w:semiHidden/>
    <w:qFormat/>
    <w:uiPriority w:val="0"/>
  </w:style>
  <w:style w:type="paragraph" w:styleId="28">
    <w:name w:val="Body Text Indent 3"/>
    <w:basedOn w:val="1"/>
    <w:qFormat/>
    <w:uiPriority w:val="0"/>
    <w:pPr>
      <w:spacing w:after="120"/>
      <w:ind w:left="420" w:leftChars="200"/>
    </w:pPr>
    <w:rPr>
      <w:color w:val="auto"/>
      <w:kern w:val="2"/>
      <w:sz w:val="16"/>
      <w:szCs w:val="16"/>
    </w:rPr>
  </w:style>
  <w:style w:type="paragraph" w:styleId="29">
    <w:name w:val="toc 2"/>
    <w:basedOn w:val="1"/>
    <w:next w:val="1"/>
    <w:autoRedefine/>
    <w:unhideWhenUsed/>
    <w:qFormat/>
    <w:uiPriority w:val="39"/>
    <w:pPr>
      <w:ind w:left="420" w:leftChars="200"/>
    </w:pPr>
  </w:style>
  <w:style w:type="paragraph" w:styleId="30">
    <w:name w:val="Body Text 2"/>
    <w:basedOn w:val="1"/>
    <w:autoRedefine/>
    <w:qFormat/>
    <w:uiPriority w:val="0"/>
    <w:pPr>
      <w:spacing w:after="120" w:afterLines="0" w:line="480" w:lineRule="auto"/>
    </w:pPr>
  </w:style>
  <w:style w:type="paragraph" w:styleId="31">
    <w:name w:val="HTML Preformatted"/>
    <w:basedOn w:val="1"/>
    <w:autoRedefine/>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jc w:val="left"/>
    </w:pPr>
    <w:rPr>
      <w:rFonts w:ascii="Arial" w:hAnsi="Arial" w:cs="Arial"/>
      <w:kern w:val="0"/>
      <w:szCs w:val="21"/>
    </w:rPr>
  </w:style>
  <w:style w:type="paragraph" w:styleId="32">
    <w:name w:val="Normal (Web)"/>
    <w:basedOn w:val="1"/>
    <w:autoRedefine/>
    <w:qFormat/>
    <w:uiPriority w:val="99"/>
    <w:pPr>
      <w:widowControl/>
      <w:spacing w:before="100" w:beforeAutospacing="1" w:after="100" w:afterAutospacing="1"/>
      <w:jc w:val="left"/>
    </w:pPr>
    <w:rPr>
      <w:rFonts w:ascii="宋体" w:hAnsi="宋体" w:cs="宋体"/>
      <w:color w:val="000000"/>
      <w:kern w:val="0"/>
      <w:szCs w:val="24"/>
    </w:rPr>
  </w:style>
  <w:style w:type="paragraph" w:styleId="33">
    <w:name w:val="Body Text First Indent"/>
    <w:basedOn w:val="11"/>
    <w:next w:val="1"/>
    <w:autoRedefine/>
    <w:qFormat/>
    <w:uiPriority w:val="0"/>
    <w:pPr>
      <w:spacing w:after="120"/>
      <w:ind w:firstLine="420" w:firstLineChars="100"/>
    </w:pPr>
    <w:rPr>
      <w:sz w:val="21"/>
      <w:szCs w:val="24"/>
    </w:rPr>
  </w:style>
  <w:style w:type="paragraph" w:styleId="34">
    <w:name w:val="Body Text First Indent 2"/>
    <w:basedOn w:val="13"/>
    <w:next w:val="1"/>
    <w:autoRedefine/>
    <w:qFormat/>
    <w:uiPriority w:val="0"/>
    <w:pPr>
      <w:spacing w:after="120"/>
      <w:ind w:left="420" w:leftChars="200" w:firstLine="420"/>
    </w:pPr>
    <w:rPr>
      <w:rFonts w:ascii="Times New Roman" w:hAnsi="Times New Roman"/>
      <w:sz w:val="21"/>
    </w:rPr>
  </w:style>
  <w:style w:type="table" w:styleId="36">
    <w:name w:val="Table Grid"/>
    <w:basedOn w:val="35"/>
    <w:autoRedefine/>
    <w:qFormat/>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8">
    <w:name w:val="Hyperlink"/>
    <w:basedOn w:val="37"/>
    <w:autoRedefine/>
    <w:unhideWhenUsed/>
    <w:qFormat/>
    <w:uiPriority w:val="99"/>
    <w:rPr>
      <w:color w:val="0000FF"/>
      <w:u w:val="single"/>
    </w:rPr>
  </w:style>
  <w:style w:type="character" w:styleId="39">
    <w:name w:val="annotation reference"/>
    <w:basedOn w:val="37"/>
    <w:autoRedefine/>
    <w:semiHidden/>
    <w:qFormat/>
    <w:uiPriority w:val="99"/>
    <w:rPr>
      <w:sz w:val="21"/>
      <w:szCs w:val="21"/>
    </w:rPr>
  </w:style>
  <w:style w:type="paragraph" w:customStyle="1" w:styleId="40">
    <w:name w:val="style4"/>
    <w:basedOn w:val="1"/>
    <w:next w:val="41"/>
    <w:autoRedefine/>
    <w:qFormat/>
    <w:uiPriority w:val="0"/>
    <w:pPr>
      <w:widowControl/>
      <w:spacing w:before="280" w:after="280"/>
    </w:pPr>
    <w:rPr>
      <w:rFonts w:ascii="宋体"/>
      <w:sz w:val="18"/>
    </w:rPr>
  </w:style>
  <w:style w:type="paragraph" w:customStyle="1" w:styleId="41">
    <w:name w:val="2"/>
    <w:next w:val="1"/>
    <w:autoRedefine/>
    <w:qFormat/>
    <w:uiPriority w:val="0"/>
    <w:pPr>
      <w:widowControl w:val="0"/>
      <w:jc w:val="both"/>
    </w:pPr>
    <w:rPr>
      <w:rFonts w:ascii="Times New Roman" w:hAnsi="Times New Roman" w:eastAsia="宋体" w:cs="Times New Roman"/>
      <w:sz w:val="21"/>
      <w:szCs w:val="22"/>
      <w:lang w:val="en-US" w:eastAsia="zh-CN" w:bidi="ar-SA"/>
    </w:rPr>
  </w:style>
  <w:style w:type="paragraph" w:customStyle="1" w:styleId="42">
    <w:name w:val="样式 正文文本 + 首行缩进:  2 字符"/>
    <w:basedOn w:val="11"/>
    <w:autoRedefine/>
    <w:unhideWhenUsed/>
    <w:qFormat/>
    <w:uiPriority w:val="0"/>
    <w:pPr>
      <w:spacing w:beforeLines="0" w:afterLines="0" w:line="480" w:lineRule="exact"/>
      <w:ind w:firstLine="480" w:firstLineChars="200"/>
    </w:pPr>
    <w:rPr>
      <w:rFonts w:hint="eastAsia" w:ascii="宋体" w:hAnsi="宋体" w:eastAsia="宋体"/>
      <w:sz w:val="24"/>
    </w:rPr>
  </w:style>
  <w:style w:type="paragraph" w:customStyle="1" w:styleId="43">
    <w:name w:val="Default"/>
    <w:next w:val="1"/>
    <w:autoRedefine/>
    <w:qFormat/>
    <w:uiPriority w:val="0"/>
    <w:pPr>
      <w:widowControl w:val="0"/>
      <w:autoSpaceDE w:val="0"/>
      <w:autoSpaceDN w:val="0"/>
      <w:adjustRightInd w:val="0"/>
    </w:pPr>
    <w:rPr>
      <w:rFonts w:ascii="宋体" w:hAnsi="Times New Roman" w:eastAsia="宋体" w:cs="宋体"/>
      <w:color w:val="000000"/>
      <w:kern w:val="0"/>
      <w:sz w:val="24"/>
      <w:szCs w:val="24"/>
      <w:lang w:val="en-US" w:eastAsia="zh-CN" w:bidi="ar-SA"/>
    </w:rPr>
  </w:style>
  <w:style w:type="character" w:customStyle="1" w:styleId="44">
    <w:name w:val="正文文本 Char"/>
    <w:basedOn w:val="37"/>
    <w:link w:val="11"/>
    <w:autoRedefine/>
    <w:qFormat/>
    <w:uiPriority w:val="0"/>
    <w:rPr>
      <w:rFonts w:ascii="Times New Roman" w:hAnsi="Times New Roman" w:eastAsia="宋体" w:cs="Times New Roman"/>
      <w:szCs w:val="20"/>
    </w:rPr>
  </w:style>
  <w:style w:type="character" w:customStyle="1" w:styleId="45">
    <w:name w:val="标题 1 字符"/>
    <w:basedOn w:val="37"/>
    <w:link w:val="2"/>
    <w:autoRedefine/>
    <w:qFormat/>
    <w:uiPriority w:val="0"/>
    <w:rPr>
      <w:rFonts w:hint="eastAsia" w:ascii="黑体" w:hAnsi="宋体" w:eastAsia="黑体" w:cs="黑体"/>
      <w:sz w:val="30"/>
      <w:szCs w:val="30"/>
      <w:lang w:eastAsia="zh-CN"/>
    </w:rPr>
  </w:style>
  <w:style w:type="character" w:customStyle="1" w:styleId="46">
    <w:name w:val="正文缩进 Char"/>
    <w:link w:val="7"/>
    <w:autoRedefine/>
    <w:qFormat/>
    <w:uiPriority w:val="0"/>
    <w:rPr>
      <w:rFonts w:ascii="Times New Roman" w:hAnsi="Times New Roman" w:eastAsia="宋体" w:cs="Times New Roman"/>
      <w:szCs w:val="21"/>
    </w:rPr>
  </w:style>
  <w:style w:type="character" w:customStyle="1" w:styleId="47">
    <w:name w:val="页眉 Char"/>
    <w:basedOn w:val="37"/>
    <w:link w:val="23"/>
    <w:autoRedefine/>
    <w:qFormat/>
    <w:uiPriority w:val="99"/>
    <w:rPr>
      <w:sz w:val="18"/>
      <w:szCs w:val="18"/>
    </w:rPr>
  </w:style>
  <w:style w:type="character" w:customStyle="1" w:styleId="48">
    <w:name w:val="纯文本 Char"/>
    <w:link w:val="16"/>
    <w:autoRedefine/>
    <w:qFormat/>
    <w:uiPriority w:val="0"/>
    <w:rPr>
      <w:rFonts w:ascii="宋体" w:hAnsi="Courier New" w:eastAsia="宋体" w:cs="Courier New"/>
      <w:sz w:val="28"/>
      <w:szCs w:val="21"/>
    </w:rPr>
  </w:style>
  <w:style w:type="character" w:customStyle="1" w:styleId="49">
    <w:name w:val="日期 Char"/>
    <w:basedOn w:val="37"/>
    <w:link w:val="19"/>
    <w:autoRedefine/>
    <w:semiHidden/>
    <w:qFormat/>
    <w:uiPriority w:val="99"/>
    <w:rPr>
      <w:rFonts w:ascii="Calibri" w:hAnsi="Calibri" w:eastAsia="宋体" w:cs="Times New Roman"/>
      <w:szCs w:val="24"/>
    </w:rPr>
  </w:style>
  <w:style w:type="character" w:customStyle="1" w:styleId="50">
    <w:name w:val="批注框文本 Char"/>
    <w:basedOn w:val="37"/>
    <w:link w:val="21"/>
    <w:autoRedefine/>
    <w:semiHidden/>
    <w:qFormat/>
    <w:uiPriority w:val="99"/>
    <w:rPr>
      <w:rFonts w:ascii="Calibri" w:hAnsi="Calibri" w:eastAsia="宋体" w:cs="Times New Roman"/>
      <w:sz w:val="18"/>
      <w:szCs w:val="18"/>
    </w:rPr>
  </w:style>
  <w:style w:type="character" w:customStyle="1" w:styleId="51">
    <w:name w:val="页脚 Char"/>
    <w:basedOn w:val="37"/>
    <w:link w:val="22"/>
    <w:autoRedefine/>
    <w:qFormat/>
    <w:uiPriority w:val="99"/>
    <w:rPr>
      <w:sz w:val="18"/>
      <w:szCs w:val="18"/>
    </w:rPr>
  </w:style>
  <w:style w:type="character" w:customStyle="1" w:styleId="52">
    <w:name w:val="fontstyle11"/>
    <w:basedOn w:val="37"/>
    <w:autoRedefine/>
    <w:qFormat/>
    <w:uiPriority w:val="0"/>
    <w:rPr>
      <w:rFonts w:ascii="TimesNewRomanPSMT" w:hAnsi="TimesNewRomanPSMT" w:eastAsia="TimesNewRomanPSMT" w:cs="TimesNewRomanPSMT"/>
      <w:color w:val="000000"/>
      <w:sz w:val="24"/>
      <w:szCs w:val="24"/>
    </w:rPr>
  </w:style>
  <w:style w:type="character" w:customStyle="1" w:styleId="53">
    <w:name w:val="NormalCharacter"/>
    <w:autoRedefine/>
    <w:semiHidden/>
    <w:qFormat/>
    <w:uiPriority w:val="0"/>
    <w:rPr>
      <w:rFonts w:ascii="Calibri" w:hAnsi="Calibri" w:eastAsia="宋体" w:cs="宋体"/>
      <w:kern w:val="2"/>
      <w:sz w:val="21"/>
      <w:szCs w:val="21"/>
      <w:lang w:val="en-US" w:eastAsia="zh-CN" w:bidi="ar-SA"/>
    </w:rPr>
  </w:style>
  <w:style w:type="character" w:customStyle="1" w:styleId="54">
    <w:name w:val="fontstyle21"/>
    <w:basedOn w:val="37"/>
    <w:autoRedefine/>
    <w:qFormat/>
    <w:uiPriority w:val="0"/>
    <w:rPr>
      <w:rFonts w:ascii="TimesNewRomanPSMT" w:hAnsi="TimesNewRomanPSMT" w:eastAsia="TimesNewRomanPSMT" w:cs="TimesNewRomanPSMT"/>
      <w:color w:val="000000"/>
      <w:sz w:val="24"/>
      <w:szCs w:val="24"/>
    </w:rPr>
  </w:style>
  <w:style w:type="character" w:customStyle="1" w:styleId="55">
    <w:name w:val="fontstyle01"/>
    <w:basedOn w:val="37"/>
    <w:autoRedefine/>
    <w:qFormat/>
    <w:uiPriority w:val="0"/>
    <w:rPr>
      <w:rFonts w:ascii="宋体" w:hAnsi="宋体" w:eastAsia="宋体" w:cs="宋体"/>
      <w:color w:val="000000"/>
      <w:sz w:val="24"/>
      <w:szCs w:val="24"/>
    </w:rPr>
  </w:style>
  <w:style w:type="character" w:customStyle="1" w:styleId="56">
    <w:name w:val="正文文本 字符"/>
    <w:basedOn w:val="37"/>
    <w:autoRedefine/>
    <w:qFormat/>
    <w:uiPriority w:val="0"/>
    <w:rPr>
      <w:rFonts w:hint="eastAsia" w:ascii="宋体" w:hAnsi="宋体" w:eastAsia="宋体" w:cs="宋体"/>
      <w:sz w:val="24"/>
      <w:szCs w:val="24"/>
      <w:lang w:eastAsia="zh-CN"/>
    </w:rPr>
  </w:style>
  <w:style w:type="character" w:customStyle="1" w:styleId="57">
    <w:name w:val="纯文本 Char1"/>
    <w:basedOn w:val="37"/>
    <w:autoRedefine/>
    <w:semiHidden/>
    <w:qFormat/>
    <w:uiPriority w:val="99"/>
    <w:rPr>
      <w:rFonts w:ascii="宋体" w:hAnsi="Courier New" w:eastAsia="宋体" w:cs="Courier New"/>
      <w:szCs w:val="21"/>
    </w:rPr>
  </w:style>
  <w:style w:type="paragraph" w:customStyle="1" w:styleId="58">
    <w:name w:val="样式 四号 左侧:  1.53 厘米"/>
    <w:basedOn w:val="1"/>
    <w:autoRedefine/>
    <w:qFormat/>
    <w:uiPriority w:val="0"/>
    <w:pPr>
      <w:adjustRightInd w:val="0"/>
    </w:pPr>
    <w:rPr>
      <w:w w:val="90"/>
      <w:sz w:val="28"/>
      <w:szCs w:val="28"/>
    </w:rPr>
  </w:style>
  <w:style w:type="paragraph" w:customStyle="1" w:styleId="59">
    <w:name w:val="Other|1"/>
    <w:basedOn w:val="1"/>
    <w:autoRedefine/>
    <w:qFormat/>
    <w:uiPriority w:val="0"/>
    <w:pPr>
      <w:widowControl w:val="0"/>
      <w:shd w:val="clear" w:color="auto" w:fill="auto"/>
      <w:jc w:val="center"/>
    </w:pPr>
    <w:rPr>
      <w:rFonts w:ascii="MingLiU" w:hAnsi="MingLiU" w:eastAsia="MingLiU" w:cs="MingLiU"/>
      <w:sz w:val="17"/>
      <w:szCs w:val="17"/>
      <w:u w:val="none"/>
      <w:shd w:val="clear" w:color="auto" w:fill="auto"/>
      <w:lang w:val="zh-TW" w:eastAsia="zh-TW" w:bidi="zh-TW"/>
    </w:rPr>
  </w:style>
  <w:style w:type="paragraph" w:customStyle="1" w:styleId="60">
    <w:name w:val="样式 标题 3 + 宋体 四号 Char"/>
    <w:basedOn w:val="4"/>
    <w:autoRedefine/>
    <w:qFormat/>
    <w:uiPriority w:val="0"/>
    <w:pPr>
      <w:spacing w:before="249" w:beforeLines="80" w:after="124" w:afterLines="40" w:line="360" w:lineRule="auto"/>
      <w:ind w:left="200" w:leftChars="200"/>
    </w:pPr>
    <w:rPr>
      <w:rFonts w:ascii="宋体" w:hAnsi="宋体" w:eastAsia="Times New Roman"/>
      <w:bCs w:val="0"/>
      <w:sz w:val="28"/>
      <w:szCs w:val="20"/>
    </w:rPr>
  </w:style>
  <w:style w:type="paragraph" w:customStyle="1" w:styleId="61">
    <w:name w:val="正文正"/>
    <w:basedOn w:val="1"/>
    <w:autoRedefine/>
    <w:qFormat/>
    <w:uiPriority w:val="0"/>
    <w:pPr>
      <w:ind w:firstLine="560"/>
    </w:pPr>
    <w:rPr>
      <w:kern w:val="1"/>
      <w:sz w:val="28"/>
    </w:rPr>
  </w:style>
  <w:style w:type="paragraph" w:customStyle="1" w:styleId="62">
    <w:name w:val="样式 样式 样式 样式 样式 正文@ + 首行缩进:  2 字符 字距调整小四 紧缩量  0.2 磅 + 首行缩进:  2 字符..."/>
    <w:basedOn w:val="63"/>
    <w:autoRedefine/>
    <w:qFormat/>
    <w:uiPriority w:val="0"/>
    <w:pPr>
      <w:widowControl w:val="0"/>
      <w:spacing w:line="360" w:lineRule="auto"/>
      <w:ind w:firstLine="200" w:firstLineChars="200"/>
      <w:jc w:val="both"/>
    </w:pPr>
    <w:rPr>
      <w:rFonts w:ascii="宋体" w:hAnsi="宋体"/>
      <w:sz w:val="24"/>
    </w:rPr>
  </w:style>
  <w:style w:type="paragraph" w:customStyle="1" w:styleId="63">
    <w:name w:val="样式 样式 样式 样式 正文@ + 首行缩进:  2 字符 字距调整小四 紧缩量  0.2 磅 + 首行缩进:  2 字符 + ...1"/>
    <w:basedOn w:val="64"/>
    <w:autoRedefine/>
    <w:qFormat/>
    <w:uiPriority w:val="0"/>
    <w:pPr>
      <w:widowControl/>
      <w:spacing w:line="312" w:lineRule="auto"/>
      <w:ind w:firstLine="438" w:firstLineChars="200"/>
      <w:jc w:val="left"/>
    </w:pPr>
    <w:rPr>
      <w:rFonts w:ascii="宋体" w:hAnsi="宋体" w:cs="宋体"/>
      <w:kern w:val="24"/>
      <w:sz w:val="24"/>
    </w:rPr>
  </w:style>
  <w:style w:type="paragraph" w:customStyle="1" w:styleId="64">
    <w:name w:val="样式 样式 样式 正文@ + 首行缩进:  2 字符 字距调整小四 紧缩量  0.2 磅 + 首行缩进:  2 字符 + 首行缩..."/>
    <w:basedOn w:val="65"/>
    <w:autoRedefine/>
    <w:qFormat/>
    <w:uiPriority w:val="0"/>
    <w:pPr>
      <w:ind w:firstLine="438"/>
    </w:pPr>
    <w:rPr>
      <w:szCs w:val="20"/>
    </w:rPr>
  </w:style>
  <w:style w:type="paragraph" w:customStyle="1" w:styleId="65">
    <w:name w:val="样式 样式 正文@ + 首行缩进:  2 字符 字距调整小四 紧缩量  0.2 磅 + 首行缩进:  2 字符"/>
    <w:basedOn w:val="1"/>
    <w:autoRedefine/>
    <w:qFormat/>
    <w:uiPriority w:val="0"/>
    <w:pPr>
      <w:spacing w:line="360" w:lineRule="auto"/>
      <w:ind w:firstLine="480" w:firstLineChars="200"/>
    </w:pPr>
    <w:rPr>
      <w:rFonts w:ascii="宋体" w:hAnsi="宋体" w:cs="宋体"/>
      <w:kern w:val="24"/>
      <w:sz w:val="24"/>
      <w:szCs w:val="24"/>
    </w:rPr>
  </w:style>
  <w:style w:type="paragraph" w:customStyle="1" w:styleId="66">
    <w:name w:val="ae正文zzzzzzzz"/>
    <w:basedOn w:val="1"/>
    <w:autoRedefine/>
    <w:qFormat/>
    <w:uiPriority w:val="0"/>
    <w:pPr>
      <w:spacing w:line="520" w:lineRule="exact"/>
      <w:ind w:firstLine="200" w:firstLineChars="200"/>
    </w:pPr>
    <w:rPr>
      <w:rFonts w:ascii="Times New Roman" w:hAnsi="Times New Roman" w:cs="宋体"/>
      <w:sz w:val="24"/>
    </w:rPr>
  </w:style>
  <w:style w:type="paragraph" w:customStyle="1" w:styleId="67">
    <w:name w:val="表格黑体"/>
    <w:autoRedefine/>
    <w:qFormat/>
    <w:uiPriority w:val="0"/>
    <w:pPr>
      <w:spacing w:line="440" w:lineRule="exact"/>
      <w:jc w:val="center"/>
    </w:pPr>
    <w:rPr>
      <w:rFonts w:ascii="Times New Roman" w:hAnsi="宋体" w:eastAsia="宋体" w:cs="Times New Roman"/>
      <w:b/>
      <w:sz w:val="28"/>
      <w:szCs w:val="24"/>
      <w:lang w:val="en-US" w:eastAsia="zh-CN" w:bidi="ar-SA"/>
    </w:rPr>
  </w:style>
  <w:style w:type="paragraph" w:customStyle="1" w:styleId="68">
    <w:name w:val="样式 样式 四号 左侧:  1.53 厘米 + 首行缩进:  2 字符"/>
    <w:basedOn w:val="58"/>
    <w:autoRedefine/>
    <w:qFormat/>
    <w:uiPriority w:val="0"/>
    <w:pPr>
      <w:ind w:left="200" w:leftChars="200"/>
    </w:pPr>
    <w:rPr>
      <w:szCs w:val="20"/>
    </w:rPr>
  </w:style>
  <w:style w:type="paragraph" w:customStyle="1" w:styleId="69">
    <w:name w:val="样式 样式 样式 四号 左侧:  1.53 厘米 + 首行缩进:  2 字符 + 居中 左侧:  2 字符 首行缩进:  2..."/>
    <w:basedOn w:val="68"/>
    <w:autoRedefine/>
    <w:qFormat/>
    <w:uiPriority w:val="0"/>
    <w:pPr>
      <w:ind w:firstLine="0" w:firstLineChars="0"/>
      <w:jc w:val="center"/>
    </w:pPr>
  </w:style>
  <w:style w:type="paragraph" w:customStyle="1" w:styleId="70">
    <w:name w:val="报告表  段"/>
    <w:basedOn w:val="1"/>
    <w:autoRedefine/>
    <w:qFormat/>
    <w:uiPriority w:val="0"/>
    <w:pPr>
      <w:widowControl w:val="0"/>
      <w:adjustRightInd w:val="0"/>
      <w:ind w:firstLine="505"/>
      <w:jc w:val="both"/>
      <w:textAlignment w:val="baseline"/>
    </w:pPr>
    <w:rPr>
      <w:rFonts w:ascii="宋体"/>
    </w:rPr>
  </w:style>
  <w:style w:type="paragraph" w:customStyle="1" w:styleId="71">
    <w:name w:val="正文格式"/>
    <w:basedOn w:val="1"/>
    <w:autoRedefine/>
    <w:qFormat/>
    <w:uiPriority w:val="0"/>
    <w:pPr>
      <w:spacing w:line="360" w:lineRule="auto"/>
      <w:ind w:firstLine="544" w:firstLineChars="200"/>
    </w:pPr>
    <w:rPr>
      <w:rFonts w:cs="宋体"/>
      <w:kern w:val="2"/>
      <w:szCs w:val="24"/>
    </w:rPr>
  </w:style>
  <w:style w:type="paragraph" w:customStyle="1" w:styleId="72">
    <w:name w:val="04 正文"/>
    <w:basedOn w:val="1"/>
    <w:autoRedefine/>
    <w:qFormat/>
    <w:uiPriority w:val="0"/>
    <w:pPr>
      <w:spacing w:line="400" w:lineRule="exact"/>
      <w:ind w:firstLine="480" w:firstLineChars="200"/>
    </w:pPr>
    <w:rPr>
      <w:bCs/>
      <w:color w:val="000000"/>
      <w:sz w:val="24"/>
      <w:szCs w:val="21"/>
    </w:rPr>
  </w:style>
  <w:style w:type="paragraph" w:customStyle="1" w:styleId="73">
    <w:name w:val="段落"/>
    <w:basedOn w:val="1"/>
    <w:autoRedefine/>
    <w:qFormat/>
    <w:uiPriority w:val="0"/>
    <w:pPr>
      <w:spacing w:line="240" w:lineRule="auto"/>
      <w:ind w:firstLine="200"/>
    </w:pPr>
    <w:rPr>
      <w:rFonts w:ascii="Times New Roman" w:hAnsi="Times New Roman"/>
      <w:color w:val="auto"/>
      <w:szCs w:val="24"/>
    </w:rPr>
  </w:style>
  <w:style w:type="paragraph" w:customStyle="1" w:styleId="74">
    <w:name w:val="06 表格内容"/>
    <w:basedOn w:val="1"/>
    <w:autoRedefine/>
    <w:qFormat/>
    <w:uiPriority w:val="0"/>
    <w:pPr>
      <w:spacing w:line="0" w:lineRule="atLeast"/>
    </w:pPr>
    <w:rPr>
      <w:szCs w:val="21"/>
    </w:rPr>
  </w:style>
  <w:style w:type="paragraph" w:customStyle="1" w:styleId="75">
    <w:name w:val="内容11"/>
    <w:basedOn w:val="16"/>
    <w:autoRedefine/>
    <w:qFormat/>
    <w:uiPriority w:val="0"/>
    <w:pPr>
      <w:adjustRightInd w:val="0"/>
      <w:spacing w:line="360" w:lineRule="auto"/>
      <w:ind w:right="-92" w:rightChars="-44" w:firstLine="415" w:firstLineChars="179"/>
      <w:textAlignment w:val="baseline"/>
    </w:pPr>
    <w:rPr>
      <w:rFonts w:hAnsi="宋体" w:cs="宋体"/>
      <w:spacing w:val="-4"/>
      <w:position w:val="6"/>
      <w:sz w:val="24"/>
      <w:szCs w:val="24"/>
    </w:rPr>
  </w:style>
  <w:style w:type="paragraph" w:customStyle="1" w:styleId="76">
    <w:name w:val="表内容@"/>
    <w:basedOn w:val="1"/>
    <w:autoRedefine/>
    <w:qFormat/>
    <w:uiPriority w:val="0"/>
    <w:pPr>
      <w:adjustRightInd w:val="0"/>
      <w:spacing w:line="240" w:lineRule="auto"/>
      <w:ind w:firstLine="0" w:firstLineChars="0"/>
      <w:jc w:val="center"/>
    </w:pPr>
    <w:rPr>
      <w:rFonts w:ascii="宋体" w:hAnsi="宋体" w:cs="Arial"/>
      <w:szCs w:val="21"/>
    </w:rPr>
  </w:style>
  <w:style w:type="paragraph" w:customStyle="1" w:styleId="77">
    <w:name w:val=".."/>
    <w:basedOn w:val="43"/>
    <w:next w:val="43"/>
    <w:autoRedefine/>
    <w:qFormat/>
    <w:uiPriority w:val="0"/>
    <w:rPr>
      <w:rFonts w:ascii="Sim Sun" w:hAnsi="Batang" w:cs="Batang"/>
      <w:color w:val="auto"/>
    </w:rPr>
  </w:style>
  <w:style w:type="paragraph" w:customStyle="1" w:styleId="78">
    <w:name w:val="样式 表格样式"/>
    <w:basedOn w:val="1"/>
    <w:autoRedefine/>
    <w:qFormat/>
    <w:uiPriority w:val="0"/>
    <w:pPr>
      <w:snapToGrid w:val="0"/>
      <w:spacing w:line="240" w:lineRule="atLeast"/>
    </w:pPr>
    <w:rPr>
      <w:rFonts w:ascii="Times New Roman" w:hAnsi="Times New Roman" w:cs="宋体"/>
      <w:szCs w:val="20"/>
    </w:rPr>
  </w:style>
  <w:style w:type="paragraph" w:customStyle="1" w:styleId="79">
    <w:name w:val="12121212"/>
    <w:basedOn w:val="1"/>
    <w:autoRedefine/>
    <w:qFormat/>
    <w:uiPriority w:val="0"/>
    <w:pPr>
      <w:ind w:firstLine="0" w:firstLineChars="0"/>
      <w:jc w:val="left"/>
    </w:pPr>
    <w:rPr>
      <w:rFonts w:ascii="Times New Roman" w:hAnsi="Times New Roman"/>
      <w:b/>
      <w:sz w:val="28"/>
    </w:rPr>
  </w:style>
  <w:style w:type="paragraph" w:customStyle="1" w:styleId="80">
    <w:name w:val="标题111"/>
    <w:basedOn w:val="1"/>
    <w:autoRedefine/>
    <w:qFormat/>
    <w:uiPriority w:val="0"/>
    <w:pPr>
      <w:spacing w:line="480" w:lineRule="exact"/>
    </w:pPr>
    <w:rPr>
      <w:b/>
      <w:sz w:val="24"/>
    </w:rPr>
  </w:style>
  <w:style w:type="paragraph" w:customStyle="1" w:styleId="81">
    <w:name w:val="表格居中"/>
    <w:autoRedefine/>
    <w:qFormat/>
    <w:uiPriority w:val="0"/>
    <w:pPr>
      <w:spacing w:line="440" w:lineRule="exact"/>
      <w:jc w:val="center"/>
    </w:pPr>
    <w:rPr>
      <w:rFonts w:ascii="Calibri" w:hAnsi="Calibri" w:eastAsia="宋体" w:cs="Times New Roman"/>
      <w:kern w:val="2"/>
      <w:sz w:val="24"/>
      <w:szCs w:val="24"/>
      <w:lang w:val="en-US" w:eastAsia="zh-CN" w:bidi="ar-SA"/>
    </w:rPr>
  </w:style>
  <w:style w:type="paragraph" w:customStyle="1" w:styleId="82">
    <w:name w:val="表格内容"/>
    <w:autoRedefine/>
    <w:qFormat/>
    <w:uiPriority w:val="0"/>
    <w:pPr>
      <w:adjustRightInd w:val="0"/>
      <w:snapToGrid w:val="0"/>
      <w:spacing w:line="360" w:lineRule="exact"/>
      <w:jc w:val="center"/>
    </w:pPr>
    <w:rPr>
      <w:rFonts w:ascii="Calibri" w:hAnsi="Calibri" w:eastAsia="宋体" w:cs="Times New Roman"/>
      <w:snapToGrid w:val="0"/>
      <w:color w:val="000000"/>
      <w:kern w:val="2"/>
      <w:sz w:val="21"/>
      <w:szCs w:val="24"/>
      <w:lang w:val="en-US" w:eastAsia="zh-CN" w:bidi="ar-SA"/>
    </w:rPr>
  </w:style>
  <w:style w:type="paragraph" w:styleId="83">
    <w:name w:val="No Spacing"/>
    <w:autoRedefine/>
    <w:qFormat/>
    <w:uiPriority w:val="0"/>
    <w:rPr>
      <w:rFonts w:ascii="Calibri" w:hAnsi="Calibri" w:eastAsia="宋体" w:cs="Times New Roman"/>
      <w:kern w:val="0"/>
      <w:sz w:val="22"/>
      <w:szCs w:val="22"/>
      <w:lang w:val="en-US" w:eastAsia="zh-CN" w:bidi="ar-SA"/>
    </w:rPr>
  </w:style>
  <w:style w:type="paragraph" w:customStyle="1" w:styleId="84">
    <w:name w:val="正文内容"/>
    <w:basedOn w:val="2"/>
    <w:autoRedefine/>
    <w:qFormat/>
    <w:uiPriority w:val="0"/>
    <w:pPr>
      <w:keepNext w:val="0"/>
      <w:ind w:firstLine="200" w:firstLineChars="200"/>
      <w:jc w:val="both"/>
    </w:pPr>
    <w:rPr>
      <w:kern w:val="44"/>
      <w:sz w:val="24"/>
      <w:szCs w:val="44"/>
    </w:rPr>
  </w:style>
  <w:style w:type="paragraph" w:customStyle="1" w:styleId="85">
    <w:name w:val="表"/>
    <w:autoRedefine/>
    <w:qFormat/>
    <w:uiPriority w:val="0"/>
    <w:pPr>
      <w:spacing w:line="440" w:lineRule="exact"/>
      <w:ind w:firstLine="200" w:firstLineChars="200"/>
      <w:jc w:val="both"/>
    </w:pPr>
    <w:rPr>
      <w:rFonts w:ascii="Times New Roman" w:hAnsi="Times New Roman" w:eastAsia="宋体" w:cs="Times New Roman"/>
      <w:sz w:val="24"/>
      <w:lang w:val="en-US" w:eastAsia="zh-CN" w:bidi="ar-SA"/>
    </w:rPr>
  </w:style>
  <w:style w:type="paragraph" w:customStyle="1" w:styleId="86">
    <w:name w:val="样式 小四 行距: 1.5 倍行距 首行缩进:  2 字符"/>
    <w:basedOn w:val="1"/>
    <w:autoRedefine/>
    <w:qFormat/>
    <w:uiPriority w:val="0"/>
    <w:pPr>
      <w:spacing w:line="460" w:lineRule="exact"/>
      <w:ind w:firstLine="480" w:firstLineChars="200"/>
    </w:pPr>
    <w:rPr>
      <w:sz w:val="24"/>
      <w:szCs w:val="24"/>
    </w:rPr>
  </w:style>
  <w:style w:type="paragraph" w:customStyle="1" w:styleId="87">
    <w:name w:val="表格"/>
    <w:basedOn w:val="11"/>
    <w:next w:val="11"/>
    <w:autoRedefine/>
    <w:qFormat/>
    <w:uiPriority w:val="0"/>
    <w:pPr>
      <w:jc w:val="center"/>
    </w:pPr>
    <w:rPr>
      <w:rFonts w:ascii="黑体" w:hAnsi="宋体" w:eastAsia="黑体"/>
      <w:bCs/>
      <w:szCs w:val="21"/>
    </w:rPr>
  </w:style>
  <w:style w:type="paragraph" w:customStyle="1" w:styleId="88">
    <w:name w:val="表格1"/>
    <w:basedOn w:val="1"/>
    <w:next w:val="7"/>
    <w:autoRedefine/>
    <w:qFormat/>
    <w:uiPriority w:val="0"/>
    <w:pPr>
      <w:keepNext w:val="0"/>
      <w:keepLines w:val="0"/>
      <w:widowControl/>
      <w:suppressLineNumbers w:val="0"/>
      <w:adjustRightInd w:val="0"/>
      <w:snapToGrid w:val="0"/>
      <w:spacing w:before="0" w:beforeAutospacing="0" w:after="0" w:afterAutospacing="0"/>
      <w:ind w:left="0" w:right="0"/>
      <w:jc w:val="center"/>
    </w:pPr>
    <w:rPr>
      <w:rFonts w:hint="eastAsia" w:ascii="宋体" w:hAnsi="宋体"/>
      <w:kern w:val="0"/>
      <w:szCs w:val="21"/>
    </w:rPr>
  </w:style>
  <w:style w:type="paragraph" w:customStyle="1" w:styleId="89">
    <w:name w:val="表头"/>
    <w:basedOn w:val="33"/>
    <w:autoRedefine/>
    <w:qFormat/>
    <w:uiPriority w:val="0"/>
    <w:pPr>
      <w:widowControl w:val="0"/>
    </w:pPr>
    <w:rPr>
      <w:rFonts w:ascii="Arial" w:hAnsi="Arial" w:eastAsia="黑体"/>
      <w:color w:val="000000"/>
      <w:kern w:val="2"/>
      <w:szCs w:val="24"/>
    </w:rPr>
  </w:style>
  <w:style w:type="paragraph" w:styleId="90">
    <w:name w:val="List Paragraph"/>
    <w:basedOn w:val="1"/>
    <w:autoRedefine/>
    <w:qFormat/>
    <w:uiPriority w:val="34"/>
    <w:pPr>
      <w:ind w:firstLine="420" w:firstLineChars="200"/>
    </w:pPr>
  </w:style>
  <w:style w:type="paragraph" w:customStyle="1" w:styleId="91">
    <w:name w:val="aaa正文"/>
    <w:basedOn w:val="1"/>
    <w:autoRedefine/>
    <w:qFormat/>
    <w:uiPriority w:val="0"/>
    <w:pPr>
      <w:spacing w:line="480" w:lineRule="exact"/>
      <w:ind w:firstLine="200" w:firstLineChars="200"/>
    </w:pPr>
    <w:rPr>
      <w:kern w:val="0"/>
      <w:sz w:val="24"/>
      <w:szCs w:val="24"/>
    </w:rPr>
  </w:style>
  <w:style w:type="paragraph" w:customStyle="1" w:styleId="92">
    <w:name w:val="默认段落字体 Para Char Char Char Char Char Char Char Char Char"/>
    <w:basedOn w:val="1"/>
    <w:autoRedefine/>
    <w:qFormat/>
    <w:uiPriority w:val="0"/>
    <w:rPr>
      <w:rFonts w:ascii="Times New Roman" w:hAnsi="Times New Roman"/>
    </w:rPr>
  </w:style>
  <w:style w:type="paragraph" w:customStyle="1" w:styleId="93">
    <w:name w:val="05 表头"/>
    <w:basedOn w:val="72"/>
    <w:next w:val="72"/>
    <w:autoRedefine/>
    <w:qFormat/>
    <w:uiPriority w:val="0"/>
    <w:pPr>
      <w:numPr>
        <w:ilvl w:val="1"/>
        <w:numId w:val="2"/>
      </w:numPr>
      <w:ind w:firstLineChars="0"/>
      <w:jc w:val="center"/>
    </w:pPr>
    <w:rPr>
      <w:b/>
      <w:sz w:val="21"/>
    </w:rPr>
  </w:style>
  <w:style w:type="paragraph" w:customStyle="1" w:styleId="94">
    <w:name w:val="Table caption|1"/>
    <w:basedOn w:val="1"/>
    <w:autoRedefine/>
    <w:qFormat/>
    <w:uiPriority w:val="0"/>
    <w:pPr>
      <w:widowControl w:val="0"/>
      <w:shd w:val="clear" w:color="auto" w:fill="auto"/>
      <w:jc w:val="center"/>
    </w:pPr>
    <w:rPr>
      <w:rFonts w:ascii="MingLiU" w:hAnsi="MingLiU" w:eastAsia="MingLiU" w:cs="MingLiU"/>
      <w:sz w:val="17"/>
      <w:szCs w:val="17"/>
      <w:u w:val="none"/>
      <w:shd w:val="clear" w:color="auto" w:fill="auto"/>
      <w:lang w:val="zh-TW" w:eastAsia="zh-TW" w:bidi="zh-TW"/>
    </w:rPr>
  </w:style>
  <w:style w:type="paragraph" w:customStyle="1" w:styleId="95">
    <w:name w:val="表格文本"/>
    <w:basedOn w:val="1"/>
    <w:next w:val="1"/>
    <w:autoRedefine/>
    <w:qFormat/>
    <w:uiPriority w:val="0"/>
    <w:pPr>
      <w:spacing w:line="240" w:lineRule="exact"/>
    </w:pPr>
    <w:rPr>
      <w:rFonts w:ascii="Times New Roman" w:hAnsi="Times New Roman"/>
    </w:rPr>
  </w:style>
  <w:style w:type="paragraph" w:customStyle="1" w:styleId="96">
    <w:name w:val="x正文"/>
    <w:basedOn w:val="1"/>
    <w:autoRedefine/>
    <w:qFormat/>
    <w:uiPriority w:val="0"/>
    <w:pPr>
      <w:spacing w:line="360" w:lineRule="auto"/>
      <w:ind w:firstLine="480" w:firstLineChars="200"/>
    </w:pPr>
    <w:rPr>
      <w:rFonts w:ascii="宋体" w:hAnsi="宋体"/>
      <w:bCs/>
      <w:kern w:val="0"/>
      <w:sz w:val="24"/>
      <w:szCs w:val="24"/>
    </w:rPr>
  </w:style>
  <w:style w:type="paragraph" w:customStyle="1" w:styleId="97">
    <w:name w:val="Table Paragraph"/>
    <w:basedOn w:val="1"/>
    <w:autoRedefine/>
    <w:qFormat/>
    <w:uiPriority w:val="1"/>
    <w:rPr>
      <w:rFonts w:ascii="宋体" w:hAnsi="宋体" w:eastAsia="宋体" w:cs="宋体"/>
      <w:lang w:val="zh-CN" w:eastAsia="zh-CN" w:bidi="zh-CN"/>
    </w:rPr>
  </w:style>
  <w:style w:type="paragraph" w:customStyle="1" w:styleId="98">
    <w:name w:val="规划1-1"/>
    <w:basedOn w:val="1"/>
    <w:autoRedefine/>
    <w:qFormat/>
    <w:uiPriority w:val="0"/>
    <w:pPr>
      <w:spacing w:line="460" w:lineRule="exact"/>
    </w:pPr>
    <w:rPr>
      <w:rFonts w:ascii="黑体" w:hAnsi="黑体" w:eastAsia="黑体" w:cs="宋体"/>
      <w:b/>
      <w:kern w:val="1"/>
      <w:sz w:val="28"/>
    </w:rPr>
  </w:style>
  <w:style w:type="paragraph" w:customStyle="1" w:styleId="99">
    <w:name w:val="报告正文"/>
    <w:basedOn w:val="1"/>
    <w:autoRedefine/>
    <w:qFormat/>
    <w:uiPriority w:val="0"/>
    <w:pPr>
      <w:spacing w:line="440" w:lineRule="exact"/>
      <w:ind w:firstLine="480" w:firstLineChars="200"/>
    </w:pPr>
    <w:rPr>
      <w:rFonts w:ascii="Times New Roman" w:hAnsi="Times New Roman" w:eastAsia="宋体" w:cs="Times New Roman"/>
      <w:color w:val="000000"/>
      <w:kern w:val="0"/>
      <w:sz w:val="24"/>
      <w:szCs w:val="24"/>
    </w:rPr>
  </w:style>
  <w:style w:type="paragraph" w:customStyle="1" w:styleId="100">
    <w:name w:val="1.1.1"/>
    <w:basedOn w:val="1"/>
    <w:autoRedefine/>
    <w:qFormat/>
    <w:uiPriority w:val="0"/>
    <w:rPr>
      <w:rFonts w:ascii="黑体" w:hAnsi="黑体" w:cs="黑体"/>
      <w:kern w:val="1"/>
      <w:sz w:val="28"/>
    </w:rPr>
  </w:style>
  <w:style w:type="paragraph" w:customStyle="1" w:styleId="101">
    <w:name w:val="2.1.1"/>
    <w:basedOn w:val="1"/>
    <w:autoRedefine/>
    <w:qFormat/>
    <w:uiPriority w:val="0"/>
    <w:rPr>
      <w:kern w:val="1"/>
      <w:sz w:val="24"/>
    </w:rPr>
  </w:style>
  <w:style w:type="paragraph" w:customStyle="1" w:styleId="102">
    <w:name w:val="Default1"/>
    <w:autoRedefine/>
    <w:qFormat/>
    <w:uiPriority w:val="0"/>
    <w:pPr>
      <w:widowControl w:val="0"/>
      <w:autoSpaceDE w:val="0"/>
      <w:autoSpaceDN w:val="0"/>
      <w:adjustRightInd w:val="0"/>
    </w:pPr>
    <w:rPr>
      <w:rFonts w:ascii="宋体" w:hAnsi="Times New Roman" w:eastAsia="宋体" w:cs="宋体"/>
      <w:color w:val="000000"/>
      <w:kern w:val="0"/>
      <w:sz w:val="24"/>
      <w:szCs w:val="24"/>
      <w:lang w:val="en-US" w:eastAsia="zh-CN" w:bidi="ar-SA"/>
    </w:rPr>
  </w:style>
  <w:style w:type="table" w:customStyle="1" w:styleId="103">
    <w:name w:val="网格型1"/>
    <w:basedOn w:val="35"/>
    <w:autoRedefine/>
    <w:qFormat/>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04">
    <w:name w:val="Table Normal"/>
    <w:basedOn w:val="35"/>
    <w:autoRedefine/>
    <w:semiHidden/>
    <w:qFormat/>
    <w:uiPriority w:val="0"/>
    <w:pPr>
      <w:keepNext w:val="0"/>
      <w:keepLines w:val="0"/>
      <w:widowControl w:val="0"/>
      <w:suppressLineNumbers w:val="0"/>
      <w:autoSpaceDE w:val="0"/>
      <w:autoSpaceDN w:val="0"/>
      <w:spacing w:before="0" w:beforeAutospacing="0" w:after="0" w:afterAutospacing="0"/>
      <w:ind w:left="0" w:right="0"/>
    </w:pPr>
    <w:rPr>
      <w:rFonts w:hint="default" w:ascii="Calibri" w:hAnsi="Calibri" w:cs="Times New Roman"/>
      <w:sz w:val="22"/>
      <w:szCs w:val="22"/>
      <w:lang w:eastAsia="en-US"/>
    </w:rPr>
    <w:tblPr>
      <w:tblCellMar>
        <w:top w:w="0" w:type="dxa"/>
        <w:left w:w="0" w:type="dxa"/>
        <w:bottom w:w="0" w:type="dxa"/>
        <w:right w:w="0" w:type="dxa"/>
      </w:tblCellMar>
    </w:tblPr>
  </w:style>
  <w:style w:type="paragraph" w:customStyle="1" w:styleId="105">
    <w:name w:val="lh-正文-报告表"/>
    <w:basedOn w:val="1"/>
    <w:autoRedefine/>
    <w:qFormat/>
    <w:uiPriority w:val="0"/>
    <w:pPr>
      <w:spacing w:line="360" w:lineRule="auto"/>
      <w:ind w:firstLine="480" w:firstLineChars="200"/>
    </w:pPr>
    <w:rPr>
      <w:rFonts w:ascii="Times New Roman"/>
      <w:kern w:val="0"/>
      <w:sz w:val="24"/>
    </w:rPr>
  </w:style>
  <w:style w:type="paragraph" w:customStyle="1" w:styleId="106">
    <w:name w:val="4刘群正文*"/>
    <w:basedOn w:val="1"/>
    <w:autoRedefine/>
    <w:qFormat/>
    <w:uiPriority w:val="0"/>
    <w:pPr>
      <w:spacing w:line="520" w:lineRule="exact"/>
      <w:ind w:firstLine="480" w:firstLineChars="200"/>
    </w:pPr>
    <w:rPr>
      <w:sz w:val="24"/>
      <w:lang w:val="zh-CN"/>
    </w:rPr>
  </w:style>
  <w:style w:type="paragraph" w:customStyle="1" w:styleId="107">
    <w:name w:val="表格正文"/>
    <w:basedOn w:val="1"/>
    <w:autoRedefine/>
    <w:qFormat/>
    <w:uiPriority w:val="0"/>
    <w:pPr>
      <w:spacing w:line="360" w:lineRule="exact"/>
      <w:jc w:val="center"/>
    </w:pPr>
    <w:rPr>
      <w:rFonts w:ascii="Arial" w:hAnsi="Arial" w:cs="Arial"/>
    </w:rPr>
  </w:style>
  <w:style w:type="paragraph" w:customStyle="1" w:styleId="108">
    <w:name w:val="p0"/>
    <w:basedOn w:val="1"/>
    <w:autoRedefine/>
    <w:qFormat/>
    <w:uiPriority w:val="0"/>
    <w:pPr>
      <w:widowControl/>
      <w:spacing w:before="100" w:beforeAutospacing="1" w:after="100" w:afterAutospacing="1"/>
      <w:jc w:val="left"/>
    </w:pPr>
    <w:rPr>
      <w:rFonts w:hAnsi="宋体" w:cs="宋体"/>
      <w:kern w:val="0"/>
      <w:sz w:val="24"/>
    </w:rPr>
  </w:style>
  <w:style w:type="paragraph" w:customStyle="1" w:styleId="109">
    <w:name w:val="正文123"/>
    <w:basedOn w:val="1"/>
    <w:autoRedefine/>
    <w:qFormat/>
    <w:uiPriority w:val="0"/>
    <w:pPr>
      <w:spacing w:line="360" w:lineRule="auto"/>
      <w:ind w:firstLine="1446" w:firstLineChars="200"/>
      <w:jc w:val="left"/>
    </w:pPr>
    <w:rPr>
      <w:kern w:val="0"/>
      <w:sz w:val="24"/>
      <w:szCs w:val="20"/>
    </w:rPr>
  </w:style>
  <w:style w:type="paragraph" w:customStyle="1" w:styleId="110">
    <w:name w:val="表中文字"/>
    <w:basedOn w:val="1"/>
    <w:autoRedefine/>
    <w:qFormat/>
    <w:uiPriority w:val="0"/>
    <w:pPr>
      <w:jc w:val="center"/>
    </w:pPr>
    <w:rPr>
      <w:kern w:val="0"/>
      <w:sz w:val="20"/>
    </w:rPr>
  </w:style>
  <w:style w:type="paragraph" w:customStyle="1" w:styleId="111">
    <w:name w:val="15正文"/>
    <w:basedOn w:val="1"/>
    <w:autoRedefine/>
    <w:qFormat/>
    <w:uiPriority w:val="0"/>
    <w:pPr>
      <w:widowControl/>
      <w:spacing w:line="300" w:lineRule="exact"/>
      <w:jc w:val="left"/>
    </w:pPr>
    <w:rPr>
      <w:rFonts w:ascii="Arial" w:hAnsi="Arial"/>
      <w:kern w:val="0"/>
      <w:sz w:val="20"/>
      <w:szCs w:val="20"/>
    </w:rPr>
  </w:style>
  <w:style w:type="paragraph" w:customStyle="1" w:styleId="112">
    <w:name w:val="表格文字"/>
    <w:basedOn w:val="11"/>
    <w:next w:val="11"/>
    <w:autoRedefine/>
    <w:qFormat/>
    <w:uiPriority w:val="0"/>
    <w:pPr>
      <w:adjustRightInd w:val="0"/>
      <w:snapToGrid w:val="0"/>
      <w:jc w:val="center"/>
    </w:pPr>
    <w:rPr>
      <w:rFonts w:hint="eastAsia" w:ascii="仿宋" w:hAnsi="仿宋" w:eastAsia="仿宋"/>
      <w:szCs w:val="21"/>
    </w:rPr>
  </w:style>
  <w:style w:type="paragraph" w:customStyle="1" w:styleId="113">
    <w:name w:val="xl40"/>
    <w:basedOn w:val="1"/>
    <w:autoRedefine/>
    <w:qFormat/>
    <w:uiPriority w:val="0"/>
    <w:pPr>
      <w:widowControl/>
      <w:pBdr>
        <w:left w:val="single" w:color="auto" w:sz="4" w:space="0"/>
        <w:bottom w:val="single" w:color="auto" w:sz="4" w:space="0"/>
        <w:right w:val="single" w:color="auto" w:sz="4" w:space="0"/>
      </w:pBdr>
      <w:spacing w:before="100" w:beforeLines="0" w:beforeAutospacing="1" w:after="100" w:afterLines="0" w:afterAutospacing="1"/>
      <w:jc w:val="center"/>
      <w:textAlignment w:val="center"/>
    </w:pPr>
    <w:rPr>
      <w:rFonts w:ascii="Arial Unicode MS" w:hAnsi="Arial Unicode MS" w:eastAsia="Arial Unicode MS"/>
      <w:kern w:val="0"/>
      <w:sz w:val="24"/>
    </w:rPr>
  </w:style>
  <w:style w:type="paragraph" w:customStyle="1" w:styleId="114">
    <w:name w:val="样式1"/>
    <w:basedOn w:val="23"/>
    <w:autoRedefine/>
    <w:qFormat/>
    <w:uiPriority w:val="0"/>
    <w:pPr>
      <w:pBdr>
        <w:bottom w:val="none" w:color="auto" w:sz="0" w:space="0"/>
      </w:pBdr>
    </w:pPr>
    <w:rPr>
      <w:sz w:val="21"/>
    </w:rPr>
  </w:style>
  <w:style w:type="paragraph" w:customStyle="1" w:styleId="115">
    <w:name w:val="山焦报告正文"/>
    <w:basedOn w:val="1"/>
    <w:autoRedefine/>
    <w:qFormat/>
    <w:uiPriority w:val="0"/>
    <w:pPr>
      <w:adjustRightInd w:val="0"/>
      <w:snapToGrid w:val="0"/>
      <w:spacing w:before="78" w:beforeLines="25" w:line="440" w:lineRule="exact"/>
      <w:ind w:firstLine="200" w:firstLineChars="200"/>
    </w:pPr>
    <w:rPr>
      <w:color w:val="000000"/>
      <w:sz w:val="24"/>
    </w:rPr>
  </w:style>
  <w:style w:type="paragraph" w:customStyle="1" w:styleId="116">
    <w:name w:val="报告书正文"/>
    <w:basedOn w:val="1"/>
    <w:autoRedefine/>
    <w:qFormat/>
    <w:uiPriority w:val="0"/>
    <w:pPr>
      <w:spacing w:line="300" w:lineRule="auto"/>
      <w:ind w:firstLine="200" w:firstLineChars="200"/>
    </w:pPr>
    <w:rPr>
      <w:sz w:val="24"/>
      <w:szCs w:val="20"/>
    </w:rPr>
  </w:style>
  <w:style w:type="paragraph" w:customStyle="1" w:styleId="117">
    <w:name w:val="表格内字体"/>
    <w:basedOn w:val="1"/>
    <w:autoRedefine/>
    <w:qFormat/>
    <w:uiPriority w:val="0"/>
    <w:pPr>
      <w:widowControl/>
      <w:snapToGrid w:val="0"/>
      <w:jc w:val="center"/>
    </w:pPr>
    <w:rPr>
      <w:kern w:val="0"/>
      <w:szCs w:val="21"/>
    </w:rPr>
  </w:style>
  <w:style w:type="paragraph" w:customStyle="1" w:styleId="118">
    <w:name w:val="lh-2级标题---报告表"/>
    <w:next w:val="1"/>
    <w:autoRedefine/>
    <w:qFormat/>
    <w:uiPriority w:val="0"/>
    <w:pPr>
      <w:keepNext/>
      <w:numPr>
        <w:ilvl w:val="1"/>
        <w:numId w:val="3"/>
      </w:numPr>
      <w:spacing w:line="360" w:lineRule="auto"/>
      <w:outlineLvl w:val="1"/>
    </w:pPr>
    <w:rPr>
      <w:rFonts w:ascii="Times New Roman" w:hAnsi="Times New Roman" w:eastAsia="黑体" w:cs="Times New Roman"/>
      <w:bCs/>
      <w:sz w:val="24"/>
      <w:szCs w:val="32"/>
      <w:lang w:val="en-US" w:eastAsia="zh-CN" w:bidi="ar-SA"/>
    </w:rPr>
  </w:style>
  <w:style w:type="paragraph" w:customStyle="1" w:styleId="119">
    <w:name w:val="正文无缩进"/>
    <w:next w:val="120"/>
    <w:autoRedefine/>
    <w:qFormat/>
    <w:uiPriority w:val="0"/>
    <w:pPr>
      <w:widowControl w:val="0"/>
      <w:autoSpaceDE w:val="0"/>
      <w:autoSpaceDN w:val="0"/>
      <w:adjustRightInd w:val="0"/>
      <w:spacing w:line="480" w:lineRule="exact"/>
      <w:jc w:val="both"/>
    </w:pPr>
    <w:rPr>
      <w:rFonts w:ascii="Times New Roman" w:hAnsi="Times New Roman" w:eastAsia="宋体" w:cs="宋体"/>
      <w:sz w:val="24"/>
      <w:szCs w:val="24"/>
      <w:lang w:val="en-US" w:eastAsia="zh-CN" w:bidi="ar-SA"/>
    </w:rPr>
  </w:style>
  <w:style w:type="paragraph" w:customStyle="1" w:styleId="120">
    <w:name w:val="content"/>
    <w:autoRedefine/>
    <w:qFormat/>
    <w:uiPriority w:val="0"/>
    <w:pPr>
      <w:adjustRightInd w:val="0"/>
      <w:spacing w:line="480" w:lineRule="exact"/>
      <w:ind w:firstLine="200" w:firstLineChars="200"/>
      <w:jc w:val="both"/>
    </w:pPr>
    <w:rPr>
      <w:rFonts w:ascii="Times New Roman" w:hAnsi="Times New Roman" w:eastAsia="宋体" w:cs="Times New Roman"/>
      <w:kern w:val="2"/>
      <w:sz w:val="24"/>
      <w:szCs w:val="24"/>
      <w:lang w:val="en-US" w:eastAsia="zh-CN" w:bidi="ar-SA"/>
    </w:rPr>
  </w:style>
  <w:style w:type="paragraph" w:customStyle="1" w:styleId="121">
    <w:name w:val="14 正文重点"/>
    <w:basedOn w:val="122"/>
    <w:autoRedefine/>
    <w:qFormat/>
    <w:uiPriority w:val="0"/>
    <w:pPr>
      <w:widowControl w:val="0"/>
      <w:ind w:firstLine="482"/>
    </w:pPr>
    <w:rPr>
      <w:rFonts w:cs="宋体"/>
      <w:b/>
      <w:bCs/>
      <w:szCs w:val="20"/>
    </w:rPr>
  </w:style>
  <w:style w:type="paragraph" w:customStyle="1" w:styleId="122">
    <w:name w:val="15 正文"/>
    <w:autoRedefine/>
    <w:qFormat/>
    <w:uiPriority w:val="0"/>
    <w:pPr>
      <w:spacing w:line="480" w:lineRule="atLeast"/>
      <w:ind w:firstLine="480" w:firstLineChars="200"/>
      <w:jc w:val="both"/>
    </w:pPr>
    <w:rPr>
      <w:rFonts w:ascii="Times New Roman" w:hAnsi="Times New Roman" w:eastAsia="宋体" w:cs="Times New Roman"/>
      <w:kern w:val="2"/>
      <w:sz w:val="24"/>
      <w:szCs w:val="24"/>
      <w:lang w:val="en-US" w:eastAsia="zh-CN" w:bidi="ar-SA"/>
    </w:rPr>
  </w:style>
  <w:style w:type="paragraph" w:customStyle="1" w:styleId="123">
    <w:name w:val="图表标题"/>
    <w:basedOn w:val="1"/>
    <w:autoRedefine/>
    <w:qFormat/>
    <w:uiPriority w:val="0"/>
    <w:pPr>
      <w:spacing w:line="480" w:lineRule="exact"/>
      <w:jc w:val="center"/>
    </w:pPr>
    <w:rPr>
      <w:b/>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11</Pages>
  <Words>7755</Words>
  <Characters>8420</Characters>
  <Lines>107</Lines>
  <Paragraphs>30</Paragraphs>
  <TotalTime>2</TotalTime>
  <ScaleCrop>false</ScaleCrop>
  <LinksUpToDate>false</LinksUpToDate>
  <CharactersWithSpaces>8513</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2019-09-19T03:19:00Z</dcterms:created>
  <dc:creator>xiaoxu</dc:creator>
  <cp:lastModifiedBy>Krismile </cp:lastModifiedBy>
  <cp:lastPrinted>2024-08-12T03:35:00Z</cp:lastPrinted>
  <dcterms:modified xsi:type="dcterms:W3CDTF">2024-08-15T01:15:15Z</dcterms:modified>
  <cp:revision>131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1849DC6C5EB84EDC9D2435A490275036_13</vt:lpwstr>
  </property>
</Properties>
</file>