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2024年单位预算信息公开目录</w:t>
      </w:r>
    </w:p>
    <w:p>
      <w:pPr>
        <w:jc w:val="center"/>
      </w:pPr>
      <w:r>
        <w:rPr>
          <w:rFonts w:ascii="黑体" w:hAnsi="黑体" w:eastAsia="黑体" w:cs="黑体"/>
          <w:b/>
          <w:color w:val="000000"/>
          <w:sz w:val="30"/>
        </w:rPr>
        <w:t xml:space="preserve"> </w:t>
      </w:r>
    </w:p>
    <w:p>
      <w:pPr>
        <w:pStyle w:val="23"/>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一、中共石家庄市鹿泉区委机构编制委员会办公室本级收支预算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outlineLvl w:val="3"/>
      </w:pPr>
      <w:bookmarkStart w:id="0" w:name="_Toc_4_4_0000000001"/>
      <w:r>
        <w:rPr>
          <w:rFonts w:ascii="方正小标宋_GBK" w:hAnsi="方正小标宋_GBK" w:eastAsia="方正小标宋_GBK" w:cs="方正小标宋_GBK"/>
          <w:color w:val="000000"/>
          <w:sz w:val="44"/>
        </w:rPr>
        <w:t>一、中共石家庄市鹿泉区委机构编制委员会办公室本级收支预算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316001中共石家庄市鹿泉区委机构编制委员会办公室本级</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290.78</w:t>
            </w:r>
          </w:p>
        </w:tc>
        <w:tc>
          <w:tcPr>
            <w:tcW w:w="4535" w:type="dxa"/>
            <w:vAlign w:val="center"/>
          </w:tcPr>
          <w:p>
            <w:pPr>
              <w:pStyle w:val="12"/>
            </w:pPr>
            <w:r>
              <w:t>一、一般公共服务支出</w:t>
            </w:r>
          </w:p>
        </w:tc>
        <w:tc>
          <w:tcPr>
            <w:tcW w:w="2126" w:type="dxa"/>
            <w:vAlign w:val="center"/>
          </w:tcPr>
          <w:p>
            <w:pPr>
              <w:pStyle w:val="11"/>
            </w:pPr>
            <w:r>
              <w:t>217.13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33.99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16.71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22.95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290.78</w:t>
            </w:r>
          </w:p>
        </w:tc>
        <w:tc>
          <w:tcPr>
            <w:tcW w:w="4535" w:type="dxa"/>
            <w:vAlign w:val="center"/>
          </w:tcPr>
          <w:p>
            <w:pPr>
              <w:pStyle w:val="14"/>
            </w:pPr>
            <w:r>
              <w:t>本年支出合计</w:t>
            </w:r>
          </w:p>
        </w:tc>
        <w:tc>
          <w:tcPr>
            <w:tcW w:w="2126" w:type="dxa"/>
            <w:vAlign w:val="center"/>
          </w:tcPr>
          <w:p>
            <w:pPr>
              <w:pStyle w:val="15"/>
            </w:pPr>
            <w:r>
              <w:t>290.78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290.78</w:t>
            </w:r>
          </w:p>
        </w:tc>
        <w:tc>
          <w:tcPr>
            <w:tcW w:w="4535" w:type="dxa"/>
            <w:vAlign w:val="center"/>
          </w:tcPr>
          <w:p>
            <w:pPr>
              <w:pStyle w:val="14"/>
            </w:pPr>
            <w:r>
              <w:t>支出总计</w:t>
            </w:r>
          </w:p>
        </w:tc>
        <w:tc>
          <w:tcPr>
            <w:tcW w:w="2126" w:type="dxa"/>
            <w:vAlign w:val="center"/>
          </w:tcPr>
          <w:p>
            <w:pPr>
              <w:pStyle w:val="15"/>
            </w:pPr>
            <w:r>
              <w:t>290.78</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316001中共石家庄市鹿泉区委机构编制委员会办公室本级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290.78</w:t>
            </w:r>
          </w:p>
        </w:tc>
        <w:tc>
          <w:tcPr>
            <w:tcW w:w="1134" w:type="dxa"/>
            <w:vAlign w:val="center"/>
          </w:tcPr>
          <w:p>
            <w:pPr>
              <w:pStyle w:val="15"/>
            </w:pPr>
            <w:r>
              <w:t>290.78</w:t>
            </w:r>
          </w:p>
        </w:tc>
        <w:tc>
          <w:tcPr>
            <w:tcW w:w="1134" w:type="dxa"/>
            <w:vAlign w:val="center"/>
          </w:tcPr>
          <w:p>
            <w:pPr>
              <w:pStyle w:val="15"/>
            </w:pPr>
            <w:r>
              <w:t>290.78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217.13</w:t>
            </w:r>
          </w:p>
        </w:tc>
        <w:tc>
          <w:tcPr>
            <w:tcW w:w="1134" w:type="dxa"/>
            <w:vAlign w:val="center"/>
          </w:tcPr>
          <w:p>
            <w:pPr>
              <w:pStyle w:val="11"/>
            </w:pPr>
            <w:r>
              <w:t>217.13</w:t>
            </w:r>
          </w:p>
        </w:tc>
        <w:tc>
          <w:tcPr>
            <w:tcW w:w="1134" w:type="dxa"/>
            <w:vAlign w:val="center"/>
          </w:tcPr>
          <w:p>
            <w:pPr>
              <w:pStyle w:val="11"/>
            </w:pPr>
            <w:r>
              <w:t>217.13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20131</w:t>
            </w:r>
          </w:p>
        </w:tc>
        <w:tc>
          <w:tcPr>
            <w:tcW w:w="1559" w:type="dxa"/>
            <w:vAlign w:val="center"/>
          </w:tcPr>
          <w:p>
            <w:pPr>
              <w:pStyle w:val="12"/>
            </w:pPr>
            <w:r>
              <w:t>党委办公厅（室）及相关机构事务</w:t>
            </w:r>
          </w:p>
        </w:tc>
        <w:tc>
          <w:tcPr>
            <w:tcW w:w="1134" w:type="dxa"/>
            <w:vAlign w:val="center"/>
          </w:tcPr>
          <w:p>
            <w:pPr>
              <w:pStyle w:val="11"/>
            </w:pPr>
            <w:r>
              <w:t>217.13</w:t>
            </w:r>
          </w:p>
        </w:tc>
        <w:tc>
          <w:tcPr>
            <w:tcW w:w="1134" w:type="dxa"/>
            <w:vAlign w:val="center"/>
          </w:tcPr>
          <w:p>
            <w:pPr>
              <w:pStyle w:val="11"/>
            </w:pPr>
            <w:r>
              <w:t>217.13</w:t>
            </w:r>
          </w:p>
        </w:tc>
        <w:tc>
          <w:tcPr>
            <w:tcW w:w="1134" w:type="dxa"/>
            <w:vAlign w:val="center"/>
          </w:tcPr>
          <w:p>
            <w:pPr>
              <w:pStyle w:val="11"/>
            </w:pPr>
            <w:r>
              <w:t>217.13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2013101</w:t>
            </w:r>
          </w:p>
        </w:tc>
        <w:tc>
          <w:tcPr>
            <w:tcW w:w="1559" w:type="dxa"/>
            <w:vAlign w:val="center"/>
          </w:tcPr>
          <w:p>
            <w:pPr>
              <w:pStyle w:val="12"/>
            </w:pPr>
            <w:r>
              <w:t>行政运行</w:t>
            </w:r>
          </w:p>
        </w:tc>
        <w:tc>
          <w:tcPr>
            <w:tcW w:w="1134" w:type="dxa"/>
            <w:vAlign w:val="center"/>
          </w:tcPr>
          <w:p>
            <w:pPr>
              <w:pStyle w:val="11"/>
            </w:pPr>
            <w:r>
              <w:t>217.13</w:t>
            </w:r>
          </w:p>
        </w:tc>
        <w:tc>
          <w:tcPr>
            <w:tcW w:w="1134" w:type="dxa"/>
            <w:vAlign w:val="center"/>
          </w:tcPr>
          <w:p>
            <w:pPr>
              <w:pStyle w:val="11"/>
            </w:pPr>
            <w:r>
              <w:t>217.13</w:t>
            </w:r>
          </w:p>
        </w:tc>
        <w:tc>
          <w:tcPr>
            <w:tcW w:w="1134" w:type="dxa"/>
            <w:vAlign w:val="center"/>
          </w:tcPr>
          <w:p>
            <w:pPr>
              <w:pStyle w:val="11"/>
            </w:pPr>
            <w:r>
              <w:t>217.13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33.99</w:t>
            </w:r>
          </w:p>
        </w:tc>
        <w:tc>
          <w:tcPr>
            <w:tcW w:w="1134" w:type="dxa"/>
            <w:vAlign w:val="center"/>
          </w:tcPr>
          <w:p>
            <w:pPr>
              <w:pStyle w:val="11"/>
            </w:pPr>
            <w:r>
              <w:t>33.99</w:t>
            </w:r>
          </w:p>
        </w:tc>
        <w:tc>
          <w:tcPr>
            <w:tcW w:w="1134" w:type="dxa"/>
            <w:vAlign w:val="center"/>
          </w:tcPr>
          <w:p>
            <w:pPr>
              <w:pStyle w:val="11"/>
            </w:pPr>
            <w:r>
              <w:t>33.99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33.99</w:t>
            </w:r>
          </w:p>
        </w:tc>
        <w:tc>
          <w:tcPr>
            <w:tcW w:w="1134" w:type="dxa"/>
            <w:vAlign w:val="center"/>
          </w:tcPr>
          <w:p>
            <w:pPr>
              <w:pStyle w:val="11"/>
            </w:pPr>
            <w:r>
              <w:t>33.99</w:t>
            </w:r>
          </w:p>
        </w:tc>
        <w:tc>
          <w:tcPr>
            <w:tcW w:w="1134" w:type="dxa"/>
            <w:vAlign w:val="center"/>
          </w:tcPr>
          <w:p>
            <w:pPr>
              <w:pStyle w:val="11"/>
            </w:pPr>
            <w:r>
              <w:t>33.99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10.78</w:t>
            </w:r>
          </w:p>
        </w:tc>
        <w:tc>
          <w:tcPr>
            <w:tcW w:w="1134" w:type="dxa"/>
            <w:vAlign w:val="center"/>
          </w:tcPr>
          <w:p>
            <w:pPr>
              <w:pStyle w:val="11"/>
            </w:pPr>
            <w:r>
              <w:t>10.78</w:t>
            </w:r>
          </w:p>
        </w:tc>
        <w:tc>
          <w:tcPr>
            <w:tcW w:w="1134" w:type="dxa"/>
            <w:vAlign w:val="center"/>
          </w:tcPr>
          <w:p>
            <w:pPr>
              <w:pStyle w:val="11"/>
            </w:pPr>
            <w:r>
              <w:t>10.78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23.21</w:t>
            </w:r>
          </w:p>
        </w:tc>
        <w:tc>
          <w:tcPr>
            <w:tcW w:w="1134" w:type="dxa"/>
            <w:vAlign w:val="center"/>
          </w:tcPr>
          <w:p>
            <w:pPr>
              <w:pStyle w:val="11"/>
            </w:pPr>
            <w:r>
              <w:t>23.21</w:t>
            </w:r>
          </w:p>
        </w:tc>
        <w:tc>
          <w:tcPr>
            <w:tcW w:w="1134" w:type="dxa"/>
            <w:vAlign w:val="center"/>
          </w:tcPr>
          <w:p>
            <w:pPr>
              <w:pStyle w:val="11"/>
            </w:pPr>
            <w:r>
              <w:t>23.21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16.71</w:t>
            </w:r>
          </w:p>
        </w:tc>
        <w:tc>
          <w:tcPr>
            <w:tcW w:w="1134" w:type="dxa"/>
            <w:vAlign w:val="center"/>
          </w:tcPr>
          <w:p>
            <w:pPr>
              <w:pStyle w:val="11"/>
            </w:pPr>
            <w:r>
              <w:t>16.71</w:t>
            </w:r>
          </w:p>
        </w:tc>
        <w:tc>
          <w:tcPr>
            <w:tcW w:w="1134" w:type="dxa"/>
            <w:vAlign w:val="center"/>
          </w:tcPr>
          <w:p>
            <w:pPr>
              <w:pStyle w:val="11"/>
            </w:pPr>
            <w:r>
              <w:t>16.71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16.71</w:t>
            </w:r>
          </w:p>
        </w:tc>
        <w:tc>
          <w:tcPr>
            <w:tcW w:w="1134" w:type="dxa"/>
            <w:vAlign w:val="center"/>
          </w:tcPr>
          <w:p>
            <w:pPr>
              <w:pStyle w:val="11"/>
            </w:pPr>
            <w:r>
              <w:t>16.71</w:t>
            </w:r>
          </w:p>
        </w:tc>
        <w:tc>
          <w:tcPr>
            <w:tcW w:w="1134" w:type="dxa"/>
            <w:vAlign w:val="center"/>
          </w:tcPr>
          <w:p>
            <w:pPr>
              <w:pStyle w:val="11"/>
            </w:pPr>
            <w:r>
              <w:t>16.71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16.71</w:t>
            </w:r>
          </w:p>
        </w:tc>
        <w:tc>
          <w:tcPr>
            <w:tcW w:w="1134" w:type="dxa"/>
            <w:vAlign w:val="center"/>
          </w:tcPr>
          <w:p>
            <w:pPr>
              <w:pStyle w:val="11"/>
            </w:pPr>
            <w:r>
              <w:t>16.71</w:t>
            </w:r>
          </w:p>
        </w:tc>
        <w:tc>
          <w:tcPr>
            <w:tcW w:w="1134" w:type="dxa"/>
            <w:vAlign w:val="center"/>
          </w:tcPr>
          <w:p>
            <w:pPr>
              <w:pStyle w:val="11"/>
            </w:pPr>
            <w:r>
              <w:t>16.71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22.95</w:t>
            </w:r>
          </w:p>
        </w:tc>
        <w:tc>
          <w:tcPr>
            <w:tcW w:w="1134" w:type="dxa"/>
            <w:vAlign w:val="center"/>
          </w:tcPr>
          <w:p>
            <w:pPr>
              <w:pStyle w:val="11"/>
            </w:pPr>
            <w:r>
              <w:t>22.95</w:t>
            </w:r>
          </w:p>
        </w:tc>
        <w:tc>
          <w:tcPr>
            <w:tcW w:w="1134" w:type="dxa"/>
            <w:vAlign w:val="center"/>
          </w:tcPr>
          <w:p>
            <w:pPr>
              <w:pStyle w:val="11"/>
            </w:pPr>
            <w:r>
              <w:t>22.95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22.95</w:t>
            </w:r>
          </w:p>
        </w:tc>
        <w:tc>
          <w:tcPr>
            <w:tcW w:w="1134" w:type="dxa"/>
            <w:vAlign w:val="center"/>
          </w:tcPr>
          <w:p>
            <w:pPr>
              <w:pStyle w:val="11"/>
            </w:pPr>
            <w:r>
              <w:t>22.95</w:t>
            </w:r>
          </w:p>
        </w:tc>
        <w:tc>
          <w:tcPr>
            <w:tcW w:w="1134" w:type="dxa"/>
            <w:vAlign w:val="center"/>
          </w:tcPr>
          <w:p>
            <w:pPr>
              <w:pStyle w:val="11"/>
            </w:pPr>
            <w:r>
              <w:t>22.95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22.95</w:t>
            </w:r>
          </w:p>
        </w:tc>
        <w:tc>
          <w:tcPr>
            <w:tcW w:w="1134" w:type="dxa"/>
            <w:vAlign w:val="center"/>
          </w:tcPr>
          <w:p>
            <w:pPr>
              <w:pStyle w:val="11"/>
            </w:pPr>
            <w:r>
              <w:t>22.95</w:t>
            </w:r>
          </w:p>
        </w:tc>
        <w:tc>
          <w:tcPr>
            <w:tcW w:w="1134" w:type="dxa"/>
            <w:vAlign w:val="center"/>
          </w:tcPr>
          <w:p>
            <w:pPr>
              <w:pStyle w:val="11"/>
            </w:pPr>
            <w:r>
              <w:t>22.95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316001中共石家庄市鹿泉区委机构编制委员会办公室本级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290.78</w:t>
            </w:r>
          </w:p>
        </w:tc>
        <w:tc>
          <w:tcPr>
            <w:tcW w:w="1361" w:type="dxa"/>
            <w:vAlign w:val="center"/>
          </w:tcPr>
          <w:p>
            <w:pPr>
              <w:pStyle w:val="15"/>
            </w:pPr>
            <w:r>
              <w:t>290.78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217.13</w:t>
            </w:r>
          </w:p>
        </w:tc>
        <w:tc>
          <w:tcPr>
            <w:tcW w:w="1361" w:type="dxa"/>
            <w:vAlign w:val="center"/>
          </w:tcPr>
          <w:p>
            <w:pPr>
              <w:pStyle w:val="11"/>
            </w:pPr>
            <w:r>
              <w:t>217.13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20131</w:t>
            </w:r>
          </w:p>
        </w:tc>
        <w:tc>
          <w:tcPr>
            <w:tcW w:w="4535" w:type="dxa"/>
            <w:vAlign w:val="center"/>
          </w:tcPr>
          <w:p>
            <w:pPr>
              <w:pStyle w:val="12"/>
            </w:pPr>
            <w:r>
              <w:t>党委办公厅（室）及相关机构事务</w:t>
            </w:r>
          </w:p>
        </w:tc>
        <w:tc>
          <w:tcPr>
            <w:tcW w:w="1361" w:type="dxa"/>
            <w:vAlign w:val="center"/>
          </w:tcPr>
          <w:p>
            <w:pPr>
              <w:pStyle w:val="11"/>
            </w:pPr>
            <w:r>
              <w:t>217.13</w:t>
            </w:r>
          </w:p>
        </w:tc>
        <w:tc>
          <w:tcPr>
            <w:tcW w:w="1361" w:type="dxa"/>
            <w:vAlign w:val="center"/>
          </w:tcPr>
          <w:p>
            <w:pPr>
              <w:pStyle w:val="11"/>
            </w:pPr>
            <w:r>
              <w:t>217.13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2013101</w:t>
            </w:r>
          </w:p>
        </w:tc>
        <w:tc>
          <w:tcPr>
            <w:tcW w:w="4535" w:type="dxa"/>
            <w:vAlign w:val="center"/>
          </w:tcPr>
          <w:p>
            <w:pPr>
              <w:pStyle w:val="12"/>
            </w:pPr>
            <w:r>
              <w:t>行政运行</w:t>
            </w:r>
          </w:p>
        </w:tc>
        <w:tc>
          <w:tcPr>
            <w:tcW w:w="1361" w:type="dxa"/>
            <w:vAlign w:val="center"/>
          </w:tcPr>
          <w:p>
            <w:pPr>
              <w:pStyle w:val="11"/>
            </w:pPr>
            <w:r>
              <w:t>217.13</w:t>
            </w:r>
          </w:p>
        </w:tc>
        <w:tc>
          <w:tcPr>
            <w:tcW w:w="1361" w:type="dxa"/>
            <w:vAlign w:val="center"/>
          </w:tcPr>
          <w:p>
            <w:pPr>
              <w:pStyle w:val="11"/>
            </w:pPr>
            <w:r>
              <w:t>217.13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33.99</w:t>
            </w:r>
          </w:p>
        </w:tc>
        <w:tc>
          <w:tcPr>
            <w:tcW w:w="1361" w:type="dxa"/>
            <w:vAlign w:val="center"/>
          </w:tcPr>
          <w:p>
            <w:pPr>
              <w:pStyle w:val="11"/>
            </w:pPr>
            <w:r>
              <w:t>33.99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33.99</w:t>
            </w:r>
          </w:p>
        </w:tc>
        <w:tc>
          <w:tcPr>
            <w:tcW w:w="1361" w:type="dxa"/>
            <w:vAlign w:val="center"/>
          </w:tcPr>
          <w:p>
            <w:pPr>
              <w:pStyle w:val="11"/>
            </w:pPr>
            <w:r>
              <w:t>33.99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10.78</w:t>
            </w:r>
          </w:p>
        </w:tc>
        <w:tc>
          <w:tcPr>
            <w:tcW w:w="1361" w:type="dxa"/>
            <w:vAlign w:val="center"/>
          </w:tcPr>
          <w:p>
            <w:pPr>
              <w:pStyle w:val="11"/>
            </w:pPr>
            <w:r>
              <w:t>10.78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23.21</w:t>
            </w:r>
          </w:p>
        </w:tc>
        <w:tc>
          <w:tcPr>
            <w:tcW w:w="1361" w:type="dxa"/>
            <w:vAlign w:val="center"/>
          </w:tcPr>
          <w:p>
            <w:pPr>
              <w:pStyle w:val="11"/>
            </w:pPr>
            <w:r>
              <w:t>23.21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16.71</w:t>
            </w:r>
          </w:p>
        </w:tc>
        <w:tc>
          <w:tcPr>
            <w:tcW w:w="1361" w:type="dxa"/>
            <w:vAlign w:val="center"/>
          </w:tcPr>
          <w:p>
            <w:pPr>
              <w:pStyle w:val="11"/>
            </w:pPr>
            <w:r>
              <w:t>16.71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16.71</w:t>
            </w:r>
          </w:p>
        </w:tc>
        <w:tc>
          <w:tcPr>
            <w:tcW w:w="1361" w:type="dxa"/>
            <w:vAlign w:val="center"/>
          </w:tcPr>
          <w:p>
            <w:pPr>
              <w:pStyle w:val="11"/>
            </w:pPr>
            <w:r>
              <w:t>16.71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16.71</w:t>
            </w:r>
          </w:p>
        </w:tc>
        <w:tc>
          <w:tcPr>
            <w:tcW w:w="1361" w:type="dxa"/>
            <w:vAlign w:val="center"/>
          </w:tcPr>
          <w:p>
            <w:pPr>
              <w:pStyle w:val="11"/>
            </w:pPr>
            <w:r>
              <w:t>16.71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22.95</w:t>
            </w:r>
          </w:p>
        </w:tc>
        <w:tc>
          <w:tcPr>
            <w:tcW w:w="1361" w:type="dxa"/>
            <w:vAlign w:val="center"/>
          </w:tcPr>
          <w:p>
            <w:pPr>
              <w:pStyle w:val="11"/>
            </w:pPr>
            <w:r>
              <w:t>22.95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22.95</w:t>
            </w:r>
          </w:p>
        </w:tc>
        <w:tc>
          <w:tcPr>
            <w:tcW w:w="1361" w:type="dxa"/>
            <w:vAlign w:val="center"/>
          </w:tcPr>
          <w:p>
            <w:pPr>
              <w:pStyle w:val="11"/>
            </w:pPr>
            <w:r>
              <w:t>22.95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22.95</w:t>
            </w:r>
          </w:p>
        </w:tc>
        <w:tc>
          <w:tcPr>
            <w:tcW w:w="1361" w:type="dxa"/>
            <w:vAlign w:val="center"/>
          </w:tcPr>
          <w:p>
            <w:pPr>
              <w:pStyle w:val="11"/>
            </w:pPr>
            <w:r>
              <w:t>22.95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316001中共石家庄市鹿泉区委机构编制委员会办公室本级</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290.78</w:t>
            </w:r>
          </w:p>
        </w:tc>
        <w:tc>
          <w:tcPr>
            <w:tcW w:w="3402" w:type="dxa"/>
            <w:vAlign w:val="center"/>
          </w:tcPr>
          <w:p>
            <w:pPr>
              <w:pStyle w:val="12"/>
            </w:pPr>
            <w:r>
              <w:t>一、一般公共服务支出</w:t>
            </w:r>
          </w:p>
        </w:tc>
        <w:tc>
          <w:tcPr>
            <w:tcW w:w="1474" w:type="dxa"/>
            <w:vAlign w:val="center"/>
          </w:tcPr>
          <w:p>
            <w:pPr>
              <w:pStyle w:val="11"/>
            </w:pPr>
            <w:r>
              <w:t>217.13</w:t>
            </w:r>
          </w:p>
        </w:tc>
        <w:tc>
          <w:tcPr>
            <w:tcW w:w="1474" w:type="dxa"/>
            <w:vAlign w:val="center"/>
          </w:tcPr>
          <w:p>
            <w:pPr>
              <w:pStyle w:val="11"/>
            </w:pPr>
            <w:r>
              <w:t>217.13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33.99</w:t>
            </w:r>
          </w:p>
        </w:tc>
        <w:tc>
          <w:tcPr>
            <w:tcW w:w="1474" w:type="dxa"/>
            <w:vAlign w:val="center"/>
          </w:tcPr>
          <w:p>
            <w:pPr>
              <w:pStyle w:val="11"/>
            </w:pPr>
            <w:r>
              <w:t>33.99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16.71</w:t>
            </w:r>
          </w:p>
        </w:tc>
        <w:tc>
          <w:tcPr>
            <w:tcW w:w="1474" w:type="dxa"/>
            <w:vAlign w:val="center"/>
          </w:tcPr>
          <w:p>
            <w:pPr>
              <w:pStyle w:val="11"/>
            </w:pPr>
            <w:r>
              <w:t>16.71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22.95</w:t>
            </w:r>
          </w:p>
        </w:tc>
        <w:tc>
          <w:tcPr>
            <w:tcW w:w="1474" w:type="dxa"/>
            <w:vAlign w:val="center"/>
          </w:tcPr>
          <w:p>
            <w:pPr>
              <w:pStyle w:val="11"/>
            </w:pPr>
            <w:r>
              <w:t>22.95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290.78</w:t>
            </w:r>
          </w:p>
        </w:tc>
        <w:tc>
          <w:tcPr>
            <w:tcW w:w="3402" w:type="dxa"/>
            <w:vAlign w:val="center"/>
          </w:tcPr>
          <w:p>
            <w:pPr>
              <w:pStyle w:val="14"/>
            </w:pPr>
            <w:r>
              <w:t>本年支出合计</w:t>
            </w:r>
          </w:p>
        </w:tc>
        <w:tc>
          <w:tcPr>
            <w:tcW w:w="1474" w:type="dxa"/>
            <w:vAlign w:val="center"/>
          </w:tcPr>
          <w:p>
            <w:pPr>
              <w:pStyle w:val="15"/>
            </w:pPr>
            <w:r>
              <w:t>290.78</w:t>
            </w:r>
          </w:p>
        </w:tc>
        <w:tc>
          <w:tcPr>
            <w:tcW w:w="1474" w:type="dxa"/>
            <w:vAlign w:val="center"/>
          </w:tcPr>
          <w:p>
            <w:pPr>
              <w:pStyle w:val="15"/>
            </w:pPr>
            <w:r>
              <w:t>290.78</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290.78</w:t>
            </w:r>
          </w:p>
        </w:tc>
        <w:tc>
          <w:tcPr>
            <w:tcW w:w="3402" w:type="dxa"/>
            <w:vAlign w:val="center"/>
          </w:tcPr>
          <w:p>
            <w:pPr>
              <w:pStyle w:val="14"/>
            </w:pPr>
            <w:r>
              <w:t>支出总计</w:t>
            </w:r>
          </w:p>
        </w:tc>
        <w:tc>
          <w:tcPr>
            <w:tcW w:w="1474" w:type="dxa"/>
            <w:vAlign w:val="center"/>
          </w:tcPr>
          <w:p>
            <w:pPr>
              <w:pStyle w:val="15"/>
            </w:pPr>
            <w:r>
              <w:t>290.78</w:t>
            </w:r>
          </w:p>
        </w:tc>
        <w:tc>
          <w:tcPr>
            <w:tcW w:w="1474" w:type="dxa"/>
            <w:vAlign w:val="center"/>
          </w:tcPr>
          <w:p>
            <w:pPr>
              <w:pStyle w:val="15"/>
            </w:pPr>
            <w:r>
              <w:t>290.78</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316001中共石家庄市鹿泉区委机构编制委员会办公室本级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290.78</w:t>
            </w:r>
          </w:p>
        </w:tc>
        <w:tc>
          <w:tcPr>
            <w:tcW w:w="2551" w:type="dxa"/>
            <w:vAlign w:val="center"/>
          </w:tcPr>
          <w:p>
            <w:pPr>
              <w:pStyle w:val="15"/>
            </w:pPr>
            <w:r>
              <w:t>290.78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217.13</w:t>
            </w:r>
          </w:p>
        </w:tc>
        <w:tc>
          <w:tcPr>
            <w:tcW w:w="2551" w:type="dxa"/>
            <w:vAlign w:val="center"/>
          </w:tcPr>
          <w:p>
            <w:pPr>
              <w:pStyle w:val="11"/>
            </w:pPr>
            <w:r>
              <w:t>217.13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20131</w:t>
            </w:r>
          </w:p>
        </w:tc>
        <w:tc>
          <w:tcPr>
            <w:tcW w:w="4535" w:type="dxa"/>
            <w:vAlign w:val="center"/>
          </w:tcPr>
          <w:p>
            <w:pPr>
              <w:pStyle w:val="12"/>
            </w:pPr>
            <w:r>
              <w:t>党委办公厅（室）及相关机构事务</w:t>
            </w:r>
          </w:p>
        </w:tc>
        <w:tc>
          <w:tcPr>
            <w:tcW w:w="2551" w:type="dxa"/>
            <w:vAlign w:val="center"/>
          </w:tcPr>
          <w:p>
            <w:pPr>
              <w:pStyle w:val="11"/>
            </w:pPr>
            <w:r>
              <w:t>217.13</w:t>
            </w:r>
          </w:p>
        </w:tc>
        <w:tc>
          <w:tcPr>
            <w:tcW w:w="2551" w:type="dxa"/>
            <w:vAlign w:val="center"/>
          </w:tcPr>
          <w:p>
            <w:pPr>
              <w:pStyle w:val="11"/>
            </w:pPr>
            <w:r>
              <w:t>217.13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2013101</w:t>
            </w:r>
          </w:p>
        </w:tc>
        <w:tc>
          <w:tcPr>
            <w:tcW w:w="4535" w:type="dxa"/>
            <w:vAlign w:val="center"/>
          </w:tcPr>
          <w:p>
            <w:pPr>
              <w:pStyle w:val="12"/>
            </w:pPr>
            <w:r>
              <w:t>行政运行</w:t>
            </w:r>
          </w:p>
        </w:tc>
        <w:tc>
          <w:tcPr>
            <w:tcW w:w="2551" w:type="dxa"/>
            <w:vAlign w:val="center"/>
          </w:tcPr>
          <w:p>
            <w:pPr>
              <w:pStyle w:val="11"/>
            </w:pPr>
            <w:r>
              <w:t>217.13</w:t>
            </w:r>
          </w:p>
        </w:tc>
        <w:tc>
          <w:tcPr>
            <w:tcW w:w="2551" w:type="dxa"/>
            <w:vAlign w:val="center"/>
          </w:tcPr>
          <w:p>
            <w:pPr>
              <w:pStyle w:val="11"/>
            </w:pPr>
            <w:r>
              <w:t>217.13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33.99</w:t>
            </w:r>
          </w:p>
        </w:tc>
        <w:tc>
          <w:tcPr>
            <w:tcW w:w="2551" w:type="dxa"/>
            <w:vAlign w:val="center"/>
          </w:tcPr>
          <w:p>
            <w:pPr>
              <w:pStyle w:val="11"/>
            </w:pPr>
            <w:r>
              <w:t>33.99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33.99</w:t>
            </w:r>
          </w:p>
        </w:tc>
        <w:tc>
          <w:tcPr>
            <w:tcW w:w="2551" w:type="dxa"/>
            <w:vAlign w:val="center"/>
          </w:tcPr>
          <w:p>
            <w:pPr>
              <w:pStyle w:val="11"/>
            </w:pPr>
            <w:r>
              <w:t>33.99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10.78</w:t>
            </w:r>
          </w:p>
        </w:tc>
        <w:tc>
          <w:tcPr>
            <w:tcW w:w="2551" w:type="dxa"/>
            <w:vAlign w:val="center"/>
          </w:tcPr>
          <w:p>
            <w:pPr>
              <w:pStyle w:val="11"/>
            </w:pPr>
            <w:r>
              <w:t>10.78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23.21</w:t>
            </w:r>
          </w:p>
        </w:tc>
        <w:tc>
          <w:tcPr>
            <w:tcW w:w="2551" w:type="dxa"/>
            <w:vAlign w:val="center"/>
          </w:tcPr>
          <w:p>
            <w:pPr>
              <w:pStyle w:val="11"/>
            </w:pPr>
            <w:r>
              <w:t>23.21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16.71</w:t>
            </w:r>
          </w:p>
        </w:tc>
        <w:tc>
          <w:tcPr>
            <w:tcW w:w="2551" w:type="dxa"/>
            <w:vAlign w:val="center"/>
          </w:tcPr>
          <w:p>
            <w:pPr>
              <w:pStyle w:val="11"/>
            </w:pPr>
            <w:r>
              <w:t>16.71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16.71</w:t>
            </w:r>
          </w:p>
        </w:tc>
        <w:tc>
          <w:tcPr>
            <w:tcW w:w="2551" w:type="dxa"/>
            <w:vAlign w:val="center"/>
          </w:tcPr>
          <w:p>
            <w:pPr>
              <w:pStyle w:val="11"/>
            </w:pPr>
            <w:r>
              <w:t>16.71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16.71</w:t>
            </w:r>
          </w:p>
        </w:tc>
        <w:tc>
          <w:tcPr>
            <w:tcW w:w="2551" w:type="dxa"/>
            <w:vAlign w:val="center"/>
          </w:tcPr>
          <w:p>
            <w:pPr>
              <w:pStyle w:val="11"/>
            </w:pPr>
            <w:r>
              <w:t>16.71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22.95</w:t>
            </w:r>
          </w:p>
        </w:tc>
        <w:tc>
          <w:tcPr>
            <w:tcW w:w="2551" w:type="dxa"/>
            <w:vAlign w:val="center"/>
          </w:tcPr>
          <w:p>
            <w:pPr>
              <w:pStyle w:val="11"/>
            </w:pPr>
            <w:r>
              <w:t>22.95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22.95</w:t>
            </w:r>
          </w:p>
        </w:tc>
        <w:tc>
          <w:tcPr>
            <w:tcW w:w="2551" w:type="dxa"/>
            <w:vAlign w:val="center"/>
          </w:tcPr>
          <w:p>
            <w:pPr>
              <w:pStyle w:val="11"/>
            </w:pPr>
            <w:r>
              <w:t>22.95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22.95</w:t>
            </w:r>
          </w:p>
        </w:tc>
        <w:tc>
          <w:tcPr>
            <w:tcW w:w="2551" w:type="dxa"/>
            <w:vAlign w:val="center"/>
          </w:tcPr>
          <w:p>
            <w:pPr>
              <w:pStyle w:val="11"/>
            </w:pPr>
            <w:r>
              <w:t>22.95</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316001中共石家庄市鹿泉区委机构编制委员会办公室本级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290.78</w:t>
            </w:r>
          </w:p>
        </w:tc>
        <w:tc>
          <w:tcPr>
            <w:tcW w:w="2551" w:type="dxa"/>
            <w:vAlign w:val="center"/>
          </w:tcPr>
          <w:p>
            <w:pPr>
              <w:pStyle w:val="15"/>
            </w:pPr>
            <w:r>
              <w:t>258.46</w:t>
            </w:r>
          </w:p>
        </w:tc>
        <w:tc>
          <w:tcPr>
            <w:tcW w:w="2551" w:type="dxa"/>
            <w:vAlign w:val="center"/>
          </w:tcPr>
          <w:p>
            <w:pPr>
              <w:pStyle w:val="15"/>
            </w:pPr>
            <w:r>
              <w:t>32.32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248.02</w:t>
            </w:r>
          </w:p>
        </w:tc>
        <w:tc>
          <w:tcPr>
            <w:tcW w:w="2551" w:type="dxa"/>
            <w:vAlign w:val="center"/>
          </w:tcPr>
          <w:p>
            <w:pPr>
              <w:pStyle w:val="11"/>
            </w:pPr>
            <w:r>
              <w:t>248.02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58.87</w:t>
            </w:r>
          </w:p>
        </w:tc>
        <w:tc>
          <w:tcPr>
            <w:tcW w:w="2551" w:type="dxa"/>
            <w:vAlign w:val="center"/>
          </w:tcPr>
          <w:p>
            <w:pPr>
              <w:pStyle w:val="11"/>
            </w:pPr>
            <w:r>
              <w:t>58.87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41.77</w:t>
            </w:r>
          </w:p>
        </w:tc>
        <w:tc>
          <w:tcPr>
            <w:tcW w:w="2551" w:type="dxa"/>
            <w:vAlign w:val="center"/>
          </w:tcPr>
          <w:p>
            <w:pPr>
              <w:pStyle w:val="11"/>
            </w:pPr>
            <w:r>
              <w:t>41.77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43.04</w:t>
            </w:r>
          </w:p>
        </w:tc>
        <w:tc>
          <w:tcPr>
            <w:tcW w:w="2551" w:type="dxa"/>
            <w:vAlign w:val="center"/>
          </w:tcPr>
          <w:p>
            <w:pPr>
              <w:pStyle w:val="11"/>
            </w:pPr>
            <w:r>
              <w:t>43.04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35.51</w:t>
            </w:r>
          </w:p>
        </w:tc>
        <w:tc>
          <w:tcPr>
            <w:tcW w:w="2551" w:type="dxa"/>
            <w:vAlign w:val="center"/>
          </w:tcPr>
          <w:p>
            <w:pPr>
              <w:pStyle w:val="11"/>
            </w:pPr>
            <w:r>
              <w:t>35.51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23.21</w:t>
            </w:r>
          </w:p>
        </w:tc>
        <w:tc>
          <w:tcPr>
            <w:tcW w:w="2551" w:type="dxa"/>
            <w:vAlign w:val="center"/>
          </w:tcPr>
          <w:p>
            <w:pPr>
              <w:pStyle w:val="11"/>
            </w:pPr>
            <w:r>
              <w:t>23.21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9.42</w:t>
            </w:r>
          </w:p>
        </w:tc>
        <w:tc>
          <w:tcPr>
            <w:tcW w:w="2551" w:type="dxa"/>
            <w:vAlign w:val="center"/>
          </w:tcPr>
          <w:p>
            <w:pPr>
              <w:pStyle w:val="11"/>
            </w:pPr>
            <w:r>
              <w:t>9.42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7.29</w:t>
            </w:r>
          </w:p>
        </w:tc>
        <w:tc>
          <w:tcPr>
            <w:tcW w:w="2551" w:type="dxa"/>
            <w:vAlign w:val="center"/>
          </w:tcPr>
          <w:p>
            <w:pPr>
              <w:pStyle w:val="11"/>
            </w:pPr>
            <w:r>
              <w:t>7.29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5.96</w:t>
            </w:r>
          </w:p>
        </w:tc>
        <w:tc>
          <w:tcPr>
            <w:tcW w:w="2551" w:type="dxa"/>
            <w:vAlign w:val="center"/>
          </w:tcPr>
          <w:p>
            <w:pPr>
              <w:pStyle w:val="11"/>
            </w:pPr>
            <w:r>
              <w:t>5.96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22.95</w:t>
            </w:r>
          </w:p>
        </w:tc>
        <w:tc>
          <w:tcPr>
            <w:tcW w:w="2551" w:type="dxa"/>
            <w:vAlign w:val="center"/>
          </w:tcPr>
          <w:p>
            <w:pPr>
              <w:pStyle w:val="11"/>
            </w:pPr>
            <w:r>
              <w:t>22.95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32.32</w:t>
            </w:r>
          </w:p>
        </w:tc>
        <w:tc>
          <w:tcPr>
            <w:tcW w:w="2551" w:type="dxa"/>
            <w:vAlign w:val="center"/>
          </w:tcPr>
          <w:p>
            <w:pPr>
              <w:pStyle w:val="11"/>
            </w:pPr>
          </w:p>
        </w:tc>
        <w:tc>
          <w:tcPr>
            <w:tcW w:w="2551" w:type="dxa"/>
            <w:vAlign w:val="center"/>
          </w:tcPr>
          <w:p>
            <w:pPr>
              <w:pStyle w:val="11"/>
            </w:pPr>
            <w:r>
              <w:t>32.32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7.05</w:t>
            </w:r>
          </w:p>
        </w:tc>
        <w:tc>
          <w:tcPr>
            <w:tcW w:w="2551" w:type="dxa"/>
            <w:vAlign w:val="center"/>
          </w:tcPr>
          <w:p>
            <w:pPr>
              <w:pStyle w:val="11"/>
            </w:pPr>
          </w:p>
        </w:tc>
        <w:tc>
          <w:tcPr>
            <w:tcW w:w="2551" w:type="dxa"/>
            <w:vAlign w:val="center"/>
          </w:tcPr>
          <w:p>
            <w:pPr>
              <w:pStyle w:val="11"/>
            </w:pPr>
            <w:r>
              <w:t>7.05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30202</w:t>
            </w:r>
          </w:p>
        </w:tc>
        <w:tc>
          <w:tcPr>
            <w:tcW w:w="4535" w:type="dxa"/>
            <w:vAlign w:val="center"/>
          </w:tcPr>
          <w:p>
            <w:pPr>
              <w:pStyle w:val="12"/>
            </w:pPr>
            <w:r>
              <w:t>印刷费</w:t>
            </w:r>
          </w:p>
        </w:tc>
        <w:tc>
          <w:tcPr>
            <w:tcW w:w="2551" w:type="dxa"/>
            <w:vAlign w:val="center"/>
          </w:tcPr>
          <w:p>
            <w:pPr>
              <w:pStyle w:val="11"/>
            </w:pPr>
            <w:r>
              <w:t>0.80</w:t>
            </w:r>
          </w:p>
        </w:tc>
        <w:tc>
          <w:tcPr>
            <w:tcW w:w="2551" w:type="dxa"/>
            <w:vAlign w:val="center"/>
          </w:tcPr>
          <w:p>
            <w:pPr>
              <w:pStyle w:val="11"/>
            </w:pPr>
          </w:p>
        </w:tc>
        <w:tc>
          <w:tcPr>
            <w:tcW w:w="2551" w:type="dxa"/>
            <w:vAlign w:val="center"/>
          </w:tcPr>
          <w:p>
            <w:pPr>
              <w:pStyle w:val="11"/>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5.83</w:t>
            </w:r>
          </w:p>
        </w:tc>
        <w:tc>
          <w:tcPr>
            <w:tcW w:w="2551" w:type="dxa"/>
            <w:vAlign w:val="center"/>
          </w:tcPr>
          <w:p>
            <w:pPr>
              <w:pStyle w:val="11"/>
            </w:pPr>
          </w:p>
        </w:tc>
        <w:tc>
          <w:tcPr>
            <w:tcW w:w="2551" w:type="dxa"/>
            <w:vAlign w:val="center"/>
          </w:tcPr>
          <w:p>
            <w:pPr>
              <w:pStyle w:val="11"/>
            </w:pPr>
            <w:r>
              <w:t>5.83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0.50</w:t>
            </w:r>
          </w:p>
        </w:tc>
        <w:tc>
          <w:tcPr>
            <w:tcW w:w="2551" w:type="dxa"/>
            <w:vAlign w:val="center"/>
          </w:tcPr>
          <w:p>
            <w:pPr>
              <w:pStyle w:val="11"/>
            </w:pPr>
          </w:p>
        </w:tc>
        <w:tc>
          <w:tcPr>
            <w:tcW w:w="2551"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0.35</w:t>
            </w:r>
          </w:p>
        </w:tc>
        <w:tc>
          <w:tcPr>
            <w:tcW w:w="2551" w:type="dxa"/>
            <w:vAlign w:val="center"/>
          </w:tcPr>
          <w:p>
            <w:pPr>
              <w:pStyle w:val="11"/>
            </w:pPr>
          </w:p>
        </w:tc>
        <w:tc>
          <w:tcPr>
            <w:tcW w:w="2551" w:type="dxa"/>
            <w:vAlign w:val="center"/>
          </w:tcPr>
          <w:p>
            <w:pPr>
              <w:pStyle w:val="11"/>
            </w:pPr>
            <w:r>
              <w:t>0.35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4.67</w:t>
            </w:r>
          </w:p>
        </w:tc>
        <w:tc>
          <w:tcPr>
            <w:tcW w:w="2551" w:type="dxa"/>
            <w:vAlign w:val="center"/>
          </w:tcPr>
          <w:p>
            <w:pPr>
              <w:pStyle w:val="11"/>
            </w:pPr>
          </w:p>
        </w:tc>
        <w:tc>
          <w:tcPr>
            <w:tcW w:w="2551" w:type="dxa"/>
            <w:vAlign w:val="center"/>
          </w:tcPr>
          <w:p>
            <w:pPr>
              <w:pStyle w:val="11"/>
            </w:pPr>
            <w:r>
              <w:t>4.67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1.29</w:t>
            </w:r>
          </w:p>
        </w:tc>
        <w:tc>
          <w:tcPr>
            <w:tcW w:w="2551" w:type="dxa"/>
            <w:vAlign w:val="center"/>
          </w:tcPr>
          <w:p>
            <w:pPr>
              <w:pStyle w:val="11"/>
            </w:pPr>
          </w:p>
        </w:tc>
        <w:tc>
          <w:tcPr>
            <w:tcW w:w="2551" w:type="dxa"/>
            <w:vAlign w:val="center"/>
          </w:tcPr>
          <w:p>
            <w:pPr>
              <w:pStyle w:val="11"/>
            </w:pPr>
            <w:r>
              <w:t>1.29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1.47</w:t>
            </w:r>
          </w:p>
        </w:tc>
        <w:tc>
          <w:tcPr>
            <w:tcW w:w="2551" w:type="dxa"/>
            <w:vAlign w:val="center"/>
          </w:tcPr>
          <w:p>
            <w:pPr>
              <w:pStyle w:val="11"/>
            </w:pPr>
          </w:p>
        </w:tc>
        <w:tc>
          <w:tcPr>
            <w:tcW w:w="2551" w:type="dxa"/>
            <w:vAlign w:val="center"/>
          </w:tcPr>
          <w:p>
            <w:pPr>
              <w:pStyle w:val="11"/>
            </w:pPr>
            <w:r>
              <w:t>1.47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2.70</w:t>
            </w:r>
          </w:p>
        </w:tc>
        <w:tc>
          <w:tcPr>
            <w:tcW w:w="2551" w:type="dxa"/>
            <w:vAlign w:val="center"/>
          </w:tcPr>
          <w:p>
            <w:pPr>
              <w:pStyle w:val="11"/>
            </w:pPr>
          </w:p>
        </w:tc>
        <w:tc>
          <w:tcPr>
            <w:tcW w:w="2551" w:type="dxa"/>
            <w:vAlign w:val="center"/>
          </w:tcPr>
          <w:p>
            <w:pPr>
              <w:pStyle w:val="11"/>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7.02</w:t>
            </w:r>
          </w:p>
        </w:tc>
        <w:tc>
          <w:tcPr>
            <w:tcW w:w="2551" w:type="dxa"/>
            <w:vAlign w:val="center"/>
          </w:tcPr>
          <w:p>
            <w:pPr>
              <w:pStyle w:val="11"/>
            </w:pPr>
          </w:p>
        </w:tc>
        <w:tc>
          <w:tcPr>
            <w:tcW w:w="2551" w:type="dxa"/>
            <w:vAlign w:val="center"/>
          </w:tcPr>
          <w:p>
            <w:pPr>
              <w:pStyle w:val="11"/>
            </w:pPr>
            <w:r>
              <w:t>7.02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0.63</w:t>
            </w:r>
          </w:p>
        </w:tc>
        <w:tc>
          <w:tcPr>
            <w:tcW w:w="2551" w:type="dxa"/>
            <w:vAlign w:val="center"/>
          </w:tcPr>
          <w:p>
            <w:pPr>
              <w:pStyle w:val="11"/>
            </w:pPr>
          </w:p>
        </w:tc>
        <w:tc>
          <w:tcPr>
            <w:tcW w:w="2551" w:type="dxa"/>
            <w:vAlign w:val="center"/>
          </w:tcPr>
          <w:p>
            <w:pPr>
              <w:pStyle w:val="11"/>
            </w:pPr>
            <w:r>
              <w:t>0.63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10.44</w:t>
            </w:r>
          </w:p>
        </w:tc>
        <w:tc>
          <w:tcPr>
            <w:tcW w:w="2551" w:type="dxa"/>
            <w:vAlign w:val="center"/>
          </w:tcPr>
          <w:p>
            <w:pPr>
              <w:pStyle w:val="11"/>
            </w:pPr>
            <w:r>
              <w:t>10.44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10.44</w:t>
            </w:r>
          </w:p>
        </w:tc>
        <w:tc>
          <w:tcPr>
            <w:tcW w:w="2551" w:type="dxa"/>
            <w:vAlign w:val="center"/>
          </w:tcPr>
          <w:p>
            <w:pPr>
              <w:pStyle w:val="11"/>
            </w:pPr>
            <w:r>
              <w:t>10.44</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316001中共石家庄市鹿泉区委机构编制委员会办公室本级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316001中共石家庄市鹿泉区委机构编制委员会办公室本级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316001中共石家庄市鹿泉区委机构编制委员会办公室本级</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2.70</w:t>
            </w:r>
          </w:p>
        </w:tc>
        <w:tc>
          <w:tcPr>
            <w:tcW w:w="2381" w:type="dxa"/>
            <w:vAlign w:val="center"/>
          </w:tcPr>
          <w:p>
            <w:pPr>
              <w:pStyle w:val="15"/>
            </w:pPr>
            <w:r>
              <w:t>2.70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中共石家庄市鹿泉区委机构编制委员会办公室本级2024年单位预算信息公开情况说明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按照《中华人民共和国预算法》、《地方预决算公开操作规程》和《关于进一步推进预算公开工作的实施意见》规定，现将中共石家庄市鹿泉区委机构编制委员会办公室本级2024年单位预算公开如下：</w:t>
      </w:r>
    </w:p>
    <w:p>
      <w:pPr>
        <w:spacing w:before="10" w:after="10" w:line="500" w:lineRule="exact"/>
        <w:ind w:firstLine="640"/>
        <w:outlineLvl w:val="5"/>
      </w:pPr>
      <w:r>
        <w:rPr>
          <w:rFonts w:ascii="黑体" w:hAnsi="黑体" w:eastAsia="黑体" w:cs="黑体"/>
          <w:color w:val="000000"/>
          <w:sz w:val="32"/>
        </w:rPr>
        <w:t>一、单位职责及机构设置情况</w:t>
      </w:r>
    </w:p>
    <w:p>
      <w:pPr>
        <w:spacing w:line="500" w:lineRule="exact"/>
        <w:ind w:firstLine="640"/>
      </w:pPr>
      <w:r>
        <w:rPr>
          <w:rFonts w:ascii="方正楷体_GBK" w:hAnsi="方正楷体_GBK" w:eastAsia="方正楷体_GBK" w:cs="方正楷体_GBK"/>
          <w:b/>
          <w:color w:val="000000"/>
          <w:sz w:val="32"/>
        </w:rPr>
        <w:t>单位职责：</w:t>
      </w:r>
    </w:p>
    <w:p>
      <w:pPr>
        <w:pStyle w:val="17"/>
      </w:pPr>
      <w:r>
        <w:t>（一）贯彻落实党中央和省、市、区委关于行政管理体制和机构改革以及机构编制管理的政策法规，执行相关政策规定和地方性法规、规章等规范性文件并监督实施。管理和指导区纪委监委机关及其派驻机构、区委各机关、区人大</w:t>
      </w:r>
      <w:r>
        <w:rPr>
          <w:rFonts w:hint="eastAsia"/>
          <w:lang w:eastAsia="zh-CN"/>
        </w:rPr>
        <w:t>常委会</w:t>
      </w:r>
      <w:r>
        <w:t>机关、区政府各部门、区政协机关、人民团体区级机关（以下简称“党政群机关”），以及事业单位机构编制工作。组织开展行政管理体制改革、事业单位管理体制改革及机构编制工作基础性、创新性和前瞻性研究。</w:t>
      </w:r>
    </w:p>
    <w:p>
      <w:pPr>
        <w:pStyle w:val="17"/>
      </w:pPr>
      <w:r>
        <w:t>（二）组织拟订全区行政管理体制改革和区委、区政府机构改革方案并组织实施。负责全区行政管理体制和机构改革以及机构编制管理工作；负责行政执法体制改革工作。</w:t>
      </w:r>
    </w:p>
    <w:p>
      <w:pPr>
        <w:pStyle w:val="17"/>
      </w:pPr>
      <w:r>
        <w:t>（三）按照规定权限，负责区级党政群机关以及部门派出机构的职能配置、机构设置、人员编制和领导职数管理工作；负责协调区委、区政府各部门职能配置及其调整，协调区委、区政府各部门之间以及区直部门与乡（镇、区）之间职责分工。</w:t>
      </w:r>
    </w:p>
    <w:p>
      <w:pPr>
        <w:pStyle w:val="17"/>
      </w:pPr>
      <w:r>
        <w:t>（四）组织拟订全区事业单位管理体制改革和机构改革方案。拟订各类事业单位人员编制管理办法并组织实施。按照规定权限，负责区委、区政府直属事业单位和区直部门所属事业单位的职能配置、机构设置、人员编制和领导职数管理工作。</w:t>
      </w:r>
    </w:p>
    <w:p>
      <w:pPr>
        <w:pStyle w:val="17"/>
      </w:pPr>
      <w:r>
        <w:t>（五）负责各乡（镇）的行政管理体制改革、事业单位管理体制改革和机构改革工作，审核上报机构改革方案。审核上报各乡（镇）机构编制分类。</w:t>
      </w:r>
    </w:p>
    <w:p>
      <w:pPr>
        <w:pStyle w:val="17"/>
      </w:pPr>
      <w:r>
        <w:t>（六）负责全区党政群机关统一社会信用代码赋码管理工作，负责全区事业单位法人登记管理和监督检查工作。</w:t>
      </w:r>
    </w:p>
    <w:p>
      <w:pPr>
        <w:pStyle w:val="17"/>
      </w:pPr>
      <w:r>
        <w:t>（七）负责全区开发区（园区）行政管理体制改革工作。贯彻落实开发区（园区）机构编制管理办法；负责全区开发区（园区）职能配置、机构设置、人员编制和领导职数审核及上报工作。</w:t>
      </w:r>
    </w:p>
    <w:p>
      <w:pPr>
        <w:pStyle w:val="17"/>
      </w:pPr>
      <w:r>
        <w:t>（八）负责全区机构编制的总量控制、动态管理。组织拟订区本级年度编制使用计划，审核全区机关事业单位招录、招聘和政策性安置等计划；负责全区机关事业单位编制使用核准；负责机构编制实名制管理工作；建立健全机构编制部门与有关部门的协调配合约束机制。</w:t>
      </w:r>
    </w:p>
    <w:p>
      <w:pPr>
        <w:pStyle w:val="17"/>
      </w:pPr>
      <w:r>
        <w:t>（九）负责跟踪评估、监督检查全区行政、事业单位管理体制改革、机构改革及机构编制政策执行情况；负责受理违反机构编制法规、纪律的检举、控告和投诉，对违反机构编制法规、纪律问题进行调查处理。</w:t>
      </w:r>
    </w:p>
    <w:p>
      <w:pPr>
        <w:pStyle w:val="17"/>
      </w:pPr>
      <w:r>
        <w:t>（十）负责全区机构编制电子政务和信息化工作。负责全区机构编制统计工作；负责机构编制网站的管理、使用和维护；负责党政群机关、事业单位网上名称管理工作。</w:t>
      </w:r>
    </w:p>
    <w:p>
      <w:pPr>
        <w:pStyle w:val="17"/>
      </w:pPr>
      <w:r>
        <w:t>（十一）完成区委、区政府和区委机构编制委员会交办的其他任务。</w:t>
      </w:r>
    </w:p>
    <w:p>
      <w:pPr>
        <w:pStyle w:val="17"/>
      </w:pPr>
      <w:r>
        <w:t>（十二）有关职责分工。</w:t>
      </w:r>
    </w:p>
    <w:p>
      <w:pPr>
        <w:pStyle w:val="17"/>
      </w:pPr>
      <w:r>
        <w:t>区委编办负责全区公益类事业单位管理体制改革工作。区发展和改革局负责生产经营类事业单位管理体制改革工作。</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中共石家庄市鹿泉区委机构编制委员会办公室本级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290.78万元，其中：一般公共预算收入290.78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中共石家庄市鹿泉区委机构编制委员会办公室本级年度单位预算中支出预算的总体情况。2024年支出预算290.78万元，其中基本支出290.78万元，包括人员经费258.46万元和日常公用经费32.32万元；项目支出0.00万元，主要为避免给我区财政资金造成浪费，预算时暂停原项目经费，结合事业单位改革等改革工作统一部署的推进情况，对所需项目经费酌情变化，根据实际情况合理申请资金；上年结转安排0万元。</w:t>
      </w:r>
    </w:p>
    <w:p>
      <w:pPr>
        <w:pStyle w:val="18"/>
      </w:pPr>
      <w:r>
        <w:t>3、比上年增减情况</w:t>
      </w:r>
    </w:p>
    <w:p>
      <w:pPr>
        <w:pStyle w:val="18"/>
      </w:pPr>
      <w:r>
        <w:t>2024年预算收支安排290.78万元，较2023年预算增加18.37万元，其中：基本支出增加18.37万元，主要为人员经费增加21.24万元、日常公用经费减少2.87万元。项目支出增加0.00万元，主要为避免给我区财政资金造成浪费，暂停原项目经费</w:t>
      </w:r>
      <w:r>
        <w:rPr>
          <w:rFonts w:hint="eastAsia"/>
          <w:lang w:eastAsia="zh-CN"/>
        </w:rPr>
        <w:t>，与上年持平</w:t>
      </w:r>
      <w:r>
        <w:t>；结转安排增加0万元，与</w:t>
      </w:r>
      <w:r>
        <w:rPr>
          <w:rFonts w:hint="eastAsia"/>
          <w:lang w:eastAsia="zh-CN"/>
        </w:rPr>
        <w:t>上年</w:t>
      </w:r>
      <w:r>
        <w:t>持平。</w:t>
      </w:r>
    </w:p>
    <w:p>
      <w:pPr>
        <w:spacing w:before="10" w:after="10"/>
        <w:ind w:firstLine="640"/>
        <w:outlineLvl w:val="5"/>
      </w:pPr>
      <w:r>
        <w:rPr>
          <w:rFonts w:ascii="黑体" w:hAnsi="黑体" w:eastAsia="黑体" w:cs="黑体"/>
          <w:color w:val="000000"/>
          <w:sz w:val="32"/>
        </w:rPr>
        <w:t>三、机关运行经费安排情况</w:t>
      </w:r>
    </w:p>
    <w:p>
      <w:pPr>
        <w:pStyle w:val="26"/>
      </w:pPr>
      <w:r>
        <w:t>2024年，我</w:t>
      </w:r>
      <w:r>
        <w:rPr>
          <w:rFonts w:hint="eastAsia"/>
          <w:lang w:eastAsia="zh-CN"/>
        </w:rPr>
        <w:t>单位</w:t>
      </w:r>
      <w:r>
        <w:t>机关运行经费共计安排32.32万元，主要用于日常维修、</w:t>
      </w:r>
      <w:r>
        <w:rPr>
          <w:rFonts w:hint="eastAsia" w:eastAsiaTheme="minorEastAsia"/>
          <w:lang w:eastAsia="zh-CN"/>
        </w:rPr>
        <w:t>保证机关正常运转的办公及印刷费、邮电费、一般设备购置、工会经费</w:t>
      </w:r>
      <w:r>
        <w:t>等日常运行支出。</w:t>
      </w:r>
    </w:p>
    <w:p>
      <w:pPr>
        <w:spacing w:before="10" w:after="10" w:line="500" w:lineRule="exact"/>
        <w:ind w:firstLine="640"/>
        <w:outlineLvl w:val="5"/>
        <w:rPr>
          <w:rFonts w:hint="eastAsia" w:ascii="黑体" w:hAnsi="黑体" w:eastAsia="黑体" w:cs="黑体"/>
          <w:color w:val="000000"/>
          <w:sz w:val="32"/>
          <w:lang w:eastAsia="zh-CN"/>
        </w:rPr>
      </w:pPr>
      <w:r>
        <w:rPr>
          <w:rFonts w:ascii="黑体" w:hAnsi="黑体" w:eastAsia="黑体" w:cs="黑体"/>
          <w:color w:val="000000"/>
          <w:sz w:val="32"/>
        </w:rPr>
        <w:t>四、财政拨款“三公”经费预算情况及增减变化原因</w:t>
      </w:r>
    </w:p>
    <w:p>
      <w:pPr>
        <w:pStyle w:val="27"/>
        <w:spacing w:before="10" w:after="10"/>
      </w:pPr>
      <w:r>
        <w:t>2024年，我部门财政拨款“三公”经费预算安排2.70万元，其中因公出国（境）费0.00万元；公务用车购置及运维费2.70万元（其中：公务用车购置费为0.00万元，公务用车运维费2.70万元)；公务接待费0.00万元。与2023年相比增加0.00万元， “三公”经费与上年持平，无增减变化。</w:t>
      </w:r>
    </w:p>
    <w:p>
      <w:pPr>
        <w:spacing w:before="10" w:after="10" w:line="500" w:lineRule="exact"/>
        <w:ind w:firstLine="640"/>
        <w:outlineLvl w:val="5"/>
        <w:rPr>
          <w:rFonts w:hint="eastAsia" w:ascii="黑体" w:hAnsi="黑体" w:eastAsia="黑体" w:cs="黑体"/>
          <w:color w:val="000000"/>
          <w:sz w:val="32"/>
          <w:lang w:eastAsia="zh-CN"/>
        </w:rPr>
      </w:pPr>
      <w:r>
        <w:rPr>
          <w:rFonts w:ascii="黑体" w:hAnsi="黑体" w:eastAsia="黑体" w:cs="黑体"/>
          <w:color w:val="000000"/>
          <w:sz w:val="32"/>
        </w:rPr>
        <w:t>五、单位项目预算安排情况及绩效目标</w:t>
      </w:r>
    </w:p>
    <w:p>
      <w:pPr>
        <w:spacing w:line="500" w:lineRule="exact"/>
        <w:ind w:firstLine="641"/>
        <w:outlineLvl w:val="2"/>
        <w:rPr>
          <w:rFonts w:hint="eastAsia" w:eastAsia="方正仿宋_GBK"/>
          <w:sz w:val="28"/>
        </w:rPr>
      </w:pPr>
      <w:r>
        <w:rPr>
          <w:rFonts w:hint="eastAsia" w:eastAsia="方正仿宋_GBK"/>
          <w:sz w:val="28"/>
        </w:rPr>
        <w:t>2024年我</w:t>
      </w:r>
      <w:r>
        <w:rPr>
          <w:rFonts w:hint="eastAsia" w:eastAsia="方正仿宋_GBK"/>
          <w:sz w:val="28"/>
          <w:lang w:eastAsia="zh-CN"/>
        </w:rPr>
        <w:t>单位</w:t>
      </w:r>
      <w:r>
        <w:rPr>
          <w:rFonts w:hint="eastAsia" w:eastAsia="方正仿宋_GBK"/>
          <w:sz w:val="28"/>
        </w:rPr>
        <w:t>无项目预算安排。</w:t>
      </w:r>
    </w:p>
    <w:p>
      <w:pPr>
        <w:spacing w:before="10" w:after="10" w:line="500" w:lineRule="exact"/>
        <w:ind w:firstLine="640"/>
        <w:outlineLvl w:val="5"/>
        <w:rPr>
          <w:rFonts w:hint="eastAsia" w:ascii="黑体" w:hAnsi="黑体" w:eastAsia="黑体" w:cs="黑体"/>
          <w:color w:val="000000"/>
          <w:sz w:val="32"/>
          <w:lang w:eastAsia="zh-CN"/>
        </w:rPr>
      </w:pPr>
      <w:r>
        <w:rPr>
          <w:rFonts w:ascii="黑体" w:hAnsi="黑体" w:eastAsia="黑体" w:cs="黑体"/>
          <w:color w:val="000000"/>
          <w:sz w:val="32"/>
        </w:rPr>
        <w:t>六、政府采购预算情况</w:t>
      </w:r>
    </w:p>
    <w:p>
      <w:pPr>
        <w:spacing w:beforeLines="50" w:afterLines="50" w:line="500" w:lineRule="exact"/>
        <w:ind w:firstLine="561"/>
        <w:rPr>
          <w:rFonts w:eastAsiaTheme="minorEastAsia"/>
          <w:color w:val="000000"/>
          <w:sz w:val="28"/>
          <w:lang w:eastAsia="zh-CN"/>
        </w:rPr>
      </w:pPr>
      <w:r>
        <w:rPr>
          <w:rFonts w:eastAsia="方正仿宋_GBK"/>
          <w:color w:val="000000"/>
          <w:sz w:val="28"/>
        </w:rPr>
        <w:t>202</w:t>
      </w:r>
      <w:r>
        <w:rPr>
          <w:rFonts w:hint="eastAsia" w:eastAsia="方正仿宋_GBK"/>
          <w:color w:val="000000"/>
          <w:sz w:val="28"/>
          <w:lang w:eastAsia="zh-CN"/>
        </w:rPr>
        <w:t>4</w:t>
      </w:r>
      <w:r>
        <w:rPr>
          <w:rFonts w:eastAsia="方正仿宋_GBK"/>
          <w:color w:val="000000"/>
          <w:sz w:val="28"/>
        </w:rPr>
        <w:t>年，中共石家庄市鹿泉区委机构编制委员会办公室安排政府采购预算0.00万元。具体内容见下表。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316001中共石家庄市鹿泉区委机构编制委员会办公室本级</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rPr>
          <w:rFonts w:hint="eastAsia" w:eastAsiaTheme="minorEastAsia"/>
          <w:lang w:eastAsia="zh-CN"/>
        </w:rPr>
      </w:pPr>
      <w:r>
        <w:rPr>
          <w:rFonts w:ascii="方正书宋_GBK" w:hAnsi="方正书宋_GBK" w:eastAsia="方正书宋_GBK" w:cs="方正书宋_GBK"/>
          <w:color w:val="000000"/>
          <w:sz w:val="21"/>
        </w:rPr>
        <w:t>注：无政府采购预算，空表列示。</w:t>
      </w:r>
    </w:p>
    <w:p>
      <w:pPr>
        <w:spacing w:before="10" w:after="10" w:line="500" w:lineRule="exact"/>
        <w:ind w:firstLine="641"/>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中共石家庄市鹿泉区委机构编制委员会办公室本级上年末固定资产金额为4.57万元（详见下表）。本年度拟购置固定资产总额为1.50万元。</w:t>
      </w:r>
    </w:p>
    <w:p>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316001中共石家庄市鹿泉区委机构编制委员会办公室本级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rPr>
                <w:rFonts w:hint="default" w:eastAsia="方正书宋_GBK"/>
                <w:lang w:val="en-US" w:eastAsia="zh-CN"/>
              </w:rPr>
            </w:pPr>
            <w:r>
              <w:rPr>
                <w:rFonts w:hint="eastAsia"/>
                <w:lang w:val="en-US" w:eastAsia="zh-CN"/>
              </w:rPr>
              <w:t>102</w:t>
            </w:r>
          </w:p>
        </w:tc>
        <w:tc>
          <w:tcPr>
            <w:tcW w:w="2835" w:type="dxa"/>
            <w:vAlign w:val="center"/>
          </w:tcPr>
          <w:p>
            <w:pPr>
              <w:pStyle w:val="11"/>
            </w:pPr>
            <w:r>
              <w:t>4.57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rPr>
                <w:rFonts w:hint="eastAsia" w:eastAsia="方正书宋_GBK"/>
                <w:lang w:val="en-US" w:eastAsia="zh-CN"/>
              </w:rPr>
            </w:pPr>
            <w:r>
              <w:rPr>
                <w:rFonts w:hint="eastAsia"/>
                <w:lang w:val="en-US" w:eastAsia="zh-CN"/>
              </w:rPr>
              <w:t>1</w:t>
            </w:r>
            <w:bookmarkStart w:id="1" w:name="_GoBack"/>
            <w:bookmarkEnd w:id="1"/>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101</w:t>
            </w:r>
          </w:p>
        </w:tc>
        <w:tc>
          <w:tcPr>
            <w:tcW w:w="2835" w:type="dxa"/>
            <w:vAlign w:val="center"/>
          </w:tcPr>
          <w:p>
            <w:pPr>
              <w:pStyle w:val="11"/>
            </w:pPr>
            <w:r>
              <w:t>4.57</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w:t>
      </w:r>
      <w:r>
        <w:rPr>
          <w:rFonts w:hint="eastAsia" w:eastAsia="方正仿宋_GBK"/>
          <w:color w:val="000000"/>
          <w:sz w:val="28"/>
          <w:lang w:eastAsia="zh-CN"/>
        </w:rPr>
        <w:t>区级</w:t>
      </w:r>
      <w:r>
        <w:rPr>
          <w:rFonts w:eastAsia="方正仿宋_GBK"/>
          <w:color w:val="000000"/>
          <w:sz w:val="28"/>
        </w:rPr>
        <w:t>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panose1 w:val="03000509000000000000"/>
    <w:charset w:val="86"/>
    <w:family w:val="script"/>
    <w:pitch w:val="default"/>
    <w:sig w:usb0="00000001" w:usb1="080E0000" w:usb2="00000000" w:usb3="00000000" w:csb0="0004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B30B4B"/>
    <w:rsid w:val="000479C8"/>
    <w:rsid w:val="00096B25"/>
    <w:rsid w:val="002B4B22"/>
    <w:rsid w:val="0036428F"/>
    <w:rsid w:val="00377EA2"/>
    <w:rsid w:val="003A0228"/>
    <w:rsid w:val="0080205D"/>
    <w:rsid w:val="00843F13"/>
    <w:rsid w:val="00852392"/>
    <w:rsid w:val="008613B3"/>
    <w:rsid w:val="008864F3"/>
    <w:rsid w:val="008A2E98"/>
    <w:rsid w:val="0098275F"/>
    <w:rsid w:val="00B30B4B"/>
    <w:rsid w:val="00C57F9C"/>
    <w:rsid w:val="00DF6284"/>
    <w:rsid w:val="00E5610D"/>
    <w:rsid w:val="06597B62"/>
    <w:rsid w:val="0D0F5BDD"/>
    <w:rsid w:val="218B0762"/>
    <w:rsid w:val="2C9E3A04"/>
    <w:rsid w:val="45051B7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Theme="minorEastAsia"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25"/>
    <w:semiHidden/>
    <w:unhideWhenUsed/>
    <w:qFormat/>
    <w:uiPriority w:val="99"/>
    <w:pPr>
      <w:tabs>
        <w:tab w:val="center" w:pos="4153"/>
        <w:tab w:val="right" w:pos="8306"/>
      </w:tabs>
      <w:snapToGrid w:val="0"/>
    </w:pPr>
    <w:rPr>
      <w:sz w:val="18"/>
      <w:szCs w:val="18"/>
    </w:rPr>
  </w:style>
  <w:style w:type="paragraph" w:styleId="3">
    <w:name w:val="header"/>
    <w:basedOn w:val="1"/>
    <w:link w:val="24"/>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line="500" w:lineRule="exact"/>
      <w:ind w:firstLine="560"/>
    </w:pPr>
    <w:rPr>
      <w:rFonts w:eastAsia="方正仿宋_GBK"/>
      <w:sz w:val="28"/>
    </w:rPr>
  </w:style>
  <w:style w:type="paragraph" w:customStyle="1" w:styleId="18">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单元格样式23"/>
    <w:basedOn w:val="1"/>
    <w:qFormat/>
    <w:uiPriority w:val="0"/>
    <w:pPr>
      <w:jc w:val="right"/>
    </w:pPr>
    <w:rPr>
      <w:rFonts w:ascii="方正书宋_GBK" w:hAnsi="方正书宋_GBK" w:eastAsia="方正书宋_GBK" w:cs="方正书宋_GBK"/>
    </w:rPr>
  </w:style>
  <w:style w:type="paragraph" w:customStyle="1" w:styleId="22">
    <w:name w:val="TOC 4"/>
    <w:basedOn w:val="1"/>
    <w:qFormat/>
    <w:uiPriority w:val="0"/>
    <w:pPr>
      <w:ind w:left="720"/>
    </w:pPr>
  </w:style>
  <w:style w:type="paragraph" w:customStyle="1" w:styleId="23">
    <w:name w:val="TOC 1"/>
    <w:basedOn w:val="1"/>
    <w:qFormat/>
    <w:uiPriority w:val="0"/>
    <w:pPr>
      <w:spacing w:before="120"/>
      <w:ind w:firstLine="560"/>
    </w:pPr>
    <w:rPr>
      <w:rFonts w:eastAsia="方正仿宋_GBK"/>
      <w:color w:val="000000"/>
      <w:sz w:val="28"/>
    </w:rPr>
  </w:style>
  <w:style w:type="character" w:customStyle="1" w:styleId="24">
    <w:name w:val="页眉 Char"/>
    <w:basedOn w:val="6"/>
    <w:link w:val="3"/>
    <w:semiHidden/>
    <w:qFormat/>
    <w:uiPriority w:val="99"/>
    <w:rPr>
      <w:rFonts w:eastAsia="Times New Roman"/>
      <w:sz w:val="18"/>
      <w:szCs w:val="18"/>
      <w:lang w:eastAsia="uk-UA"/>
    </w:rPr>
  </w:style>
  <w:style w:type="character" w:customStyle="1" w:styleId="25">
    <w:name w:val="页脚 Char"/>
    <w:basedOn w:val="6"/>
    <w:link w:val="2"/>
    <w:semiHidden/>
    <w:qFormat/>
    <w:uiPriority w:val="99"/>
    <w:rPr>
      <w:rFonts w:eastAsia="Times New Roman"/>
      <w:sz w:val="18"/>
      <w:szCs w:val="18"/>
      <w:lang w:eastAsia="uk-UA"/>
    </w:rPr>
  </w:style>
  <w:style w:type="paragraph" w:customStyle="1" w:styleId="26">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7">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ops>
</s:customData>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2024-02-23T14:13:25Z</dcterms:created>
  <dcterms:modified xsi:type="dcterms:W3CDTF">2024-02-23T06:13:25Z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2024-02-23T14:13:19Z</dcterms:created>
  <dcterms:modified xsi:type="dcterms:W3CDTF">2024-02-23T06:13:19Z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2024-02-23T14:13:23Z</dcterms:created>
  <dcterms:modified xsi:type="dcterms:W3CDTF">2024-02-23T06:13:23Z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D255C788-9AE0-4B45-A456-DDF6124CA1F7}">
  <ds:schemaRefs/>
</ds:datastoreItem>
</file>

<file path=customXml/itemProps3.xml><?xml version="1.0" encoding="utf-8"?>
<ds:datastoreItem xmlns:ds="http://schemas.openxmlformats.org/officeDocument/2006/customXml" ds:itemID="{5FB37CA3-B298-4C21-81BD-499C2371142C}">
  <ds:schemaRefs/>
</ds:datastoreItem>
</file>

<file path=customXml/itemProps4.xml><?xml version="1.0" encoding="utf-8"?>
<ds:datastoreItem xmlns:ds="http://schemas.openxmlformats.org/officeDocument/2006/customXml" ds:itemID="{6974760C-75EE-483A-ADC9-D0B3A7D77907}">
  <ds:schemaRefs/>
</ds:datastoreItem>
</file>

<file path=customXml/itemProps5.xml><?xml version="1.0" encoding="utf-8"?>
<ds:datastoreItem xmlns:ds="http://schemas.openxmlformats.org/officeDocument/2006/customXml" ds:itemID="{C4396819-2F7A-471A-94EE-FCE1C557B676}">
  <ds:schemaRefs/>
</ds:datastoreItem>
</file>

<file path=customXml/itemProps6.xml><?xml version="1.0" encoding="utf-8"?>
<ds:datastoreItem xmlns:ds="http://schemas.openxmlformats.org/officeDocument/2006/customXml" ds:itemID="{E4516810-9576-4303-9CB8-832A4CEF291D}">
  <ds:schemaRefs/>
</ds:datastoreItem>
</file>

<file path=customXml/itemProps7.xml><?xml version="1.0" encoding="utf-8"?>
<ds:datastoreItem xmlns:ds="http://schemas.openxmlformats.org/officeDocument/2006/customXml" ds:itemID="{02F81F4D-2AEF-45C7-8478-98EC7D402184}">
  <ds:schemaRefs/>
</ds:datastoreItem>
</file>

<file path=docProps/app.xml><?xml version="1.0" encoding="utf-8"?>
<Properties xmlns="http://schemas.openxmlformats.org/officeDocument/2006/extended-properties" xmlns:vt="http://schemas.openxmlformats.org/officeDocument/2006/docPropsVTypes">
  <Template>Normal.dotm</Template>
  <Pages>22</Pages>
  <Words>1366</Words>
  <Characters>7790</Characters>
  <Lines>64</Lines>
  <Paragraphs>18</Paragraphs>
  <TotalTime>14</TotalTime>
  <ScaleCrop>false</ScaleCrop>
  <LinksUpToDate>false</LinksUpToDate>
  <CharactersWithSpaces>9138</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2024-02-23T14:13:00Z</dcterms:created>
  <dc:creator>Administrator</dc:creator>
  <cp:lastModifiedBy>Administrator</cp:lastModifiedBy>
  <dcterms:modified xsi:type="dcterms:W3CDTF">2024-08-13T09:22:06Z</dcterms:modified>
  <cp:revision>17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ies>
</file>