
<file path=[Content_Types].xml><?xml version="1.0" encoding="utf-8"?>
<Types xmlns="http://schemas.openxmlformats.org/package/2006/content-types">
  <Default Extension="xml" ContentType="application/xml"/>
  <Default Extension="emf" ContentType="image/x-emf"/>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ectPr>
          <w:headerReference r:id="rId3" w:type="default"/>
          <w:headerReference r:id="rId4" w:type="even"/>
          <w:footerReference r:id="rId5" w:type="even"/>
          <w:pgSz w:w="11906" w:h="16838"/>
          <w:pgMar w:top="0" w:right="0" w:bottom="0" w:left="0" w:header="851" w:footer="992" w:gutter="0"/>
          <w:cols w:space="425" w:num="1"/>
          <w:titlePg/>
          <w:docGrid w:type="lines" w:linePitch="312" w:charSpace="0"/>
        </w:sectPr>
      </w:pPr>
      <w:r>
        <mc:AlternateContent>
          <mc:Choice Requires="wps">
            <w:drawing>
              <wp:anchor distT="0" distB="0" distL="114300" distR="114300" simplePos="0" relativeHeight="251667456" behindDoc="0" locked="0" layoutInCell="1" allowOverlap="1">
                <wp:simplePos x="0" y="0"/>
                <wp:positionH relativeFrom="column">
                  <wp:posOffset>1349375</wp:posOffset>
                </wp:positionH>
                <wp:positionV relativeFrom="paragraph">
                  <wp:posOffset>8808085</wp:posOffset>
                </wp:positionV>
                <wp:extent cx="5132705" cy="1015365"/>
                <wp:effectExtent l="0" t="0" r="0" b="0"/>
                <wp:wrapNone/>
                <wp:docPr id="1" name="文本框 10"/>
                <wp:cNvGraphicFramePr/>
                <a:graphic xmlns:a="http://schemas.openxmlformats.org/drawingml/2006/main">
                  <a:graphicData uri="http://schemas.microsoft.com/office/word/2010/wordprocessingShape">
                    <wps:wsp>
                      <wps:cNvSpPr txBox="1"/>
                      <wps:spPr>
                        <a:xfrm>
                          <a:off x="0" y="0"/>
                          <a:ext cx="5132705" cy="1015365"/>
                        </a:xfrm>
                        <a:prstGeom prst="rect">
                          <a:avLst/>
                        </a:prstGeom>
                        <a:noFill/>
                      </wps:spPr>
                      <wps:txbx>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wps:txbx>
                      <wps:bodyPr wrap="square" rtlCol="0">
                        <a:spAutoFit/>
                      </wps:bodyPr>
                    </wps:wsp>
                  </a:graphicData>
                </a:graphic>
              </wp:anchor>
            </w:drawing>
          </mc:Choice>
          <mc:Fallback>
            <w:pict>
              <v:shape id="文本框 10" o:spid="_x0000_s1026" o:spt="202" type="#_x0000_t202" style="position:absolute;left:0pt;margin-left:106.25pt;margin-top:693.55pt;height:79.95pt;width:404.15pt;z-index:251667456;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fill on="f" focussize="0,0"/>
                <v:stroke on="f"/>
                <v:imagedata o:title=""/>
                <o:lock v:ext="edit" aspectratio="f"/>
                <v:textbox style="mso-fit-shape-to-text:t;">
                  <w:txbxContent>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9"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8" o:spid="_x0000_s1026" o:spt="3" type="#_x0000_t3" style="position:absolute;left:0pt;margin-left:53.5pt;margin-top:232.45pt;height:121.95pt;width:121.95pt;z-index:251662336;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ER5Z73WAQAAhwMAAA4AAAAA&#10;AAAAAQAgAAAAKAEAAGRycy9lMm9Eb2MueG1sUEsFBgAAAAAGAAYAWQEAAHAFA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s">
            <w:drawing>
              <wp:anchor distT="0" distB="0" distL="114300" distR="114300" simplePos="0" relativeHeight="251678720"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15"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wps:txbx>
                      <wps:bodyPr wrap="square">
                        <a:spAutoFit/>
                      </wps:bodyPr>
                    </wps:wsp>
                  </a:graphicData>
                </a:graphic>
              </wp:anchor>
            </w:drawing>
          </mc:Choice>
          <mc:Fallback>
            <w:pict>
              <v:rect id="矩形 14" o:spid="_x0000_s1026" o:spt="1" style="position:absolute;left:0pt;margin-left:33.6pt;margin-top:256.75pt;height:69.6pt;width:160.65pt;z-index:251678720;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UowsHJYBAAD5AgAADgAAAAAAAAABACAA&#10;AAAoAQAAZHJzL2Uyb0RvYy54bWxQSwUGAAAAAAYABgBZAQAAM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mc:AlternateContent>
          <mc:Choice Requires="wps">
            <w:drawing>
              <wp:anchor distT="0" distB="0" distL="114300" distR="114300" simplePos="0" relativeHeight="251677696"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10"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pPr>
                              <w:jc w:val="center"/>
                            </w:pPr>
                          </w:p>
                        </w:txbxContent>
                      </wps:txbx>
                      <wps:bodyPr rtlCol="0" anchor="ctr"/>
                    </wps:wsp>
                  </a:graphicData>
                </a:graphic>
              </wp:anchor>
            </w:drawing>
          </mc:Choice>
          <mc:Fallback>
            <w:pict>
              <v:shape id="椭圆 9" o:spid="_x0000_s1026" o:spt="3" type="#_x0000_t3" style="position:absolute;left:0pt;margin-left:62.2pt;margin-top:242.75pt;height:103.45pt;width:103.45pt;z-index:251677696;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fill on="t" focussize="0,0"/>
                <v:stroke on="f" weight="1pt" miterlimit="8" joinstyle="miter"/>
                <v:imagedata o:title=""/>
                <o:lock v:ext="edit" aspectratio="f"/>
                <v:textbox>
                  <w:txbxContent>
                    <w:p>
                      <w:pPr>
                        <w:jc w:val="center"/>
                      </w:pPr>
                    </w:p>
                  </w:txbxContent>
                </v:textbox>
              </v:shape>
            </w:pict>
          </mc:Fallback>
        </mc:AlternateContent>
      </w:r>
      <w:r>
        <mc:AlternateContent>
          <mc:Choice Requires="wpg">
            <w:drawing>
              <wp:anchor distT="0" distB="0" distL="114300" distR="114300" simplePos="0" relativeHeight="251665408"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13" name="组合 13"/>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7"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w:pict>
              <v:group id="_x0000_s1026" o:spid="_x0000_s1026" o:spt="203" style="position:absolute;left:0pt;margin-left:1.25pt;margin-top:821.7pt;height:21.45pt;width:595.25pt;z-index:251665408;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aspectratio="f"/>
                <v:rect id="矩形 6" o:spid="_x0000_s1026"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79744" behindDoc="1" locked="0" layoutInCell="1" allowOverlap="1">
                <wp:simplePos x="0" y="0"/>
                <wp:positionH relativeFrom="column">
                  <wp:posOffset>-31750</wp:posOffset>
                </wp:positionH>
                <wp:positionV relativeFrom="paragraph">
                  <wp:posOffset>0</wp:posOffset>
                </wp:positionV>
                <wp:extent cx="7623175" cy="4090670"/>
                <wp:effectExtent l="0" t="0" r="15875" b="0"/>
                <wp:wrapNone/>
                <wp:docPr id="4" name="组合 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6"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11" name="文本框 10"/>
                        <wps:cNvSpPr txBox="1"/>
                        <wps:spPr>
                          <a:xfrm>
                            <a:off x="17229" y="5021"/>
                            <a:ext cx="8083" cy="1704"/>
                          </a:xfrm>
                          <a:prstGeom prst="rect">
                            <a:avLst/>
                          </a:prstGeom>
                          <a:noFill/>
                        </wps:spPr>
                        <wps:txbx>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wps:txbx>
                        <wps:bodyPr wrap="square" rtlCol="0">
                          <a:spAutoFit/>
                        </wps:bodyPr>
                      </wps:wsp>
                    </wpg:wgp>
                  </a:graphicData>
                </a:graphic>
              </wp:anchor>
            </w:drawing>
          </mc:Choice>
          <mc:Fallback>
            <w:pict>
              <v:group id="_x0000_s1026" o:spid="_x0000_s1026" o:spt="203" style="position:absolute;left:0pt;margin-left:-2.5pt;margin-top:0pt;height:322.1pt;width:600.25pt;z-index:-251636736;mso-width-relative:page;mso-height-relative:page;" coordorigin="13622,283" coordsize="12005,6442"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aspectratio="f"/>
                <v:rect id="矩形 5" o:spid="_x0000_s102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mc:AlternateContent>
          <mc:Choice Requires="wps">
            <w:drawing>
              <wp:anchor distT="0" distB="0" distL="114300" distR="114300" simplePos="0" relativeHeight="251666432"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12"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pPr/>
                          </w:p>
                        </w:txbxContent>
                      </wps:txbx>
                      <wps:bodyPr wrap="none">
                        <a:spAutoFit/>
                      </wps:bodyPr>
                    </wps:wsp>
                  </a:graphicData>
                </a:graphic>
              </wp:anchor>
            </w:drawing>
          </mc:Choice>
          <mc:Fallback>
            <w:pict>
              <v:rect id="矩形 11" o:spid="_x0000_s1026" o:spt="1" style="position:absolute;left:0pt;margin-left:184.75pt;margin-top:286.6pt;height:31.25pt;width:339.65pt;mso-wrap-style:none;z-index:251666432;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fill on="f" focussize="0,0"/>
                <v:stroke on="f"/>
                <v:imagedata o:title=""/>
                <o:lock v:ext="edit" aspectratio="f"/>
                <v:textbox style="mso-fit-shape-to-text:t;">
                  <w:txbxContent>
                    <w:p>
                      <w:pPr/>
                    </w:p>
                  </w:txbxContent>
                </v:textbox>
              </v:rect>
            </w:pict>
          </mc:Fallback>
        </mc:AlternateContent>
      </w:r>
    </w:p>
    <w:p>
      <w:pPr/>
    </w:p>
    <w:p>
      <w:pPr>
        <w:jc w:val="center"/>
        <w:rPr>
          <w:rFonts w:ascii="黑体" w:hAnsi="黑体" w:eastAsia="黑体" w:cs="黑体"/>
          <w:sz w:val="56"/>
          <w:szCs w:val="72"/>
        </w:rPr>
      </w:pPr>
    </w:p>
    <w:p>
      <w:pPr>
        <w:jc w:val="center"/>
        <w:rPr>
          <w:rFonts w:ascii="黑体" w:hAnsi="黑体" w:eastAsia="黑体" w:cs="黑体"/>
          <w:sz w:val="56"/>
          <w:szCs w:val="72"/>
        </w:r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hint="eastAsia" w:ascii="黑体" w:hAnsi="黑体" w:eastAsia="黑体" w:cs="黑体"/>
          <w:sz w:val="56"/>
          <w:szCs w:val="72"/>
          <w:lang w:val="en-US" w:eastAsia="zh-CN"/>
        </w:rPr>
      </w:pPr>
      <w:r>
        <w:rPr>
          <w:rFonts w:hint="eastAsia" w:ascii="黑体" w:hAnsi="黑体" w:eastAsia="黑体" w:cs="黑体"/>
          <w:sz w:val="56"/>
          <w:szCs w:val="72"/>
          <w:lang w:val="en-US" w:eastAsia="zh-CN"/>
        </w:rPr>
        <w:t>中共石家庄市鹿泉区委</w:t>
      </w:r>
    </w:p>
    <w:p>
      <w:pPr>
        <w:snapToGrid w:val="0"/>
        <w:jc w:val="center"/>
        <w:rPr>
          <w:rFonts w:hint="eastAsia" w:ascii="黑体" w:hAnsi="黑体" w:eastAsia="黑体" w:cs="黑体"/>
          <w:sz w:val="56"/>
          <w:szCs w:val="72"/>
          <w:lang w:val="en-US" w:eastAsia="zh-CN"/>
        </w:rPr>
      </w:pPr>
      <w:r>
        <w:rPr>
          <w:rFonts w:hint="eastAsia" w:ascii="黑体" w:hAnsi="黑体" w:eastAsia="黑体" w:cs="黑体"/>
          <w:sz w:val="56"/>
          <w:szCs w:val="72"/>
          <w:lang w:val="en-US" w:eastAsia="zh-CN"/>
        </w:rPr>
        <w:t>统一战线工作部</w:t>
      </w:r>
    </w:p>
    <w:p>
      <w:pPr>
        <w:snapToGrid w:val="0"/>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headerReference r:id="rId7" w:type="first"/>
          <w:footerReference r:id="rId8" w:type="first"/>
          <w:headerReference r:id="rId6" w:type="default"/>
          <w:type w:val="continuous"/>
          <w:pgSz w:w="11906" w:h="16838"/>
          <w:pgMar w:top="2041" w:right="1531" w:bottom="2041" w:left="1531" w:header="851" w:footer="992" w:gutter="0"/>
          <w:cols w:space="0" w:num="1"/>
          <w:titlePg/>
          <w:docGrid w:type="lines" w:linePitch="312" w:charSpace="0"/>
        </w:sect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十一</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r>
        <w:rPr>
          <w:sz w:val="72"/>
        </w:rPr>
        <mc:AlternateContent>
          <mc:Choice Requires="wps">
            <w:drawing>
              <wp:anchor distT="0" distB="0" distL="114300" distR="114300" simplePos="0" relativeHeight="251754496"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754496;v-text-anchor:middle;mso-width-relative:page;mso-height-relative:page;" fillcolor="#FFD966" filled="t" stroked="t" coordsize="21600,21600" o:gfxdata="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">
                <v:fill type="pattern" on="t" color2="#FFFFFF [3212]" focussize="0,0" r:id="rId27"/>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500" w:lineRule="exact"/>
        <w:ind w:firstLine="560" w:firstLineChars="200"/>
        <w:jc w:val="left"/>
        <w:rPr>
          <w:rFonts w:ascii="Times New Roman" w:eastAsia="方正仿宋_GBK"/>
          <w:sz w:val="28"/>
        </w:rPr>
      </w:pPr>
      <w:r>
        <w:rPr>
          <w:rFonts w:ascii="Times New Roman" w:eastAsia="方正仿宋_GBK"/>
          <w:sz w:val="28"/>
        </w:rPr>
        <w:t>（一）贯彻落实加强党对统一战线工作集中统一领导的要求，了解情况、掌握政策、协调关系、安排人事、增进共识、加强团结，协调统一战线各方面关系，落实中央、省委、市委、区委关于统一战线工作重大决策部署，巩固壮大最广泛的统一战线。</w:t>
      </w:r>
    </w:p>
    <w:p>
      <w:pPr>
        <w:spacing w:line="500" w:lineRule="exact"/>
        <w:ind w:firstLine="560" w:firstLineChars="200"/>
        <w:jc w:val="left"/>
        <w:rPr>
          <w:rFonts w:ascii="Times New Roman" w:eastAsia="方正仿宋_GBK"/>
          <w:sz w:val="28"/>
        </w:rPr>
      </w:pPr>
      <w:r>
        <w:rPr>
          <w:rFonts w:ascii="Times New Roman" w:eastAsia="方正仿宋_GBK"/>
          <w:sz w:val="28"/>
        </w:rPr>
        <w:t>（二）深入调查研究统一战线理论，及时向区委报告统一战线工作情况并提出建议，统筹协调和指导各乡镇（区）各部门各单位统一战线工作。组织协调统一战线政策和法律法规的贯彻落实，检查执行情况，协调统一战线各方面关系。</w:t>
      </w:r>
    </w:p>
    <w:p>
      <w:pPr>
        <w:spacing w:line="500" w:lineRule="exact"/>
        <w:ind w:firstLine="560" w:firstLineChars="200"/>
        <w:jc w:val="left"/>
        <w:rPr>
          <w:rFonts w:ascii="Times New Roman" w:eastAsia="方正仿宋_GBK"/>
          <w:sz w:val="28"/>
        </w:rPr>
      </w:pPr>
      <w:r>
        <w:rPr>
          <w:rFonts w:ascii="Times New Roman" w:eastAsia="方正仿宋_GBK"/>
          <w:sz w:val="28"/>
        </w:rPr>
        <w:t>（三）负责发现、培养党外代表人士，负责党外人士的政治安排，协助民主党派支部、区工商联做好干部管理工作，反映和协调解决党外代表人士工作生活中的实际困难。</w:t>
      </w:r>
    </w:p>
    <w:p>
      <w:pPr>
        <w:spacing w:line="500" w:lineRule="exact"/>
        <w:ind w:firstLine="560" w:firstLineChars="200"/>
        <w:jc w:val="left"/>
        <w:rPr>
          <w:rFonts w:ascii="Times New Roman" w:eastAsia="方正仿宋_GBK"/>
          <w:sz w:val="28"/>
        </w:rPr>
      </w:pPr>
      <w:r>
        <w:rPr>
          <w:rFonts w:ascii="Times New Roman" w:eastAsia="方正仿宋_GBK"/>
          <w:sz w:val="28"/>
        </w:rPr>
        <w:t>（四）贯彻落实党的宣传工作方针，统筹推进全区统一战线宣传工作，拟订全区统一战线宣传工作规划并组织实施，研判涉及统一战线的舆情并协调有关部门应对处置</w:t>
      </w:r>
    </w:p>
    <w:p>
      <w:pPr>
        <w:spacing w:line="500" w:lineRule="exact"/>
        <w:ind w:firstLine="560" w:firstLineChars="200"/>
        <w:jc w:val="left"/>
        <w:rPr>
          <w:rFonts w:ascii="Times New Roman" w:eastAsia="方正仿宋_GBK"/>
          <w:sz w:val="28"/>
        </w:rPr>
      </w:pPr>
      <w:r>
        <w:rPr>
          <w:rFonts w:ascii="Times New Roman" w:eastAsia="方正仿宋_GBK"/>
          <w:sz w:val="28"/>
        </w:rPr>
        <w:t>（五）负责联系各民主党派，通报情况、反映意见，贯彻落实中国共产党领导的多党合作和政治协商制度以及对民主党派的方针政策，支持、帮助民主党派加强自身建设，做好支持民主党派履行职责、发挥作用的工作。</w:t>
      </w:r>
    </w:p>
    <w:p>
      <w:pPr>
        <w:spacing w:line="500" w:lineRule="exact"/>
        <w:ind w:firstLine="560" w:firstLineChars="200"/>
        <w:jc w:val="left"/>
        <w:rPr>
          <w:rFonts w:ascii="Times New Roman" w:eastAsia="方正仿宋_GBK"/>
          <w:sz w:val="28"/>
        </w:rPr>
      </w:pPr>
      <w:r>
        <w:rPr>
          <w:rFonts w:ascii="Times New Roman" w:eastAsia="方正仿宋_GBK"/>
          <w:sz w:val="28"/>
        </w:rPr>
        <w:t>（六）统一领导民族宗教工作，贯彻落实党的民族宗教工作方针，研究拟订民族宗教工作的政策措施并督促落实，协调处理民族宗教工作中的重大问题，领导区民族宗教事务局依法管理民族宗教事务，全面促进民族宗教事业发展，维护全区民族宗教领域和谐稳定。</w:t>
      </w:r>
    </w:p>
    <w:p>
      <w:pPr>
        <w:spacing w:line="500" w:lineRule="exact"/>
        <w:ind w:firstLine="560" w:firstLineChars="200"/>
        <w:jc w:val="left"/>
        <w:rPr>
          <w:rFonts w:ascii="Times New Roman" w:eastAsia="方正仿宋_GBK"/>
          <w:sz w:val="28"/>
        </w:rPr>
      </w:pPr>
      <w:r>
        <w:rPr>
          <w:rFonts w:ascii="Times New Roman" w:eastAsia="方正仿宋_GBK"/>
          <w:sz w:val="28"/>
        </w:rPr>
        <w:t>（七）负责联系、培养无党派代表人士，支持、帮助无党派人士发挥作用，调查研究党外知识分子和新的社会阶层入士情况并提出政策建议，联系、培养党外知识分子和新的社会阶层代表人士，开展思想政治工作，指导企业和社会组织开展党外知识分子和新的社会阶层人士统战工作。</w:t>
      </w:r>
    </w:p>
    <w:p>
      <w:pPr>
        <w:spacing w:line="500" w:lineRule="exact"/>
        <w:ind w:firstLine="560" w:firstLineChars="200"/>
        <w:jc w:val="left"/>
        <w:rPr>
          <w:rFonts w:ascii="Times New Roman" w:eastAsia="方正仿宋_GBK"/>
          <w:sz w:val="28"/>
        </w:rPr>
      </w:pPr>
      <w:r>
        <w:rPr>
          <w:rFonts w:ascii="Times New Roman" w:eastAsia="方正仿宋_GBK"/>
          <w:sz w:val="28"/>
        </w:rPr>
        <w:t>（八）参与制定、推动落实、鼓励支持引导非公有制经济发展的政策措施，调查研究非公有制经济人士情况并提出政策建议，了解和反映非公有制经济人士的意见，团结、服务、引导、教育非公有制经济人士，促进非公有制经济健康发展和非公有制经济</w:t>
      </w:r>
      <w:r>
        <w:rPr>
          <w:rFonts w:hint="eastAsia" w:ascii="Times New Roman" w:eastAsia="方正仿宋_GBK"/>
          <w:sz w:val="28"/>
          <w:lang w:eastAsia="zh-CN"/>
        </w:rPr>
        <w:t>人士</w:t>
      </w:r>
      <w:r>
        <w:rPr>
          <w:rFonts w:ascii="Times New Roman" w:eastAsia="方正仿宋_GBK"/>
          <w:sz w:val="28"/>
        </w:rPr>
        <w:t>健康成长。</w:t>
      </w:r>
    </w:p>
    <w:p>
      <w:pPr>
        <w:spacing w:line="500" w:lineRule="exact"/>
        <w:ind w:firstLine="560" w:firstLineChars="200"/>
        <w:jc w:val="left"/>
        <w:rPr>
          <w:rFonts w:ascii="Times New Roman" w:eastAsia="方正仿宋_GBK"/>
          <w:sz w:val="28"/>
        </w:rPr>
      </w:pPr>
      <w:r>
        <w:rPr>
          <w:rFonts w:ascii="Times New Roman" w:eastAsia="方正仿宋_GBK"/>
          <w:sz w:val="28"/>
        </w:rPr>
        <w:t>（九）开展港澳台海外统一战线工作，贯彻落实党的海外统战工作政策，联系香港、澳门有关党派、团体及代表人士，联系海外有关社团及代表人士。</w:t>
      </w:r>
    </w:p>
    <w:p>
      <w:pPr>
        <w:spacing w:line="500" w:lineRule="exact"/>
        <w:ind w:firstLine="560" w:firstLineChars="200"/>
        <w:jc w:val="left"/>
        <w:rPr>
          <w:rFonts w:ascii="Times New Roman" w:eastAsia="方正仿宋_GBK"/>
          <w:sz w:val="28"/>
        </w:rPr>
      </w:pPr>
      <w:r>
        <w:rPr>
          <w:rFonts w:ascii="Times New Roman" w:eastAsia="方正仿宋_GBK"/>
          <w:sz w:val="28"/>
        </w:rPr>
        <w:t>（十）统一管理全区侨务工作，贯彻落实党的侨务工作方针政策并组织协调、督促检查落实，调查研究侨情和侨务工作情况，管理侨务工作，保护华侨和归侨侨眷在区内的合法权利和利益。</w:t>
      </w:r>
    </w:p>
    <w:p>
      <w:pPr>
        <w:spacing w:line="500" w:lineRule="exact"/>
        <w:ind w:firstLine="560" w:firstLineChars="200"/>
        <w:jc w:val="left"/>
        <w:rPr>
          <w:rFonts w:ascii="Times New Roman" w:eastAsia="方正仿宋_GBK"/>
          <w:sz w:val="28"/>
        </w:rPr>
      </w:pPr>
      <w:r>
        <w:rPr>
          <w:rFonts w:ascii="Times New Roman" w:eastAsia="方正仿宋_GBK"/>
          <w:sz w:val="28"/>
        </w:rPr>
        <w:t>（十一）统一管理全区涉台工作，贯彻执行党中央、国务院对台工作的方针政策。开展对台工作调查研究并结合我区实际提出对策和建议。协调、指导全区涉台金融、经济、文化等领域的交流与合作及鹿台人员往来工作。负责来我区台胞的接待服务工作。</w:t>
      </w:r>
    </w:p>
    <w:p>
      <w:pPr>
        <w:spacing w:line="500" w:lineRule="exact"/>
        <w:ind w:firstLine="560" w:firstLineChars="200"/>
        <w:jc w:val="left"/>
        <w:rPr>
          <w:rFonts w:ascii="Times New Roman" w:eastAsia="方正仿宋_GBK"/>
          <w:sz w:val="28"/>
        </w:rPr>
      </w:pPr>
      <w:r>
        <w:rPr>
          <w:rFonts w:ascii="Times New Roman" w:eastAsia="方正仿宋_GBK"/>
          <w:sz w:val="28"/>
        </w:rPr>
        <w:t>（十二）指导各乡镇（区）党（工）委统一战线工作，负责乡镇（区）统战干部培训工作；指导区工商联工作；指导区侨联工作，做好区党外知识分子联谊会和区侨联等统战团体管理工作。</w:t>
      </w:r>
    </w:p>
    <w:p>
      <w:pPr>
        <w:spacing w:line="500" w:lineRule="exact"/>
        <w:ind w:firstLine="560" w:firstLineChars="200"/>
        <w:jc w:val="left"/>
        <w:rPr>
          <w:rFonts w:ascii="Times New Roman" w:eastAsia="方正仿宋_GBK"/>
          <w:sz w:val="28"/>
        </w:rPr>
      </w:pPr>
      <w:r>
        <w:rPr>
          <w:rFonts w:ascii="Times New Roman" w:eastAsia="方正仿宋_GBK"/>
          <w:sz w:val="28"/>
        </w:rPr>
        <w:t>（十三）完成区委交办的其他任务</w:t>
      </w:r>
      <w:r>
        <w:rPr>
          <w:rFonts w:hint="eastAsia" w:ascii="Times New Roman" w:eastAsia="方正仿宋_GBK"/>
          <w:sz w:val="28"/>
          <w:lang w:eastAsia="zh-CN"/>
        </w:rPr>
        <w:t>。</w:t>
      </w:r>
      <w:r>
        <w:rPr>
          <w:rFonts w:ascii="Times New Roman" w:eastAsia="方正仿宋_GBK"/>
          <w:sz w:val="28"/>
        </w:rPr>
        <w:t>　　</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 xml:space="preserve">从决算编报单位构成看，纳入2019 年度本部门决算汇编范围的独立核算单位（以下简称“单位”）共 </w:t>
      </w:r>
      <w:r>
        <w:rPr>
          <w:rFonts w:hint="eastAsia" w:ascii="仿宋_GB2312" w:hAnsi="Calibri" w:eastAsia="仿宋_GB2312" w:cs="ArialUnicodeMS"/>
          <w:kern w:val="0"/>
          <w:sz w:val="32"/>
          <w:szCs w:val="32"/>
          <w:lang w:val="en-US" w:eastAsia="zh-CN"/>
        </w:rPr>
        <w:t>1</w:t>
      </w:r>
      <w:r>
        <w:rPr>
          <w:rFonts w:hint="eastAsia" w:ascii="仿宋_GB2312" w:hAnsi="Calibri" w:eastAsia="仿宋_GB2312" w:cs="ArialUnicodeMS"/>
          <w:kern w:val="0"/>
          <w:sz w:val="32"/>
          <w:szCs w:val="32"/>
        </w:rPr>
        <w:t>个，具体情况如下：</w:t>
      </w:r>
    </w:p>
    <w:tbl>
      <w:tblPr>
        <w:tblStyle w:val="8"/>
        <w:tblpPr w:leftFromText="180" w:rightFromText="180" w:vertAnchor="text" w:horzAnchor="page" w:tblpXSpec="center" w:tblpY="10"/>
        <w:tblOverlap w:val="never"/>
        <w:tblW w:w="958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中共石家庄市鹿泉区委统一战线工作部</w:t>
            </w:r>
          </w:p>
        </w:tc>
        <w:tc>
          <w:tcPr>
            <w:tcW w:w="2445" w:type="dxa"/>
          </w:tcPr>
          <w:p>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行政单位</w:t>
            </w:r>
          </w:p>
        </w:tc>
        <w:tc>
          <w:tcPr>
            <w:tcW w:w="2665" w:type="dxa"/>
          </w:tcPr>
          <w:p>
            <w:pPr>
              <w:spacing w:line="560" w:lineRule="exact"/>
              <w:jc w:val="center"/>
              <w:rPr>
                <w:rFonts w:hint="default" w:ascii="仿宋_GB2312" w:hAnsi="Calibri" w:eastAsia="仿宋_GB2312" w:cs="ArialUnicodeMS"/>
                <w:kern w:val="0"/>
                <w:sz w:val="28"/>
                <w:szCs w:val="28"/>
                <w:lang w:val="en-US" w:eastAsia="zh-CN"/>
              </w:rPr>
            </w:pPr>
            <w:r>
              <w:rPr>
                <w:rFonts w:hint="eastAsia" w:ascii="仿宋_GB2312" w:hAnsi="Calibri" w:eastAsia="仿宋_GB2312" w:cs="ArialUnicodeMS"/>
                <w:kern w:val="0"/>
                <w:sz w:val="28"/>
                <w:szCs w:val="28"/>
                <w:lang w:val="en-US" w:eastAsia="zh-CN"/>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1440" w:firstLineChars="200"/>
        <w:rPr>
          <w:rFonts w:ascii="Times New Roman" w:hAnsi="Times New Roman" w:eastAsia="黑体" w:cs="Times New Roman"/>
          <w:sz w:val="32"/>
          <w:szCs w:val="32"/>
        </w:rPr>
        <w:sectPr>
          <w:footerReference r:id="rId15" w:type="first"/>
          <w:headerReference r:id="rId13" w:type="default"/>
          <w:footerReference r:id="rId14" w:type="default"/>
          <w:pgSz w:w="11906" w:h="16838"/>
          <w:pgMar w:top="2041" w:right="1531" w:bottom="2041" w:left="1531" w:header="851" w:footer="992" w:gutter="0"/>
          <w:pgNumType w:fmt="numberInDash"/>
          <w:cols w:space="0" w:num="1"/>
          <w:titlePg/>
          <w:docGrid w:type="lines" w:linePitch="312" w:charSpace="0"/>
        </w:sectPr>
      </w:pPr>
      <w:r>
        <w:rPr>
          <w:sz w:val="72"/>
        </w:rPr>
        <mc:AlternateContent>
          <mc:Choice Requires="wps">
            <w:drawing>
              <wp:anchor distT="0" distB="0" distL="114300" distR="114300" simplePos="0" relativeHeight="251852800"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852800;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437279744"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90.8pt;margin-top:4.35pt;height:263.1pt;width:613.65pt;z-index:437279744;v-text-anchor:middle;mso-width-relative:page;mso-height-relative:page;" fillcolor="#FFD966" filled="t" stroked="t" coordsize="21600,21600" o:gfxdata="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ClgEw63AAAAAsBAAAPAAAAAAAAAAEAIAAAACIAAABkcnMvZG93bnJldi54bWxQSwECFAAUAAAA&#10;CACHTuJArxU8kFwCAAC6BAAADgAAAAAAAAABACAAAAArAQAAZHJzL2Uyb0RvYy54bWxQSwUGAAAA&#10;AAYABgBZAQAA+QUAAAAA&#10;">
                <v:fill type="pattern" on="t" color2="#FFFFFF [3212]" focussize="0,0" r:id="rId27"/>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w:t>
      </w:r>
      <w:r>
        <w:rPr>
          <w:rFonts w:hint="eastAsia" w:ascii="仿宋_GB2312" w:hAnsi="Times New Roman" w:eastAsia="仿宋_GB2312" w:cs="DengXian-Regular"/>
          <w:sz w:val="32"/>
          <w:szCs w:val="32"/>
          <w:lang w:val="en-US" w:eastAsia="zh-CN"/>
        </w:rPr>
        <w:t>入</w:t>
      </w:r>
      <w:r>
        <w:rPr>
          <w:rFonts w:hint="eastAsia" w:ascii="仿宋_GB2312" w:hAnsi="Times New Roman" w:eastAsia="仿宋_GB2312" w:cs="DengXian-Regular"/>
          <w:sz w:val="32"/>
          <w:szCs w:val="32"/>
        </w:rPr>
        <w:t>总计（含结转和结余）</w:t>
      </w:r>
      <w:r>
        <w:rPr>
          <w:rFonts w:hint="eastAsia" w:ascii="仿宋_GB2312" w:hAnsi="Times New Roman" w:eastAsia="仿宋_GB2312" w:cs="DengXian-Regular"/>
          <w:sz w:val="32"/>
          <w:szCs w:val="32"/>
          <w:lang w:val="en-US" w:eastAsia="zh-CN"/>
        </w:rPr>
        <w:t>300</w:t>
      </w:r>
      <w:r>
        <w:rPr>
          <w:rFonts w:hint="eastAsia" w:ascii="仿宋_GB2312" w:hAnsi="Times New Roman" w:eastAsia="仿宋_GB2312" w:cs="DengXian-Regular"/>
          <w:sz w:val="32"/>
          <w:szCs w:val="32"/>
        </w:rPr>
        <w:t>万元。与2018年度决算相比，收</w:t>
      </w:r>
      <w:r>
        <w:rPr>
          <w:rFonts w:hint="eastAsia" w:ascii="仿宋_GB2312" w:hAnsi="Times New Roman" w:eastAsia="仿宋_GB2312" w:cs="DengXian-Regular"/>
          <w:sz w:val="32"/>
          <w:szCs w:val="32"/>
          <w:lang w:val="en-US" w:eastAsia="zh-CN"/>
        </w:rPr>
        <w:t>入</w:t>
      </w:r>
      <w:r>
        <w:rPr>
          <w:rFonts w:hint="eastAsia" w:ascii="仿宋_GB2312" w:hAnsi="Times New Roman" w:eastAsia="仿宋_GB2312" w:cs="DengXian-Regular"/>
          <w:sz w:val="32"/>
          <w:szCs w:val="32"/>
        </w:rPr>
        <w:t>增加</w:t>
      </w:r>
      <w:r>
        <w:rPr>
          <w:rFonts w:hint="eastAsia" w:ascii="仿宋_GB2312" w:hAnsi="Times New Roman" w:eastAsia="仿宋_GB2312" w:cs="DengXian-Regular"/>
          <w:sz w:val="32"/>
          <w:szCs w:val="32"/>
          <w:lang w:val="en-US" w:eastAsia="zh-CN"/>
        </w:rPr>
        <w:t>60.05</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25</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主要原因是</w:t>
      </w:r>
      <w:r>
        <w:rPr>
          <w:rFonts w:hint="eastAsia" w:ascii="仿宋_GB2312" w:hAnsi="仿宋" w:eastAsia="仿宋_GB2312"/>
          <w:sz w:val="32"/>
          <w:szCs w:val="32"/>
        </w:rPr>
        <w:t>机构改革</w:t>
      </w:r>
      <w:r>
        <w:rPr>
          <w:rFonts w:hint="eastAsia" w:ascii="仿宋_GB2312" w:hAnsi="仿宋" w:eastAsia="仿宋_GB2312"/>
          <w:sz w:val="32"/>
          <w:szCs w:val="32"/>
          <w:lang w:eastAsia="zh-CN"/>
        </w:rPr>
        <w:t>、人员调入，</w:t>
      </w:r>
      <w:r>
        <w:rPr>
          <w:rFonts w:hint="eastAsia" w:ascii="仿宋" w:hAnsi="仿宋" w:eastAsia="仿宋" w:cs="仿宋"/>
          <w:sz w:val="32"/>
          <w:szCs w:val="32"/>
        </w:rPr>
        <w:t>增加人员经费、公用经费</w:t>
      </w:r>
      <w:r>
        <w:rPr>
          <w:rFonts w:hint="eastAsia" w:ascii="仿宋" w:hAnsi="仿宋" w:eastAsia="仿宋" w:cs="仿宋"/>
          <w:sz w:val="32"/>
          <w:szCs w:val="32"/>
          <w:lang w:val="en-US" w:eastAsia="zh-CN"/>
        </w:rPr>
        <w:t>和工资调整社保经费提高</w:t>
      </w:r>
      <w:r>
        <w:rPr>
          <w:rFonts w:hint="eastAsia" w:ascii="仿宋_GB2312" w:hAnsi="Times New Roman" w:eastAsia="仿宋_GB2312" w:cs="DengXian-Regular"/>
          <w:sz w:val="32"/>
          <w:szCs w:val="32"/>
        </w:rPr>
        <w:t>。本部门2019年度</w:t>
      </w:r>
      <w:r>
        <w:rPr>
          <w:rFonts w:hint="eastAsia" w:ascii="仿宋_GB2312" w:hAnsi="Times New Roman" w:eastAsia="仿宋_GB2312" w:cs="DengXian-Regular"/>
          <w:sz w:val="32"/>
          <w:szCs w:val="32"/>
          <w:lang w:val="en-US" w:eastAsia="zh-CN"/>
        </w:rPr>
        <w:t>支出</w:t>
      </w:r>
      <w:r>
        <w:rPr>
          <w:rFonts w:hint="eastAsia" w:ascii="仿宋_GB2312" w:hAnsi="Times New Roman" w:eastAsia="仿宋_GB2312" w:cs="DengXian-Regular"/>
          <w:sz w:val="32"/>
          <w:szCs w:val="32"/>
        </w:rPr>
        <w:t>总计（含结转和结余）</w:t>
      </w:r>
      <w:r>
        <w:rPr>
          <w:rFonts w:hint="eastAsia" w:ascii="仿宋_GB2312" w:hAnsi="Times New Roman" w:eastAsia="仿宋_GB2312" w:cs="DengXian-Regular"/>
          <w:sz w:val="32"/>
          <w:szCs w:val="32"/>
          <w:lang w:val="en-US" w:eastAsia="zh-CN"/>
        </w:rPr>
        <w:t>302.75</w:t>
      </w:r>
      <w:r>
        <w:rPr>
          <w:rFonts w:hint="eastAsia" w:ascii="仿宋_GB2312" w:hAnsi="Times New Roman" w:eastAsia="仿宋_GB2312" w:cs="DengXian-Regular"/>
          <w:sz w:val="32"/>
          <w:szCs w:val="32"/>
        </w:rPr>
        <w:t>万元。与2018年度决算相比，</w:t>
      </w:r>
      <w:r>
        <w:rPr>
          <w:rFonts w:hint="eastAsia" w:ascii="仿宋_GB2312" w:hAnsi="Times New Roman" w:eastAsia="仿宋_GB2312" w:cs="DengXian-Regular"/>
          <w:sz w:val="32"/>
          <w:szCs w:val="32"/>
          <w:lang w:val="en-US" w:eastAsia="zh-CN"/>
        </w:rPr>
        <w:t>支出</w:t>
      </w:r>
      <w:r>
        <w:rPr>
          <w:rFonts w:hint="eastAsia" w:ascii="仿宋_GB2312" w:hAnsi="Times New Roman" w:eastAsia="仿宋_GB2312" w:cs="DengXian-Regular"/>
          <w:sz w:val="32"/>
          <w:szCs w:val="32"/>
        </w:rPr>
        <w:t>增加</w:t>
      </w:r>
      <w:r>
        <w:rPr>
          <w:rFonts w:hint="eastAsia" w:ascii="仿宋_GB2312" w:hAnsi="Times New Roman" w:eastAsia="仿宋_GB2312" w:cs="DengXian-Regular"/>
          <w:sz w:val="32"/>
          <w:szCs w:val="32"/>
          <w:lang w:val="en-US" w:eastAsia="zh-CN"/>
        </w:rPr>
        <w:t>86.51</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40</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主要原因是</w:t>
      </w:r>
      <w:r>
        <w:rPr>
          <w:rFonts w:hint="eastAsia" w:ascii="仿宋_GB2312" w:hAnsi="仿宋" w:eastAsia="仿宋_GB2312"/>
          <w:sz w:val="32"/>
          <w:szCs w:val="32"/>
        </w:rPr>
        <w:t>机构改革</w:t>
      </w:r>
      <w:r>
        <w:rPr>
          <w:rFonts w:hint="eastAsia" w:ascii="仿宋_GB2312" w:hAnsi="仿宋" w:eastAsia="仿宋_GB2312"/>
          <w:sz w:val="32"/>
          <w:szCs w:val="32"/>
          <w:lang w:eastAsia="zh-CN"/>
        </w:rPr>
        <w:t>、人员调入，</w:t>
      </w:r>
      <w:r>
        <w:rPr>
          <w:rFonts w:hint="eastAsia" w:ascii="仿宋" w:hAnsi="仿宋" w:eastAsia="仿宋" w:cs="仿宋"/>
          <w:sz w:val="32"/>
          <w:szCs w:val="32"/>
        </w:rPr>
        <w:t>增加人员经费、公用经费</w:t>
      </w:r>
      <w:r>
        <w:rPr>
          <w:rFonts w:hint="eastAsia" w:ascii="仿宋" w:hAnsi="仿宋" w:eastAsia="仿宋" w:cs="仿宋"/>
          <w:sz w:val="32"/>
          <w:szCs w:val="32"/>
          <w:lang w:val="en-US" w:eastAsia="zh-CN"/>
        </w:rPr>
        <w:t>和工资调整社保经费提高</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keepNext/>
        <w:keepLines/>
        <w:snapToGrid w:val="0"/>
        <w:spacing w:line="580" w:lineRule="exact"/>
        <w:ind w:firstLine="640" w:firstLineChars="200"/>
        <w:outlineLvl w:val="1"/>
        <w:rPr>
          <w:rFonts w:ascii="黑体" w:hAnsi="Calibri" w:eastAsia="黑体" w:cs="Times New Roman"/>
          <w:b/>
          <w:bCs/>
          <w:sz w:val="32"/>
          <w:szCs w:val="32"/>
        </w:rPr>
      </w:pPr>
      <w:r>
        <w:rPr>
          <w:rFonts w:hint="eastAsia" w:ascii="仿宋_GB2312" w:hAnsi="Times New Roman" w:eastAsia="仿宋_GB2312" w:cs="DengXian-Regular"/>
          <w:sz w:val="32"/>
          <w:szCs w:val="32"/>
        </w:rPr>
        <w:t>本部门2019年度本年收入合计</w:t>
      </w:r>
      <w:r>
        <w:rPr>
          <w:rFonts w:hint="eastAsia" w:ascii="仿宋_GB2312" w:hAnsi="Times New Roman" w:eastAsia="仿宋_GB2312" w:cs="DengXian-Regular"/>
          <w:sz w:val="32"/>
          <w:szCs w:val="32"/>
          <w:lang w:val="en-US" w:eastAsia="zh-CN"/>
        </w:rPr>
        <w:t>300</w:t>
      </w:r>
      <w:r>
        <w:rPr>
          <w:rFonts w:hint="eastAsia" w:ascii="仿宋_GB2312" w:hAnsi="Times New Roman" w:eastAsia="仿宋_GB2312" w:cs="DengXian-Regular"/>
          <w:sz w:val="32"/>
          <w:szCs w:val="32"/>
        </w:rPr>
        <w:t>万元，其中：财政拨款收入</w:t>
      </w:r>
      <w:r>
        <w:rPr>
          <w:rFonts w:hint="eastAsia" w:ascii="仿宋_GB2312" w:hAnsi="Times New Roman" w:eastAsia="仿宋_GB2312" w:cs="DengXian-Regular"/>
          <w:sz w:val="32"/>
          <w:szCs w:val="32"/>
          <w:lang w:val="en-US" w:eastAsia="zh-CN"/>
        </w:rPr>
        <w:t>238.6</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80</w:t>
      </w:r>
      <w:r>
        <w:rPr>
          <w:rFonts w:hint="eastAsia" w:ascii="仿宋_GB2312" w:hAnsi="Times New Roman" w:eastAsia="仿宋_GB2312" w:cs="DengXian-Regular"/>
          <w:sz w:val="32"/>
          <w:szCs w:val="32"/>
        </w:rPr>
        <w:t>%；事业收入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%；经营收入</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%；其他收入</w:t>
      </w:r>
      <w:r>
        <w:rPr>
          <w:rFonts w:hint="eastAsia" w:ascii="仿宋_GB2312" w:hAnsi="Times New Roman" w:eastAsia="仿宋_GB2312" w:cs="DengXian-Regular"/>
          <w:sz w:val="32"/>
          <w:szCs w:val="32"/>
          <w:lang w:val="en-US" w:eastAsia="zh-CN"/>
        </w:rPr>
        <w:t>61.4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黑体" w:hAnsi="Calibri" w:eastAsia="黑体" w:cs="Times New Roman"/>
          <w:b/>
          <w:bCs/>
          <w:sz w:val="32"/>
          <w:szCs w:val="32"/>
        </w:rPr>
      </w:pPr>
      <w:r>
        <w:rPr>
          <w:rFonts w:hint="eastAsia" w:ascii="仿宋_GB2312" w:hAnsi="Times New Roman" w:eastAsia="仿宋_GB2312" w:cs="DengXian-Regular"/>
          <w:sz w:val="32"/>
          <w:szCs w:val="32"/>
        </w:rPr>
        <w:t>本部门2019年度本年支出合计</w:t>
      </w:r>
      <w:r>
        <w:rPr>
          <w:rFonts w:hint="eastAsia" w:ascii="仿宋_GB2312" w:hAnsi="Times New Roman" w:eastAsia="仿宋_GB2312" w:cs="DengXian-Regular"/>
          <w:sz w:val="32"/>
          <w:szCs w:val="32"/>
          <w:lang w:val="en-US" w:eastAsia="zh-CN"/>
        </w:rPr>
        <w:t>241.37</w:t>
      </w:r>
      <w:r>
        <w:rPr>
          <w:rFonts w:hint="eastAsia" w:ascii="仿宋_GB2312" w:hAnsi="Times New Roman" w:eastAsia="仿宋_GB2312" w:cs="DengXian-Regular"/>
          <w:sz w:val="32"/>
          <w:szCs w:val="32"/>
        </w:rPr>
        <w:t>万元，其中：基本支出</w:t>
      </w:r>
      <w:r>
        <w:rPr>
          <w:rFonts w:hint="eastAsia" w:ascii="仿宋_GB2312" w:hAnsi="Times New Roman" w:eastAsia="仿宋_GB2312" w:cs="DengXian-Regular"/>
          <w:sz w:val="32"/>
          <w:szCs w:val="32"/>
          <w:lang w:val="en-US" w:eastAsia="zh-CN"/>
        </w:rPr>
        <w:t>203.37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84</w:t>
      </w:r>
      <w:r>
        <w:rPr>
          <w:rFonts w:hint="eastAsia" w:ascii="仿宋_GB2312" w:hAnsi="Times New Roman" w:eastAsia="仿宋_GB2312" w:cs="DengXian-Regular"/>
          <w:sz w:val="32"/>
          <w:szCs w:val="32"/>
        </w:rPr>
        <w:t>%；项目支出</w:t>
      </w:r>
      <w:r>
        <w:rPr>
          <w:rFonts w:hint="eastAsia" w:ascii="仿宋_GB2312" w:hAnsi="Times New Roman" w:eastAsia="仿宋_GB2312" w:cs="DengXian-Regular"/>
          <w:sz w:val="32"/>
          <w:szCs w:val="32"/>
          <w:lang w:val="en-US" w:eastAsia="zh-CN"/>
        </w:rPr>
        <w:t>38</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16</w:t>
      </w:r>
      <w:r>
        <w:rPr>
          <w:rFonts w:hint="eastAsia" w:ascii="仿宋_GB2312" w:hAnsi="Times New Roman" w:eastAsia="仿宋_GB2312" w:cs="DengXian-Regular"/>
          <w:sz w:val="32"/>
          <w:szCs w:val="32"/>
        </w:rPr>
        <w:t>%；经营支出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w:t>
      </w:r>
      <w:r>
        <w:rPr>
          <w:rFonts w:hint="eastAsia" w:ascii="仿宋_GB2312" w:hAnsi="Times New Roman" w:eastAsia="仿宋_GB2312" w:cs="DengXian-Regular"/>
          <w:sz w:val="32"/>
          <w:szCs w:val="32"/>
          <w:lang w:val="en-US" w:eastAsia="zh-CN"/>
        </w:rPr>
        <w:t>238.6</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47.6</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25</w:t>
      </w:r>
      <w:r>
        <w:rPr>
          <w:rFonts w:hint="eastAsia" w:ascii="仿宋_GB2312" w:hAnsi="Times New Roman" w:eastAsia="仿宋_GB2312" w:cs="DengXian-Regular"/>
          <w:sz w:val="32"/>
          <w:szCs w:val="32"/>
        </w:rPr>
        <w:t>%，主要是</w:t>
      </w:r>
      <w:r>
        <w:rPr>
          <w:rFonts w:hint="eastAsia" w:ascii="仿宋_GB2312" w:hAnsi="仿宋" w:eastAsia="仿宋_GB2312"/>
          <w:sz w:val="32"/>
          <w:szCs w:val="32"/>
        </w:rPr>
        <w:t>机构改革</w:t>
      </w:r>
      <w:r>
        <w:rPr>
          <w:rFonts w:hint="eastAsia" w:ascii="仿宋_GB2312" w:hAnsi="仿宋" w:eastAsia="仿宋_GB2312"/>
          <w:sz w:val="32"/>
          <w:szCs w:val="32"/>
          <w:lang w:eastAsia="zh-CN"/>
        </w:rPr>
        <w:t>、人员调入，</w:t>
      </w:r>
      <w:r>
        <w:rPr>
          <w:rFonts w:hint="eastAsia" w:ascii="仿宋" w:hAnsi="仿宋" w:eastAsia="仿宋" w:cs="仿宋"/>
          <w:sz w:val="32"/>
          <w:szCs w:val="32"/>
        </w:rPr>
        <w:t>增加人员经费、公用经费</w:t>
      </w:r>
      <w:r>
        <w:rPr>
          <w:rFonts w:hint="eastAsia" w:ascii="仿宋" w:hAnsi="仿宋" w:eastAsia="仿宋" w:cs="仿宋"/>
          <w:sz w:val="32"/>
          <w:szCs w:val="32"/>
          <w:lang w:val="en-US" w:eastAsia="zh-CN"/>
        </w:rPr>
        <w:t>和工资调整社保经费提高</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241.37</w:t>
      </w:r>
      <w:r>
        <w:rPr>
          <w:rFonts w:hint="eastAsia" w:ascii="仿宋_GB2312" w:hAnsi="Times New Roman" w:eastAsia="仿宋_GB2312" w:cs="DengXian-Regular"/>
          <w:sz w:val="32"/>
          <w:szCs w:val="32"/>
        </w:rPr>
        <w:t>万元，增加</w:t>
      </w:r>
      <w:r>
        <w:rPr>
          <w:rFonts w:hint="eastAsia" w:ascii="仿宋_GB2312" w:hAnsi="Times New Roman" w:eastAsia="仿宋_GB2312" w:cs="DengXian-Regular"/>
          <w:sz w:val="32"/>
          <w:szCs w:val="32"/>
          <w:lang w:val="en-US" w:eastAsia="zh-CN"/>
        </w:rPr>
        <w:t>59.42</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33</w:t>
      </w:r>
      <w:r>
        <w:rPr>
          <w:rFonts w:hint="eastAsia" w:ascii="仿宋_GB2312" w:hAnsi="Times New Roman" w:eastAsia="仿宋_GB2312" w:cs="DengXian-Regular"/>
          <w:sz w:val="32"/>
          <w:szCs w:val="32"/>
        </w:rPr>
        <w:t>%，主要是</w:t>
      </w:r>
      <w:r>
        <w:rPr>
          <w:rFonts w:hint="eastAsia" w:ascii="仿宋_GB2312" w:hAnsi="仿宋" w:eastAsia="仿宋_GB2312"/>
          <w:sz w:val="32"/>
          <w:szCs w:val="32"/>
        </w:rPr>
        <w:t>机构改革</w:t>
      </w:r>
      <w:r>
        <w:rPr>
          <w:rFonts w:hint="eastAsia" w:ascii="仿宋_GB2312" w:hAnsi="仿宋" w:eastAsia="仿宋_GB2312"/>
          <w:sz w:val="32"/>
          <w:szCs w:val="32"/>
          <w:lang w:eastAsia="zh-CN"/>
        </w:rPr>
        <w:t>、人员调入，</w:t>
      </w:r>
      <w:r>
        <w:rPr>
          <w:rFonts w:hint="eastAsia" w:ascii="仿宋" w:hAnsi="仿宋" w:eastAsia="仿宋" w:cs="仿宋"/>
          <w:sz w:val="32"/>
          <w:szCs w:val="32"/>
        </w:rPr>
        <w:t>增加人员经费、公用经费</w:t>
      </w:r>
      <w:r>
        <w:rPr>
          <w:rFonts w:hint="eastAsia" w:ascii="仿宋" w:hAnsi="仿宋" w:eastAsia="仿宋" w:cs="仿宋"/>
          <w:sz w:val="32"/>
          <w:szCs w:val="32"/>
          <w:lang w:val="en-US" w:eastAsia="zh-CN"/>
        </w:rPr>
        <w:t>和工资调整社保经费提高</w:t>
      </w:r>
      <w:r>
        <w:rPr>
          <w:rFonts w:hint="eastAsia" w:ascii="仿宋_GB2312" w:hAnsi="Times New Roman" w:eastAsia="仿宋_GB2312" w:cs="DengXian-Regular"/>
          <w:sz w:val="32"/>
          <w:szCs w:val="32"/>
        </w:rPr>
        <w:t>。</w:t>
      </w: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本部门2019年度一般公共预算财政拨款收入</w:t>
      </w:r>
      <w:r>
        <w:rPr>
          <w:rFonts w:hint="eastAsia" w:ascii="仿宋_GB2312" w:hAnsi="Times New Roman" w:eastAsia="仿宋_GB2312" w:cs="DengXian-Regular"/>
          <w:sz w:val="32"/>
          <w:szCs w:val="32"/>
          <w:lang w:val="en-US" w:eastAsia="zh-CN"/>
        </w:rPr>
        <w:t>300</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157</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108.55</w:t>
      </w:r>
      <w:r>
        <w:rPr>
          <w:rFonts w:hint="eastAsia" w:ascii="仿宋_GB2312" w:hAnsi="Times New Roman" w:eastAsia="仿宋_GB2312" w:cs="DengXian-Regular"/>
          <w:sz w:val="32"/>
          <w:szCs w:val="32"/>
        </w:rPr>
        <w:t>万元，决算数大于预算数主要原因是</w:t>
      </w:r>
      <w:r>
        <w:rPr>
          <w:rFonts w:hint="eastAsia" w:ascii="仿宋_GB2312" w:hAnsi="仿宋" w:eastAsia="仿宋_GB2312"/>
          <w:sz w:val="32"/>
          <w:szCs w:val="32"/>
        </w:rPr>
        <w:t>机构改革</w:t>
      </w:r>
      <w:r>
        <w:rPr>
          <w:rFonts w:hint="eastAsia" w:ascii="仿宋_GB2312" w:hAnsi="仿宋" w:eastAsia="仿宋_GB2312"/>
          <w:sz w:val="32"/>
          <w:szCs w:val="32"/>
          <w:lang w:eastAsia="zh-CN"/>
        </w:rPr>
        <w:t>、人员调入，</w:t>
      </w:r>
      <w:r>
        <w:rPr>
          <w:rFonts w:hint="eastAsia" w:ascii="仿宋" w:hAnsi="仿宋" w:eastAsia="仿宋" w:cs="仿宋"/>
          <w:sz w:val="32"/>
          <w:szCs w:val="32"/>
        </w:rPr>
        <w:t>增加人员经费、公用经费</w:t>
      </w:r>
      <w:r>
        <w:rPr>
          <w:rFonts w:hint="eastAsia" w:ascii="仿宋" w:hAnsi="仿宋" w:eastAsia="仿宋" w:cs="仿宋"/>
          <w:sz w:val="32"/>
          <w:szCs w:val="32"/>
          <w:lang w:val="en-US" w:eastAsia="zh-CN"/>
        </w:rPr>
        <w:t>和工资调整社保经费提高</w:t>
      </w:r>
      <w:r>
        <w:rPr>
          <w:rFonts w:hint="eastAsia" w:ascii="仿宋_GB2312" w:hAnsi="Times New Roman" w:eastAsia="仿宋_GB2312" w:cs="DengXian-Regular"/>
          <w:sz w:val="32"/>
          <w:szCs w:val="32"/>
        </w:rPr>
        <w:t>；本年支出</w:t>
      </w:r>
      <w:r>
        <w:rPr>
          <w:rFonts w:hint="eastAsia" w:ascii="仿宋_GB2312" w:hAnsi="Times New Roman" w:eastAsia="仿宋_GB2312" w:cs="DengXian-Regular"/>
          <w:sz w:val="32"/>
          <w:szCs w:val="32"/>
          <w:lang w:val="en-US" w:eastAsia="zh-CN"/>
        </w:rPr>
        <w:t>302.77</w:t>
      </w:r>
      <w:r>
        <w:rPr>
          <w:rFonts w:hint="eastAsia" w:ascii="仿宋_GB2312" w:hAnsi="Times New Roman" w:eastAsia="仿宋_GB2312" w:cs="DengXian-Regular"/>
          <w:sz w:val="32"/>
          <w:szCs w:val="32"/>
        </w:rPr>
        <w:t>万元，完成年初预算的</w:t>
      </w:r>
      <w:r>
        <w:rPr>
          <w:rFonts w:hint="eastAsia" w:ascii="仿宋_GB2312" w:hAnsi="Times New Roman" w:eastAsia="仿宋_GB2312" w:cs="DengXian-Regular"/>
          <w:sz w:val="32"/>
          <w:szCs w:val="32"/>
          <w:lang w:val="en-US" w:eastAsia="zh-CN"/>
        </w:rPr>
        <w:t>158</w:t>
      </w:r>
      <w:r>
        <w:rPr>
          <w:rFonts w:hint="eastAsia" w:ascii="仿宋_GB2312" w:hAnsi="Times New Roman" w:eastAsia="仿宋_GB2312" w:cs="DengXian-Regular"/>
          <w:sz w:val="32"/>
          <w:szCs w:val="32"/>
        </w:rPr>
        <w:t>%,比年初预算增加</w:t>
      </w:r>
      <w:r>
        <w:rPr>
          <w:rFonts w:hint="eastAsia" w:ascii="仿宋_GB2312" w:hAnsi="Times New Roman" w:eastAsia="仿宋_GB2312" w:cs="DengXian-Regular"/>
          <w:sz w:val="32"/>
          <w:szCs w:val="32"/>
          <w:lang w:val="en-US" w:eastAsia="zh-CN"/>
        </w:rPr>
        <w:t>111.32</w:t>
      </w:r>
      <w:r>
        <w:rPr>
          <w:rFonts w:hint="eastAsia" w:ascii="仿宋_GB2312" w:hAnsi="Times New Roman" w:eastAsia="仿宋_GB2312" w:cs="DengXian-Regular"/>
          <w:sz w:val="32"/>
          <w:szCs w:val="32"/>
        </w:rPr>
        <w:t>万元，决算数大于预算数主要原因是</w:t>
      </w:r>
      <w:r>
        <w:rPr>
          <w:rFonts w:hint="eastAsia" w:ascii="仿宋_GB2312" w:hAnsi="仿宋" w:eastAsia="仿宋_GB2312"/>
          <w:sz w:val="32"/>
          <w:szCs w:val="32"/>
        </w:rPr>
        <w:t>机构改革</w:t>
      </w:r>
      <w:r>
        <w:rPr>
          <w:rFonts w:hint="eastAsia" w:ascii="仿宋_GB2312" w:hAnsi="仿宋" w:eastAsia="仿宋_GB2312"/>
          <w:sz w:val="32"/>
          <w:szCs w:val="32"/>
          <w:lang w:eastAsia="zh-CN"/>
        </w:rPr>
        <w:t>、人员调入，</w:t>
      </w:r>
      <w:r>
        <w:rPr>
          <w:rFonts w:hint="eastAsia" w:ascii="仿宋" w:hAnsi="仿宋" w:eastAsia="仿宋" w:cs="仿宋"/>
          <w:sz w:val="32"/>
          <w:szCs w:val="32"/>
        </w:rPr>
        <w:t>增加人员经费、公用经费</w:t>
      </w:r>
      <w:r>
        <w:rPr>
          <w:rFonts w:hint="eastAsia" w:ascii="仿宋" w:hAnsi="仿宋" w:eastAsia="仿宋" w:cs="仿宋"/>
          <w:sz w:val="32"/>
          <w:szCs w:val="32"/>
          <w:lang w:val="en-US" w:eastAsia="zh-CN"/>
        </w:rPr>
        <w:t>和工资调整社保经费提高</w:t>
      </w:r>
      <w:r>
        <w:rPr>
          <w:rFonts w:hint="eastAsia" w:ascii="仿宋_GB2312" w:hAnsi="Times New Roman" w:eastAsia="仿宋_GB2312" w:cs="DengXian-Regular"/>
          <w:sz w:val="32"/>
          <w:szCs w:val="32"/>
        </w:rPr>
        <w:t>。</w:t>
      </w: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w:t>
      </w:r>
      <w:r>
        <w:rPr>
          <w:rFonts w:hint="eastAsia" w:ascii="仿宋_GB2312" w:hAnsi="Times New Roman" w:eastAsia="仿宋_GB2312" w:cs="DengXian-Regular"/>
          <w:sz w:val="32"/>
          <w:szCs w:val="32"/>
          <w:lang w:val="en-US" w:eastAsia="zh-CN"/>
        </w:rPr>
        <w:t>302.77</w:t>
      </w:r>
      <w:r>
        <w:rPr>
          <w:rFonts w:hint="eastAsia" w:ascii="仿宋_GB2312" w:hAnsi="Times New Roman" w:eastAsia="仿宋_GB2312" w:cs="DengXian-Regular"/>
          <w:sz w:val="32"/>
          <w:szCs w:val="32"/>
        </w:rPr>
        <w:t>万元，主要用于以下方面</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一般公共服务（类）支出</w:t>
      </w:r>
      <w:r>
        <w:rPr>
          <w:rFonts w:hint="eastAsia" w:ascii="仿宋_GB2312" w:hAnsi="Times New Roman" w:eastAsia="仿宋_GB2312" w:cs="DengXian-Regular"/>
          <w:sz w:val="32"/>
          <w:szCs w:val="32"/>
          <w:lang w:val="en-US" w:eastAsia="zh-CN"/>
        </w:rPr>
        <w:t>267.07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88</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val="en-US" w:eastAsia="zh-CN"/>
        </w:rPr>
        <w:t>卫生健康</w:t>
      </w:r>
      <w:r>
        <w:rPr>
          <w:rFonts w:hint="eastAsia" w:ascii="仿宋_GB2312" w:hAnsi="Times New Roman" w:eastAsia="仿宋_GB2312" w:cs="DengXian-Regular"/>
          <w:sz w:val="32"/>
          <w:szCs w:val="32"/>
        </w:rPr>
        <w:t>支出</w:t>
      </w:r>
      <w:r>
        <w:rPr>
          <w:rFonts w:hint="eastAsia" w:ascii="仿宋_GB2312" w:hAnsi="Times New Roman" w:eastAsia="仿宋_GB2312" w:cs="DengXian-Regular"/>
          <w:sz w:val="32"/>
          <w:szCs w:val="32"/>
          <w:lang w:val="en-US" w:eastAsia="zh-CN"/>
        </w:rPr>
        <w:t>9.37</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%；社会保障和就业（类）支出</w:t>
      </w:r>
      <w:r>
        <w:rPr>
          <w:rFonts w:hint="eastAsia" w:ascii="仿宋_GB2312" w:hAnsi="Times New Roman" w:eastAsia="仿宋_GB2312" w:cs="DengXian-Regular"/>
          <w:sz w:val="32"/>
          <w:szCs w:val="32"/>
          <w:lang w:val="en-US" w:eastAsia="zh-CN"/>
        </w:rPr>
        <w:t>17.4</w:t>
      </w:r>
      <w:r>
        <w:rPr>
          <w:rFonts w:hint="eastAsia" w:ascii="仿宋_GB2312" w:hAnsi="Times New Roman" w:eastAsia="仿宋_GB2312" w:cs="DengXian-Regular"/>
          <w:sz w:val="32"/>
          <w:szCs w:val="32"/>
        </w:rPr>
        <w:t>万元，占</w:t>
      </w:r>
      <w:r>
        <w:rPr>
          <w:rFonts w:hint="eastAsia" w:ascii="仿宋_GB2312" w:hAnsi="Times New Roman" w:eastAsia="仿宋_GB2312" w:cs="DengXian-Regular"/>
          <w:sz w:val="32"/>
          <w:szCs w:val="32"/>
          <w:lang w:val="en-US" w:eastAsia="zh-CN"/>
        </w:rPr>
        <w:t>6</w:t>
      </w:r>
      <w:r>
        <w:rPr>
          <w:rFonts w:hint="eastAsia" w:ascii="仿宋_GB2312" w:hAnsi="Times New Roman" w:eastAsia="仿宋_GB2312" w:cs="DengXian-Regular"/>
          <w:sz w:val="32"/>
          <w:szCs w:val="32"/>
        </w:rPr>
        <w:t>%；住房保障（类）支出</w:t>
      </w:r>
      <w:r>
        <w:rPr>
          <w:rFonts w:hint="eastAsia" w:ascii="仿宋_GB2312" w:hAnsi="Times New Roman" w:eastAsia="仿宋_GB2312" w:cs="DengXian-Regular"/>
          <w:sz w:val="32"/>
          <w:szCs w:val="32"/>
          <w:lang w:val="en-US" w:eastAsia="zh-CN"/>
        </w:rPr>
        <w:t>8.92</w:t>
      </w:r>
      <w:r>
        <w:rPr>
          <w:rFonts w:hint="eastAsia" w:ascii="仿宋_GB2312" w:hAnsi="Times New Roman" w:eastAsia="仿宋_GB2312" w:cs="DengXian-Regular"/>
          <w:sz w:val="32"/>
          <w:szCs w:val="32"/>
        </w:rPr>
        <w:t xml:space="preserve">万元，占 </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w:t>
      </w:r>
    </w:p>
    <w:p>
      <w:pPr>
        <w:adjustRightInd w:val="0"/>
        <w:snapToGrid w:val="0"/>
        <w:spacing w:line="580" w:lineRule="exact"/>
        <w:rPr>
          <w:rFonts w:ascii="楷体_GB2312" w:hAnsi="Times New Roman" w:eastAsia="楷体_GB2312" w:cs="DengXian-Bold"/>
          <w:b/>
          <w:bCs/>
          <w:sz w:val="32"/>
          <w:szCs w:val="32"/>
        </w:rPr>
      </w:pPr>
      <w:r>
        <w:rPr>
          <w:rFonts w:ascii="Times New Roman" w:hAnsi="Times New Roman" w:eastAsia="宋体" w:cs="Times New Roman"/>
          <w:szCs w:val="24"/>
        </w:rPr>
        <mc:AlternateContent>
          <mc:Choice Requires="wpg">
            <w:drawing>
              <wp:anchor distT="0" distB="0" distL="114300" distR="114300" simplePos="0" relativeHeight="437182464" behindDoc="1" locked="0" layoutInCell="1" allowOverlap="1">
                <wp:simplePos x="0" y="0"/>
                <wp:positionH relativeFrom="column">
                  <wp:posOffset>981075</wp:posOffset>
                </wp:positionH>
                <wp:positionV relativeFrom="paragraph">
                  <wp:posOffset>210820</wp:posOffset>
                </wp:positionV>
                <wp:extent cx="3576320" cy="2209165"/>
                <wp:effectExtent l="0" t="0" r="5080" b="635"/>
                <wp:wrapNone/>
                <wp:docPr id="162" name="组合 162"/>
                <wp:cNvGraphicFramePr/>
                <a:graphic xmlns:a="http://schemas.openxmlformats.org/drawingml/2006/main">
                  <a:graphicData uri="http://schemas.microsoft.com/office/word/2010/wordprocessingGroup">
                    <wpg:wgp>
                      <wpg:cNvGrpSpPr/>
                      <wpg:grpSpPr>
                        <a:xfrm>
                          <a:off x="0" y="0"/>
                          <a:ext cx="3576320" cy="2209165"/>
                          <a:chOff x="6921" y="180284"/>
                          <a:chExt cx="5065" cy="3465"/>
                        </a:xfrm>
                      </wpg:grpSpPr>
                      <pic:pic xmlns:pic="http://schemas.openxmlformats.org/drawingml/2006/picture">
                        <pic:nvPicPr>
                          <pic:cNvPr id="163" name="图片 1"/>
                          <pic:cNvPicPr>
                            <a:picLocks noChangeAspect="1"/>
                          </pic:cNvPicPr>
                        </pic:nvPicPr>
                        <pic:blipFill>
                          <a:blip r:embed="rId28"/>
                          <a:srcRect l="3251" t="2274" r="1858" b="7961"/>
                          <a:stretch>
                            <a:fillRect/>
                          </a:stretch>
                        </pic:blipFill>
                        <pic:spPr>
                          <a:xfrm>
                            <a:off x="7157" y="180284"/>
                            <a:ext cx="4586" cy="2988"/>
                          </a:xfrm>
                          <a:prstGeom prst="rect">
                            <a:avLst/>
                          </a:prstGeom>
                          <a:noFill/>
                          <a:ln>
                            <a:noFill/>
                          </a:ln>
                        </pic:spPr>
                      </pic:pic>
                      <wps:wsp>
                        <wps:cNvPr id="164" name="文本框 32"/>
                        <wps:cNvSpPr txBox="1"/>
                        <wps:spPr>
                          <a:xfrm>
                            <a:off x="6921" y="183134"/>
                            <a:ext cx="5065" cy="615"/>
                          </a:xfrm>
                          <a:prstGeom prst="rect">
                            <a:avLst/>
                          </a:prstGeom>
                          <a:solidFill>
                            <a:srgbClr val="FFFFFF"/>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图X：财政拨款支出决算结构（按功能分类）</w:t>
                              </w:r>
                            </w:p>
                            <w:p>
                              <w:pPr>
                                <w:spacing w:after="160" w:line="480" w:lineRule="auto"/>
                                <w:rPr>
                                  <w:rFonts w:ascii="Times New Roman" w:hAnsi="Times New Roman" w:eastAsia="宋体" w:cs="Times New Roman"/>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wpg:wgp>
                  </a:graphicData>
                </a:graphic>
              </wp:anchor>
            </w:drawing>
          </mc:Choice>
          <mc:Fallback>
            <w:pict>
              <v:group id="_x0000_s1026" o:spid="_x0000_s1026" o:spt="203" style="position:absolute;left:0pt;margin-left:77.25pt;margin-top:16.6pt;height:173.95pt;width:281.6pt;z-index:-66134016;mso-width-relative:page;mso-height-relative:page;" coordorigin="6921,180284" coordsize="5065,3465" o:gfxdata="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">
                <o:lock v:ext="edit" aspectratio="f"/>
                <v:shape id="图片 1" o:spid="_x0000_s1026" o:spt="75" type="#_x0000_t75" style="position:absolute;left:7157;top:180284;height:2988;width:4586;" filled="f" o:preferrelative="t" stroked="f" coordsize="21600,21600" o:gfxdata="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Ow03S22AAAA3AAAAA8A&#10;AAAAAAAAAQAgAAAAIgAAAGRycy9kb3ducmV2LnhtbFBLAQIUABQAAAAIAIdO4kAzLwWeOwAAADkA&#10;AAAQAAAAAAAAAAEAIAAAAAUBAABkcnMvc2hhcGV4bWwueG1sUEsFBgAAAAAGAAYAWwEAAK8DAAAA&#10;AA==&#10;">
                  <v:fill on="f" focussize="0,0"/>
                  <v:stroke on="f"/>
                  <v:imagedata r:id="rId28" cropleft="2131f" croptop="1490f" cropright="1218f" cropbottom="5217f" o:title=""/>
                  <o:lock v:ext="edit" aspectratio="t"/>
                </v:shape>
                <v:shape id="文本框 32" o:spid="_x0000_s1026" o:spt="202" type="#_x0000_t202" style="position:absolute;left:6921;top:183134;height:615;width:5065;" fillcolor="#FFFFFF" filled="t" stroked="f" coordsize="21600,21600" o:gfxdata="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FX655rUAAADcAAAADwAA&#10;AAAAAAABACAAAAAiAAAAZHJzL2Rvd25yZXYueG1sUEsBAhQAFAAAAAgAh07iQDMvBZ47AAAAOQAA&#10;ABAAAAAAAAAAAQAgAAAABAEAAGRycy9zaGFwZXhtbC54bWxQSwUGAAAAAAYABgBbAQAArgMAAAAA&#10;">
                  <v:fill on="t" focussize="0,0"/>
                  <v:stroke on="f" weight="0.5pt"/>
                  <v:imagedata o:title=""/>
                  <o:lock v:ext="edit" aspectratio="f"/>
                  <v:textbox>
                    <w:txbxContent>
                      <w:p>
                        <w:pPr>
                          <w:adjustRightInd w:val="0"/>
                          <w:snapToGrid w:val="0"/>
                          <w:spacing w:after="160" w:line="560" w:lineRule="exact"/>
                          <w:jc w:val="center"/>
                          <w:rPr>
                            <w:rFonts w:ascii="仿宋_GB2312" w:hAnsi="Times New Roman" w:eastAsia="仿宋_GB2312" w:cs="DengXian-Regular"/>
                            <w:sz w:val="28"/>
                            <w:szCs w:val="28"/>
                          </w:rPr>
                        </w:pPr>
                        <w:r>
                          <w:rPr>
                            <w:rFonts w:hint="eastAsia" w:ascii="仿宋_GB2312" w:hAnsi="Times New Roman" w:eastAsia="仿宋_GB2312" w:cs="DengXian-Regular"/>
                            <w:sz w:val="28"/>
                            <w:szCs w:val="28"/>
                          </w:rPr>
                          <w:t>图X：财政拨款支出决算结构（按功能分类）</w:t>
                        </w:r>
                      </w:p>
                      <w:p>
                        <w:pPr>
                          <w:spacing w:after="160" w:line="480" w:lineRule="auto"/>
                          <w:rPr>
                            <w:rFonts w:ascii="Times New Roman" w:hAnsi="Times New Roman" w:eastAsia="宋体" w:cs="Times New Roman"/>
                            <w:sz w:val="20"/>
                          </w:rPr>
                        </w:pPr>
                      </w:p>
                    </w:txbxContent>
                  </v:textbox>
                </v:shape>
              </v:group>
            </w:pict>
          </mc:Fallback>
        </mc:AlternateContent>
      </w: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p>
    <w:p>
      <w:p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w:t>
      </w:r>
      <w:r>
        <w:rPr>
          <w:rFonts w:hint="eastAsia" w:ascii="仿宋_GB2312" w:hAnsi="Times New Roman" w:eastAsia="仿宋_GB2312" w:cs="DengXian-Regular"/>
          <w:sz w:val="32"/>
          <w:szCs w:val="32"/>
          <w:lang w:val="en-US" w:eastAsia="zh-CN"/>
        </w:rPr>
        <w:t>203.37</w:t>
      </w:r>
      <w:r>
        <w:rPr>
          <w:rFonts w:hint="eastAsia" w:ascii="仿宋_GB2312" w:hAnsi="Times New Roman" w:eastAsia="仿宋_GB2312" w:cs="DengXian-Regular"/>
          <w:sz w:val="32"/>
          <w:szCs w:val="32"/>
        </w:rPr>
        <w:t>万元，其中：人员经费</w:t>
      </w:r>
      <w:r>
        <w:rPr>
          <w:rFonts w:hint="eastAsia" w:ascii="仿宋_GB2312" w:hAnsi="Times New Roman" w:eastAsia="仿宋_GB2312" w:cs="DengXian-Regular"/>
          <w:sz w:val="32"/>
          <w:szCs w:val="32"/>
          <w:lang w:val="en-US" w:eastAsia="zh-CN"/>
        </w:rPr>
        <w:t>180.22</w:t>
      </w:r>
      <w:r>
        <w:rPr>
          <w:rFonts w:hint="eastAsia" w:ascii="仿宋_GB2312" w:hAnsi="Times New Roman" w:eastAsia="仿宋_GB2312" w:cs="DengXian-Regular"/>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hAnsi="Times New Roman" w:eastAsia="仿宋_GB2312" w:cs="DengXian-Regular"/>
          <w:sz w:val="32"/>
          <w:szCs w:val="32"/>
          <w:lang w:val="en-US" w:eastAsia="zh-CN"/>
        </w:rPr>
        <w:t>23.15</w:t>
      </w:r>
      <w:r>
        <w:rPr>
          <w:rFonts w:hint="eastAsia" w:ascii="仿宋_GB2312" w:hAnsi="Times New Roman" w:eastAsia="仿宋_GB2312" w:cs="DengXian-Regular"/>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keepNext/>
        <w:keepLines/>
        <w:snapToGrid w:val="0"/>
        <w:spacing w:line="580" w:lineRule="exact"/>
        <w:ind w:firstLine="640" w:firstLineChars="200"/>
        <w:outlineLvl w:val="1"/>
        <w:rPr>
          <w:rFonts w:ascii="仿宋_GB2312" w:hAnsi="Times New Roman" w:eastAsia="仿宋_GB2312" w:cs="DengXian-Regular"/>
          <w:sz w:val="32"/>
          <w:szCs w:val="32"/>
          <w:highlight w:val="yellow"/>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w:t>
      </w:r>
      <w:r>
        <w:rPr>
          <w:rFonts w:hint="eastAsia" w:ascii="仿宋_GB2312" w:hAnsi="Times New Roman" w:eastAsia="仿宋_GB2312" w:cs="DengXian-Regular"/>
          <w:sz w:val="32"/>
          <w:szCs w:val="32"/>
          <w:lang w:val="en-US" w:eastAsia="zh-CN"/>
        </w:rPr>
        <w:t>1.85</w:t>
      </w:r>
      <w:r>
        <w:rPr>
          <w:rFonts w:hint="eastAsia" w:ascii="仿宋_GB2312" w:hAnsi="Times New Roman" w:eastAsia="仿宋_GB2312" w:cs="DengXian-Regular"/>
          <w:sz w:val="32"/>
          <w:szCs w:val="32"/>
        </w:rPr>
        <w:t>万元，完成预算的</w:t>
      </w:r>
      <w:r>
        <w:rPr>
          <w:rFonts w:hint="eastAsia" w:ascii="仿宋_GB2312" w:hAnsi="Times New Roman" w:eastAsia="仿宋_GB2312" w:cs="DengXian-Regular"/>
          <w:sz w:val="32"/>
          <w:szCs w:val="32"/>
          <w:lang w:val="en-US" w:eastAsia="zh-CN"/>
        </w:rPr>
        <w:t>69</w:t>
      </w:r>
      <w:r>
        <w:rPr>
          <w:rFonts w:hint="eastAsia" w:ascii="仿宋_GB2312" w:hAnsi="Times New Roman" w:eastAsia="仿宋_GB2312" w:cs="DengXian-Regular"/>
          <w:sz w:val="32"/>
          <w:szCs w:val="32"/>
        </w:rPr>
        <w:t>%,较预算减少</w:t>
      </w:r>
      <w:r>
        <w:rPr>
          <w:rFonts w:hint="eastAsia" w:ascii="仿宋_GB2312" w:hAnsi="Times New Roman" w:eastAsia="仿宋_GB2312" w:cs="DengXian-Regular"/>
          <w:sz w:val="32"/>
          <w:szCs w:val="32"/>
          <w:lang w:val="en-US" w:eastAsia="zh-CN"/>
        </w:rPr>
        <w:t>0.85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车辆维护费用减少</w:t>
      </w:r>
      <w:r>
        <w:rPr>
          <w:rFonts w:hint="eastAsia" w:ascii="仿宋_GB2312" w:hAnsi="Times New Roman" w:eastAsia="仿宋_GB2312" w:cs="DengXian-Regular"/>
          <w:sz w:val="32"/>
          <w:szCs w:val="32"/>
        </w:rPr>
        <w:t>；较2018年度减少</w:t>
      </w:r>
      <w:r>
        <w:rPr>
          <w:rFonts w:hint="eastAsia" w:ascii="仿宋_GB2312" w:hAnsi="Times New Roman" w:eastAsia="仿宋_GB2312" w:cs="DengXian-Regular"/>
          <w:sz w:val="32"/>
          <w:szCs w:val="32"/>
          <w:lang w:val="en-US" w:eastAsia="zh-CN"/>
        </w:rPr>
        <w:t>2.28</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55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2019年没有因公出国（境）费用支出，车辆维护费减少</w:t>
      </w:r>
      <w:r>
        <w:rPr>
          <w:rFonts w:hint="eastAsia" w:ascii="仿宋_GB2312" w:hAnsi="Times New Roman" w:eastAsia="仿宋_GB2312" w:cs="DengXian-Regular"/>
          <w:sz w:val="32"/>
          <w:szCs w:val="32"/>
        </w:rPr>
        <w:t>。具体情况如下：</w:t>
      </w:r>
    </w:p>
    <w:p>
      <w:pPr>
        <w:numPr>
          <w:ilvl w:val="0"/>
          <w:numId w:val="2"/>
        </w:numPr>
        <w:adjustRightInd w:val="0"/>
        <w:snapToGrid w:val="0"/>
        <w:spacing w:line="580" w:lineRule="exact"/>
        <w:ind w:firstLine="643" w:firstLineChars="200"/>
        <w:rPr>
          <w:rFonts w:hint="eastAsia" w:ascii="仿宋_GB2312" w:hAnsi="Times New Roman" w:eastAsia="仿宋_GB2312" w:cs="DengXian-Regular"/>
          <w:sz w:val="32"/>
          <w:szCs w:val="32"/>
        </w:rPr>
      </w:pPr>
      <w:r>
        <w:rPr>
          <w:rFonts w:hint="eastAsia" w:ascii="楷体_GB2312" w:hAnsi="Times New Roman" w:eastAsia="楷体_GB2312" w:cs="DengXian-Bold"/>
          <w:b/>
          <w:bCs/>
          <w:sz w:val="32"/>
          <w:szCs w:val="32"/>
        </w:rPr>
        <w:t>因公出国（境）费支出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w:t>
      </w:r>
    </w:p>
    <w:p>
      <w:pPr>
        <w:numPr>
          <w:ilvl w:val="0"/>
          <w:numId w:val="0"/>
        </w:num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w:t>
      </w:r>
      <w:r>
        <w:rPr>
          <w:rFonts w:hint="eastAsia" w:ascii="楷体_GB2312" w:hAnsi="Times New Roman" w:eastAsia="楷体_GB2312" w:cs="DengXian-Bold"/>
          <w:b/>
          <w:bCs/>
          <w:sz w:val="32"/>
          <w:szCs w:val="32"/>
          <w:lang w:val="en-US" w:eastAsia="zh-CN"/>
        </w:rPr>
        <w:t>1.85</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本部门2019年度公务用车购置及运行维护费较预算减少</w:t>
      </w:r>
      <w:r>
        <w:rPr>
          <w:rFonts w:hint="eastAsia" w:ascii="仿宋_GB2312" w:hAnsi="Times New Roman" w:eastAsia="仿宋_GB2312" w:cs="DengXian-Regular"/>
          <w:sz w:val="32"/>
          <w:szCs w:val="32"/>
          <w:lang w:val="en-US" w:eastAsia="zh-CN"/>
        </w:rPr>
        <w:t>0.85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37</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车辆维护费减少</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0.63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车辆维护费减少</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val="en-US" w:eastAsia="zh-CN"/>
        </w:rPr>
        <w:t>未</w:t>
      </w:r>
      <w:r>
        <w:rPr>
          <w:rFonts w:hint="eastAsia" w:ascii="仿宋_GB2312" w:hAnsi="Times New Roman" w:eastAsia="仿宋_GB2312" w:cs="DengXian-Regular"/>
          <w:sz w:val="32"/>
          <w:szCs w:val="32"/>
        </w:rPr>
        <w:t>发生“公务用车购置”经费支出。公务用车购置费支出</w:t>
      </w:r>
      <w:r>
        <w:rPr>
          <w:rFonts w:hint="eastAsia" w:ascii="仿宋_GB2312" w:hAnsi="Times New Roman" w:eastAsia="仿宋_GB2312" w:cs="DengXian-Regular"/>
          <w:sz w:val="32"/>
          <w:szCs w:val="32"/>
          <w:lang w:val="en-US" w:eastAsia="zh-CN"/>
        </w:rPr>
        <w:t>与年初</w:t>
      </w:r>
      <w:r>
        <w:rPr>
          <w:rFonts w:hint="eastAsia" w:ascii="仿宋_GB2312" w:hAnsi="Times New Roman" w:eastAsia="仿宋_GB2312" w:cs="DengXian-Regular"/>
          <w:sz w:val="32"/>
          <w:szCs w:val="32"/>
        </w:rPr>
        <w:t>预算</w:t>
      </w:r>
      <w:r>
        <w:rPr>
          <w:rFonts w:hint="eastAsia" w:ascii="仿宋_GB2312" w:hAnsi="Times New Roman" w:eastAsia="仿宋_GB2312" w:cs="DengXian-Regular"/>
          <w:sz w:val="32"/>
          <w:szCs w:val="32"/>
          <w:lang w:val="en-US" w:eastAsia="zh-CN"/>
        </w:rPr>
        <w:t>持平</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0.85</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31</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车辆维护费减少</w:t>
      </w:r>
      <w:r>
        <w:rPr>
          <w:rFonts w:hint="eastAsia" w:ascii="仿宋_GB2312" w:hAnsi="Times New Roman" w:eastAsia="仿宋_GB2312" w:cs="DengXian-Regular"/>
          <w:sz w:val="32"/>
          <w:szCs w:val="32"/>
        </w:rPr>
        <w:t>；较上年减少</w:t>
      </w:r>
      <w:r>
        <w:rPr>
          <w:rFonts w:hint="eastAsia" w:ascii="仿宋_GB2312" w:hAnsi="Times New Roman" w:eastAsia="仿宋_GB2312" w:cs="DengXian-Regular"/>
          <w:sz w:val="32"/>
          <w:szCs w:val="32"/>
          <w:lang w:val="en-US" w:eastAsia="zh-CN"/>
        </w:rPr>
        <w:t>0.63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25</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val="en-US" w:eastAsia="zh-CN"/>
        </w:rPr>
        <w:t>车辆维护费减少</w:t>
      </w:r>
      <w:r>
        <w:rPr>
          <w:rFonts w:hint="eastAsia" w:ascii="仿宋_GB2312" w:hAnsi="Times New Roman" w:eastAsia="仿宋_GB2312" w:cs="DengXian-Regular"/>
          <w:sz w:val="32"/>
          <w:szCs w:val="32"/>
        </w:rPr>
        <w:t>。</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w:t>
      </w:r>
      <w:r>
        <w:rPr>
          <w:rFonts w:hint="eastAsia" w:ascii="楷体_GB2312" w:hAnsi="Times New Roman" w:eastAsia="楷体_GB2312" w:cs="DengXian-Bold"/>
          <w:b/>
          <w:bCs/>
          <w:sz w:val="32"/>
          <w:szCs w:val="32"/>
          <w:lang w:val="en-US" w:eastAsia="zh-CN"/>
        </w:rPr>
        <w:t>0</w:t>
      </w:r>
      <w:r>
        <w:rPr>
          <w:rFonts w:hint="eastAsia" w:ascii="楷体_GB2312" w:hAnsi="Times New Roman" w:eastAsia="楷体_GB2312" w:cs="DengXian-Bold"/>
          <w:b/>
          <w:bCs/>
          <w:sz w:val="32"/>
          <w:szCs w:val="32"/>
        </w:rPr>
        <w:t>万元。</w:t>
      </w:r>
      <w:r>
        <w:rPr>
          <w:rFonts w:hint="eastAsia" w:ascii="仿宋_GB2312" w:hAnsi="Times New Roman" w:eastAsia="仿宋_GB2312" w:cs="DengXian-Regular"/>
          <w:sz w:val="32"/>
          <w:szCs w:val="32"/>
        </w:rPr>
        <w:t>本部门2019年度公务接待共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w:t>
      </w:r>
      <w:r>
        <w:rPr>
          <w:rFonts w:hint="eastAsia" w:ascii="仿宋_GB2312" w:hAnsi="Times New Roman" w:eastAsia="仿宋_GB2312" w:cs="DengXian-Regular"/>
          <w:sz w:val="32"/>
          <w:szCs w:val="32"/>
          <w:lang w:val="en-US" w:eastAsia="zh-CN"/>
        </w:rPr>
        <w:t>未发生</w:t>
      </w:r>
      <w:r>
        <w:rPr>
          <w:rFonts w:hint="eastAsia" w:ascii="仿宋_GB2312" w:hAnsi="Times New Roman" w:eastAsia="仿宋_GB2312" w:cs="DengXian-Regular"/>
          <w:sz w:val="32"/>
          <w:szCs w:val="32"/>
        </w:rPr>
        <w:t>公务接待费支出。</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根据预算绩效管理要求，本部门组织对2019年度一般公共预算项目支出全面开展绩效自评，其中，一级项目</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个，二级项目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23.397</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val="en-US" w:eastAsia="zh-CN"/>
        </w:rPr>
        <w:t>宗教工作专项</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党外知识分子工作经费</w:t>
      </w:r>
      <w:r>
        <w:rPr>
          <w:rFonts w:hint="eastAsia" w:ascii="仿宋_GB2312" w:hAnsi="仿宋_GB2312" w:eastAsia="仿宋_GB2312" w:cs="仿宋_GB2312"/>
          <w:sz w:val="32"/>
          <w:szCs w:val="32"/>
        </w:rPr>
        <w:t>”等</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个项目开展了部门评价，涉及一般公共预算支出</w:t>
      </w:r>
      <w:r>
        <w:rPr>
          <w:rFonts w:hint="eastAsia" w:ascii="仿宋_GB2312" w:hAnsi="仿宋_GB2312" w:eastAsia="仿宋_GB2312" w:cs="仿宋_GB2312"/>
          <w:sz w:val="32"/>
          <w:szCs w:val="32"/>
          <w:lang w:val="en-US" w:eastAsia="zh-CN"/>
        </w:rPr>
        <w:t>23.397</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万元。从评价情况来看，</w:t>
      </w:r>
      <w:r>
        <w:rPr>
          <w:rFonts w:hint="eastAsia" w:ascii="仿宋_GB2312" w:hAnsi="仿宋_GB2312" w:eastAsia="仿宋_GB2312" w:cs="仿宋_GB2312"/>
          <w:sz w:val="32"/>
          <w:szCs w:val="32"/>
          <w:lang w:val="en-US" w:eastAsia="zh-CN"/>
        </w:rPr>
        <w:t>所有项目都能按照年初预算贯彻执行。</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w:t>
      </w:r>
      <w:r>
        <w:rPr>
          <w:rFonts w:hint="eastAsia" w:ascii="仿宋_GB2312" w:hAnsi="仿宋_GB2312" w:eastAsia="仿宋_GB2312" w:cs="仿宋_GB2312"/>
          <w:sz w:val="32"/>
          <w:szCs w:val="32"/>
          <w:lang w:val="en-US" w:eastAsia="zh-CN"/>
        </w:rPr>
        <w:t>宗教工作专项</w:t>
      </w:r>
      <w:r>
        <w:rPr>
          <w:rFonts w:hint="eastAsia" w:ascii="仿宋_GB2312" w:hAnsi="仿宋_GB2312" w:eastAsia="仿宋_GB2312" w:cs="仿宋_GB2312"/>
          <w:sz w:val="32"/>
          <w:szCs w:val="32"/>
        </w:rPr>
        <w:t xml:space="preserve">项目及 </w:t>
      </w:r>
      <w:r>
        <w:rPr>
          <w:rFonts w:hint="eastAsia" w:ascii="仿宋_GB2312" w:hAnsi="仿宋_GB2312" w:eastAsia="仿宋_GB2312" w:cs="仿宋_GB2312"/>
          <w:sz w:val="32"/>
          <w:szCs w:val="32"/>
          <w:lang w:val="en-US" w:eastAsia="zh-CN"/>
        </w:rPr>
        <w:t>党外知识分子工作经费</w:t>
      </w:r>
      <w:r>
        <w:rPr>
          <w:rFonts w:hint="eastAsia" w:ascii="仿宋_GB2312" w:hAnsi="仿宋_GB2312" w:eastAsia="仿宋_GB2312" w:cs="仿宋_GB2312"/>
          <w:sz w:val="32"/>
          <w:szCs w:val="32"/>
        </w:rPr>
        <w:t>项目等</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个项目绩效自评结果。</w:t>
      </w:r>
    </w:p>
    <w:p>
      <w:pPr>
        <w:ind w:firstLine="640" w:firstLineChars="200"/>
        <w:rPr>
          <w:rFonts w:hint="eastAsia" w:ascii="仿宋" w:hAnsi="仿宋" w:eastAsia="仿宋" w:cs="仿宋"/>
          <w:sz w:val="32"/>
          <w:szCs w:val="32"/>
          <w:lang w:eastAsia="zh-CN"/>
        </w:rPr>
      </w:pPr>
      <w:r>
        <w:rPr>
          <w:rFonts w:hint="eastAsia" w:ascii="仿宋_GB2312" w:hAnsi="仿宋_GB2312" w:eastAsia="仿宋_GB2312" w:cs="仿宋_GB2312"/>
          <w:sz w:val="32"/>
          <w:szCs w:val="32"/>
          <w:lang w:val="en-US" w:eastAsia="zh-CN"/>
        </w:rPr>
        <w:t>宗教工作专项</w:t>
      </w:r>
      <w:r>
        <w:rPr>
          <w:rFonts w:hint="eastAsia" w:ascii="仿宋_GB2312" w:hAnsi="仿宋_GB2312" w:eastAsia="仿宋_GB2312" w:cs="仿宋_GB2312"/>
          <w:sz w:val="32"/>
          <w:szCs w:val="32"/>
        </w:rPr>
        <w:t>项目自评综述：根据年初设定的绩效目标，</w:t>
      </w:r>
      <w:r>
        <w:rPr>
          <w:rFonts w:hint="eastAsia" w:ascii="仿宋_GB2312" w:hAnsi="仿宋_GB2312" w:eastAsia="仿宋_GB2312" w:cs="仿宋_GB2312"/>
          <w:sz w:val="32"/>
          <w:szCs w:val="32"/>
          <w:lang w:val="en-US" w:eastAsia="zh-CN"/>
        </w:rPr>
        <w:t>宗教工作专项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19</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24.57</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129%</w:t>
      </w:r>
      <w:r>
        <w:rPr>
          <w:rFonts w:hint="eastAsia" w:ascii="仿宋_GB2312" w:hAnsi="仿宋_GB2312" w:eastAsia="仿宋_GB2312" w:cs="仿宋_GB2312"/>
          <w:sz w:val="32"/>
          <w:szCs w:val="32"/>
        </w:rPr>
        <w:t>。项目绩效目标完成情况：一是</w:t>
      </w:r>
      <w:r>
        <w:rPr>
          <w:rFonts w:hint="eastAsia" w:ascii="仿宋_GB2312" w:hAnsi="仿宋_GB2312" w:eastAsia="仿宋_GB2312" w:cs="仿宋_GB2312"/>
          <w:sz w:val="32"/>
          <w:szCs w:val="32"/>
          <w:lang w:val="en-US" w:eastAsia="zh-CN"/>
        </w:rPr>
        <w:t>区委理论学习中心组进行了宗教政策理论学习1次；二是全面开展了宗教督查整改；三是举办了1期宗教干部培训，1期宗教界人士培训。四是深入开展“双创四进”活动。组织开展专项培训，建立</w:t>
      </w:r>
      <w:r>
        <w:rPr>
          <w:rFonts w:hint="eastAsia" w:ascii="仿宋_GB2312" w:hAnsi="仿宋_GB2312" w:eastAsia="仿宋_GB2312" w:cs="仿宋_GB2312"/>
          <w:color w:val="000000"/>
          <w:sz w:val="32"/>
          <w:szCs w:val="32"/>
          <w:lang w:val="en-US" w:eastAsia="zh-CN"/>
        </w:rPr>
        <w:t>创建指导员队伍；统一制作安装宣传牌，增强宣传氛围；为每个宗教场所购买《中华人民共和国宪法》，开展“五星红旗飘起来”活动，自觉坚持我国</w:t>
      </w:r>
      <w:bookmarkStart w:id="0" w:name="_GoBack"/>
      <w:bookmarkEnd w:id="0"/>
      <w:r>
        <w:rPr>
          <w:rFonts w:hint="eastAsia" w:ascii="仿宋_GB2312" w:hAnsi="仿宋_GB2312" w:eastAsia="仿宋_GB2312" w:cs="仿宋_GB2312"/>
          <w:color w:val="000000"/>
          <w:sz w:val="32"/>
          <w:szCs w:val="32"/>
          <w:lang w:val="en-US" w:eastAsia="zh-CN"/>
        </w:rPr>
        <w:t>宗教中国化方向。</w:t>
      </w:r>
      <w:r>
        <w:rPr>
          <w:rFonts w:hint="eastAsia" w:ascii="仿宋_GB2312" w:hAnsi="仿宋_GB2312" w:eastAsia="仿宋_GB2312" w:cs="仿宋_GB2312"/>
          <w:sz w:val="32"/>
          <w:szCs w:val="32"/>
        </w:rPr>
        <w:t>发现的主要问题及原因：</w:t>
      </w:r>
      <w:r>
        <w:rPr>
          <w:rFonts w:hint="eastAsia" w:ascii="仿宋" w:hAnsi="仿宋" w:eastAsia="仿宋" w:cs="仿宋"/>
          <w:sz w:val="32"/>
          <w:szCs w:val="32"/>
          <w:lang w:eastAsia="zh-CN"/>
        </w:rPr>
        <w:t>各项制度不完善等</w:t>
      </w:r>
      <w:r>
        <w:rPr>
          <w:rFonts w:hint="eastAsia" w:ascii="仿宋_GB2312" w:hAnsi="仿宋_GB2312" w:eastAsia="仿宋_GB2312" w:cs="仿宋_GB2312"/>
          <w:sz w:val="32"/>
          <w:szCs w:val="32"/>
        </w:rPr>
        <w:t>。下一步改进措施：</w:t>
      </w:r>
      <w:r>
        <w:rPr>
          <w:rFonts w:hint="eastAsia" w:ascii="仿宋" w:hAnsi="仿宋" w:eastAsia="仿宋" w:cs="仿宋"/>
          <w:sz w:val="32"/>
          <w:szCs w:val="32"/>
          <w:lang w:eastAsia="zh-CN"/>
        </w:rPr>
        <w:t>进一步加强制度建设和支出管理。</w:t>
      </w:r>
    </w:p>
    <w:p>
      <w:pPr>
        <w:ind w:firstLine="640" w:firstLineChars="200"/>
        <w:rPr>
          <w:rFonts w:hint="eastAsia" w:ascii="仿宋" w:hAnsi="仿宋" w:eastAsia="仿宋" w:cs="仿宋"/>
          <w:sz w:val="32"/>
          <w:szCs w:val="32"/>
          <w:lang w:eastAsia="zh-CN"/>
        </w:rPr>
      </w:pPr>
      <w:r>
        <w:rPr>
          <w:rFonts w:hint="eastAsia" w:ascii="仿宋_GB2312" w:hAnsi="仿宋_GB2312" w:eastAsia="仿宋_GB2312" w:cs="仿宋_GB2312"/>
          <w:sz w:val="32"/>
          <w:szCs w:val="32"/>
          <w:lang w:val="en-US" w:eastAsia="zh-CN"/>
        </w:rPr>
        <w:t>党外人士和党外知识分子专项自述综评：</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外人士和党外知识分子专项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val="en-US" w:eastAsia="zh-CN"/>
        </w:rPr>
        <w:t>一是团结和凝聚党外人士的思想政治共识。</w:t>
      </w:r>
      <w:r>
        <w:rPr>
          <w:rFonts w:hint="eastAsia" w:ascii="仿宋_GB2312" w:hAnsi="仿宋_GB2312" w:eastAsia="仿宋_GB2312" w:cs="仿宋_GB2312"/>
          <w:b w:val="0"/>
          <w:bCs w:val="0"/>
          <w:sz w:val="32"/>
          <w:szCs w:val="32"/>
          <w:lang w:val="en-US" w:eastAsia="zh-CN"/>
        </w:rPr>
        <w:t>组织召开了</w:t>
      </w:r>
      <w:r>
        <w:rPr>
          <w:rFonts w:hint="eastAsia" w:ascii="仿宋_GB2312" w:hAnsi="仿宋_GB2312" w:eastAsia="仿宋_GB2312" w:cs="仿宋_GB2312"/>
          <w:sz w:val="32"/>
          <w:szCs w:val="32"/>
          <w:lang w:val="en-US" w:eastAsia="zh-CN"/>
        </w:rPr>
        <w:t>统一战线各界人士庆祝新中国成立70周年座谈会等系列活动；二是</w:t>
      </w:r>
      <w:r>
        <w:rPr>
          <w:rFonts w:hint="eastAsia" w:ascii="仿宋_GB2312" w:hAnsi="仿宋_GB2312" w:eastAsia="仿宋_GB2312" w:cs="仿宋_GB2312"/>
          <w:i w:val="0"/>
          <w:caps w:val="0"/>
          <w:color w:val="auto"/>
          <w:spacing w:val="0"/>
          <w:kern w:val="0"/>
          <w:sz w:val="32"/>
          <w:szCs w:val="32"/>
          <w:shd w:val="clear" w:color="auto" w:fill="FFFFFF"/>
          <w:lang w:val="en-US" w:eastAsia="zh-CN" w:bidi="ar"/>
        </w:rPr>
        <w:t>支持民主党派和无党派人士开展“不忘合作初心、继续携手前进”主题教育活动，为党外人士提供学习资料和场地，并开展了</w:t>
      </w:r>
      <w:r>
        <w:rPr>
          <w:rFonts w:hint="eastAsia" w:ascii="仿宋_GB2312" w:hAnsi="仿宋_GB2312" w:eastAsia="仿宋_GB2312" w:cs="仿宋_GB2312"/>
          <w:color w:val="auto"/>
          <w:sz w:val="32"/>
          <w:szCs w:val="32"/>
          <w:lang w:val="en-US" w:eastAsia="zh-CN"/>
        </w:rPr>
        <w:t>2</w:t>
      </w:r>
      <w:r>
        <w:rPr>
          <w:rFonts w:hint="eastAsia" w:ascii="仿宋_GB2312" w:hAnsi="仿宋_GB2312" w:eastAsia="仿宋_GB2312" w:cs="仿宋_GB2312"/>
          <w:color w:val="auto"/>
          <w:sz w:val="32"/>
          <w:szCs w:val="32"/>
          <w:lang w:eastAsia="zh-CN"/>
        </w:rPr>
        <w:t>次集中学习和研讨交流。</w:t>
      </w:r>
      <w:r>
        <w:rPr>
          <w:rFonts w:hint="eastAsia" w:ascii="仿宋_GB2312" w:hAnsi="仿宋_GB2312" w:eastAsia="仿宋_GB2312" w:cs="仿宋_GB2312"/>
          <w:color w:val="auto"/>
          <w:sz w:val="32"/>
          <w:szCs w:val="32"/>
          <w:lang w:val="en-US" w:eastAsia="zh-CN"/>
        </w:rPr>
        <w:t>三是</w:t>
      </w:r>
      <w:r>
        <w:rPr>
          <w:rFonts w:hint="eastAsia" w:ascii="仿宋_GB2312" w:hAnsi="仿宋_GB2312" w:eastAsia="仿宋_GB2312" w:cs="仿宋_GB2312"/>
          <w:b w:val="0"/>
          <w:bCs w:val="0"/>
          <w:sz w:val="32"/>
          <w:szCs w:val="32"/>
          <w:lang w:val="en-US" w:eastAsia="zh-CN"/>
        </w:rPr>
        <w:t>开展了</w:t>
      </w:r>
      <w:r>
        <w:rPr>
          <w:rFonts w:hint="eastAsia" w:ascii="仿宋_GB2312" w:hAnsi="仿宋_GB2312" w:eastAsia="仿宋_GB2312" w:cs="仿宋_GB2312"/>
          <w:color w:val="auto"/>
          <w:sz w:val="32"/>
          <w:szCs w:val="32"/>
        </w:rPr>
        <w:t>纪念</w:t>
      </w:r>
      <w:r>
        <w:rPr>
          <w:rFonts w:hint="eastAsia" w:ascii="仿宋_GB2312" w:hAnsi="仿宋_GB2312" w:eastAsia="仿宋_GB2312" w:cs="仿宋_GB2312"/>
          <w:color w:val="auto"/>
          <w:sz w:val="32"/>
          <w:szCs w:val="32"/>
          <w:lang w:val="en-US" w:eastAsia="zh-CN"/>
        </w:rPr>
        <w:t>中共中央发布</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rPr>
        <w:t>五一口</w:t>
      </w:r>
      <w:r>
        <w:rPr>
          <w:rFonts w:hint="eastAsia" w:ascii="仿宋_GB2312" w:hAnsi="仿宋_GB2312" w:eastAsia="仿宋_GB2312" w:cs="仿宋_GB2312"/>
          <w:color w:val="auto"/>
          <w:sz w:val="32"/>
          <w:szCs w:val="32"/>
          <w:lang w:val="en-US" w:eastAsia="zh-CN"/>
        </w:rPr>
        <w:t>号</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71周年活动，</w:t>
      </w:r>
      <w:r>
        <w:rPr>
          <w:rFonts w:hint="eastAsia" w:ascii="仿宋_GB2312" w:hAnsi="仿宋_GB2312" w:eastAsia="仿宋_GB2312" w:cs="仿宋_GB2312"/>
          <w:color w:val="auto"/>
          <w:sz w:val="32"/>
          <w:szCs w:val="32"/>
        </w:rPr>
        <w:t>召开</w:t>
      </w:r>
      <w:r>
        <w:rPr>
          <w:rFonts w:hint="eastAsia" w:ascii="仿宋_GB2312" w:hAnsi="仿宋_GB2312" w:eastAsia="仿宋_GB2312" w:cs="仿宋_GB2312"/>
          <w:color w:val="auto"/>
          <w:sz w:val="32"/>
          <w:szCs w:val="32"/>
          <w:lang w:eastAsia="zh-CN"/>
        </w:rPr>
        <w:t>了</w:t>
      </w:r>
      <w:r>
        <w:rPr>
          <w:rFonts w:hint="eastAsia" w:ascii="仿宋_GB2312" w:hAnsi="仿宋_GB2312" w:eastAsia="仿宋_GB2312" w:cs="仿宋_GB2312"/>
          <w:color w:val="auto"/>
          <w:sz w:val="32"/>
          <w:szCs w:val="32"/>
        </w:rPr>
        <w:t>“学习革命传统、不忘革命历史、坚定不移跟党走”主题座谈会</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color w:val="auto"/>
          <w:sz w:val="32"/>
          <w:szCs w:val="32"/>
          <w:lang w:val="en-US" w:eastAsia="zh-CN"/>
        </w:rPr>
        <w:t>四是</w:t>
      </w:r>
      <w:r>
        <w:rPr>
          <w:rFonts w:hint="eastAsia" w:ascii="仿宋_GB2312" w:hAnsi="仿宋_GB2312" w:eastAsia="仿宋_GB2312" w:cs="仿宋_GB2312"/>
          <w:sz w:val="32"/>
          <w:szCs w:val="32"/>
          <w:lang w:val="en-US" w:eastAsia="zh-CN"/>
        </w:rPr>
        <w:t>做好党外代表人士工作。加强党外干部的教育培训，区委提拔2名党外正科级干部和2名党外副科级干部，组织各类党外干部培训3次。五是加强党外知识分子和新的社会阶层人士统战工作。</w:t>
      </w:r>
      <w:r>
        <w:rPr>
          <w:rFonts w:hint="eastAsia" w:ascii="仿宋_GB2312" w:hAnsi="仿宋_GB2312" w:eastAsia="仿宋_GB2312" w:cs="仿宋_GB2312"/>
          <w:color w:val="000000"/>
          <w:sz w:val="32"/>
          <w:szCs w:val="32"/>
          <w:lang w:val="en-US" w:eastAsia="zh-CN"/>
        </w:rPr>
        <w:t>知联会</w:t>
      </w:r>
      <w:r>
        <w:rPr>
          <w:rFonts w:hint="eastAsia" w:ascii="仿宋_GB2312" w:hAnsi="仿宋_GB2312" w:eastAsia="仿宋_GB2312" w:cs="仿宋_GB2312"/>
          <w:sz w:val="32"/>
          <w:szCs w:val="32"/>
          <w:lang w:eastAsia="zh-CN"/>
        </w:rPr>
        <w:t>新增实践基地</w:t>
      </w:r>
      <w:r>
        <w:rPr>
          <w:rFonts w:hint="eastAsia" w:ascii="仿宋_GB2312" w:hAnsi="仿宋_GB2312" w:eastAsia="仿宋_GB2312" w:cs="仿宋_GB2312"/>
          <w:sz w:val="32"/>
          <w:szCs w:val="32"/>
          <w:lang w:val="en-US" w:eastAsia="zh-CN"/>
        </w:rPr>
        <w:t>7个，开展各类活动10余次，服务群众400多人次。六是</w:t>
      </w:r>
      <w:r>
        <w:rPr>
          <w:rFonts w:hint="eastAsia" w:ascii="仿宋_GB2312" w:hAnsi="仿宋_GB2312" w:eastAsia="仿宋_GB2312" w:cs="仿宋_GB2312"/>
          <w:sz w:val="32"/>
          <w:szCs w:val="32"/>
          <w:lang w:eastAsia="zh-CN"/>
        </w:rPr>
        <w:t>新</w:t>
      </w:r>
      <w:r>
        <w:rPr>
          <w:rFonts w:hint="eastAsia" w:ascii="仿宋_GB2312" w:hAnsi="仿宋_GB2312" w:eastAsia="仿宋_GB2312" w:cs="仿宋_GB2312"/>
          <w:i w:val="0"/>
          <w:caps w:val="0"/>
          <w:color w:val="auto"/>
          <w:spacing w:val="0"/>
          <w:kern w:val="0"/>
          <w:sz w:val="32"/>
          <w:szCs w:val="32"/>
          <w:shd w:val="clear" w:color="auto" w:fill="FFFFFF"/>
          <w:lang w:val="en-US" w:eastAsia="zh-CN" w:bidi="ar"/>
        </w:rPr>
        <w:t>增新的社会阶层人士实践创新基地1处，</w:t>
      </w:r>
      <w:r>
        <w:rPr>
          <w:rFonts w:hint="eastAsia" w:ascii="仿宋_GB2312" w:hAnsi="仿宋_GB2312" w:eastAsia="仿宋_GB2312" w:cs="仿宋_GB2312"/>
          <w:color w:val="auto"/>
          <w:sz w:val="32"/>
          <w:szCs w:val="32"/>
          <w:lang w:val="en-US" w:eastAsia="zh-CN"/>
        </w:rPr>
        <w:t>建立新的社会阶层人士人才库，组织新的社会阶层人士参加各类学习培训。</w:t>
      </w:r>
      <w:r>
        <w:rPr>
          <w:rFonts w:hint="eastAsia" w:ascii="仿宋_GB2312" w:hAnsi="仿宋_GB2312" w:eastAsia="仿宋_GB2312" w:cs="仿宋_GB2312"/>
          <w:sz w:val="32"/>
          <w:szCs w:val="32"/>
        </w:rPr>
        <w:t>发现的主要问题及原因：</w:t>
      </w:r>
      <w:r>
        <w:rPr>
          <w:rFonts w:hint="eastAsia" w:ascii="仿宋" w:hAnsi="仿宋" w:eastAsia="仿宋" w:cs="仿宋"/>
          <w:sz w:val="32"/>
          <w:szCs w:val="32"/>
          <w:lang w:eastAsia="zh-CN"/>
        </w:rPr>
        <w:t>各项制度不完善等</w:t>
      </w:r>
      <w:r>
        <w:rPr>
          <w:rFonts w:hint="eastAsia" w:ascii="仿宋_GB2312" w:hAnsi="仿宋_GB2312" w:eastAsia="仿宋_GB2312" w:cs="仿宋_GB2312"/>
          <w:sz w:val="32"/>
          <w:szCs w:val="32"/>
        </w:rPr>
        <w:t>。下一步改进措施：</w:t>
      </w:r>
      <w:r>
        <w:rPr>
          <w:rFonts w:hint="eastAsia" w:ascii="仿宋" w:hAnsi="仿宋" w:eastAsia="仿宋" w:cs="仿宋"/>
          <w:sz w:val="32"/>
          <w:szCs w:val="32"/>
          <w:lang w:eastAsia="zh-CN"/>
        </w:rPr>
        <w:t>进一步加强制度建设和支出管理。</w:t>
      </w:r>
    </w:p>
    <w:p>
      <w:pPr>
        <w:ind w:firstLine="640" w:firstLineChars="200"/>
        <w:rPr>
          <w:rFonts w:hint="eastAsia" w:ascii="仿宋_GB2312" w:hAnsi="仿宋_GB2312" w:eastAsia="仿宋_GB2312" w:cs="仿宋_GB2312"/>
          <w:color w:val="000000"/>
          <w:sz w:val="32"/>
          <w:szCs w:val="32"/>
          <w:lang w:val="en-US" w:eastAsia="zh-CN"/>
        </w:rPr>
      </w:pPr>
      <w:r>
        <w:rPr>
          <w:rFonts w:hint="eastAsia" w:ascii="仿宋_GB2312" w:hAnsi="仿宋_GB2312" w:eastAsia="仿宋_GB2312" w:cs="仿宋_GB2312"/>
          <w:sz w:val="32"/>
          <w:szCs w:val="32"/>
          <w:lang w:val="en-US" w:eastAsia="zh-CN"/>
        </w:rPr>
        <w:t>民主党派工作经费专项自述综评：</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民主党派工作经费专项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val="en-US" w:eastAsia="zh-CN"/>
        </w:rPr>
        <w:t>一是</w:t>
      </w:r>
      <w:r>
        <w:rPr>
          <w:rFonts w:hint="eastAsia" w:ascii="仿宋_GB2312" w:hAnsi="仿宋_GB2312" w:eastAsia="仿宋_GB2312" w:cs="仿宋_GB2312"/>
          <w:color w:val="000000"/>
          <w:sz w:val="32"/>
          <w:szCs w:val="32"/>
          <w:lang w:eastAsia="zh-CN"/>
        </w:rPr>
        <w:t>成立了“</w:t>
      </w:r>
      <w:r>
        <w:rPr>
          <w:rFonts w:hint="eastAsia" w:ascii="仿宋_GB2312" w:hAnsi="仿宋_GB2312" w:eastAsia="仿宋_GB2312" w:cs="仿宋_GB2312"/>
          <w:color w:val="000000"/>
          <w:sz w:val="32"/>
          <w:szCs w:val="32"/>
        </w:rPr>
        <w:t>民主党派之家</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lang w:val="en-US" w:eastAsia="zh-CN"/>
        </w:rPr>
        <w:t>二是各党派组织认真了开展“不忘合</w:t>
      </w:r>
      <w:r>
        <w:rPr>
          <w:rFonts w:hint="eastAsia" w:ascii="仿宋_GB2312" w:hAnsi="仿宋_GB2312" w:eastAsia="仿宋_GB2312" w:cs="仿宋_GB2312"/>
          <w:color w:val="000000"/>
          <w:sz w:val="32"/>
          <w:szCs w:val="32"/>
          <w:lang w:eastAsia="zh-CN"/>
        </w:rPr>
        <w:t>作初心、继续携手前进”主题教育活动；</w:t>
      </w:r>
      <w:r>
        <w:rPr>
          <w:rFonts w:hint="eastAsia" w:ascii="仿宋_GB2312" w:hAnsi="仿宋_GB2312" w:eastAsia="仿宋_GB2312" w:cs="仿宋_GB2312"/>
          <w:color w:val="000000"/>
          <w:sz w:val="32"/>
          <w:szCs w:val="32"/>
          <w:lang w:val="en-US" w:eastAsia="zh-CN"/>
        </w:rPr>
        <w:t>三是</w:t>
      </w:r>
      <w:r>
        <w:rPr>
          <w:rFonts w:hint="eastAsia" w:ascii="仿宋_GB2312" w:hAnsi="仿宋_GB2312" w:eastAsia="仿宋_GB2312" w:cs="仿宋_GB2312"/>
          <w:color w:val="000000"/>
          <w:sz w:val="32"/>
          <w:szCs w:val="32"/>
          <w:lang w:eastAsia="zh-CN"/>
        </w:rPr>
        <w:t>先后</w:t>
      </w:r>
      <w:r>
        <w:rPr>
          <w:rFonts w:hint="eastAsia" w:ascii="仿宋_GB2312" w:hAnsi="仿宋_GB2312" w:eastAsia="仿宋_GB2312" w:cs="仿宋_GB2312"/>
          <w:color w:val="000000"/>
          <w:sz w:val="32"/>
          <w:szCs w:val="32"/>
          <w:lang w:val="en-US" w:eastAsia="zh-CN"/>
        </w:rPr>
        <w:t>开展爱国主义教育、专题调研活动和社会服务活动等10余次。</w:t>
      </w:r>
      <w:r>
        <w:rPr>
          <w:rFonts w:hint="eastAsia" w:ascii="仿宋_GB2312" w:hAnsi="仿宋_GB2312" w:eastAsia="仿宋_GB2312" w:cs="仿宋_GB2312"/>
          <w:sz w:val="32"/>
          <w:szCs w:val="32"/>
        </w:rPr>
        <w:t>发现的主要问题及原因：</w:t>
      </w:r>
      <w:r>
        <w:rPr>
          <w:rFonts w:hint="eastAsia" w:ascii="仿宋" w:hAnsi="仿宋" w:eastAsia="仿宋" w:cs="仿宋"/>
          <w:sz w:val="32"/>
          <w:szCs w:val="32"/>
          <w:lang w:eastAsia="zh-CN"/>
        </w:rPr>
        <w:t>各项制度不完善等</w:t>
      </w:r>
      <w:r>
        <w:rPr>
          <w:rFonts w:hint="eastAsia" w:ascii="仿宋_GB2312" w:hAnsi="仿宋_GB2312" w:eastAsia="仿宋_GB2312" w:cs="仿宋_GB2312"/>
          <w:sz w:val="32"/>
          <w:szCs w:val="32"/>
        </w:rPr>
        <w:t>。下一步改进措施：</w:t>
      </w:r>
      <w:r>
        <w:rPr>
          <w:rFonts w:hint="eastAsia" w:ascii="仿宋" w:hAnsi="仿宋" w:eastAsia="仿宋" w:cs="仿宋"/>
          <w:sz w:val="32"/>
          <w:szCs w:val="32"/>
          <w:lang w:eastAsia="zh-CN"/>
        </w:rPr>
        <w:t>进一步加强制度建设和支出管理。</w:t>
      </w:r>
    </w:p>
    <w:p>
      <w:pPr>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台侨工作经费专项自述综评：</w:t>
      </w:r>
      <w:r>
        <w:rPr>
          <w:rFonts w:hint="eastAsia" w:ascii="仿宋_GB2312" w:hAnsi="仿宋_GB2312" w:eastAsia="仿宋_GB2312" w:cs="仿宋_GB2312"/>
          <w:sz w:val="32"/>
          <w:szCs w:val="32"/>
        </w:rPr>
        <w:t>根据年初设定的绩效目标，</w:t>
      </w:r>
      <w:r>
        <w:rPr>
          <w:rFonts w:hint="eastAsia" w:ascii="仿宋_GB2312" w:hAnsi="仿宋_GB2312" w:eastAsia="仿宋_GB2312" w:cs="仿宋_GB2312"/>
          <w:sz w:val="32"/>
          <w:szCs w:val="32"/>
          <w:lang w:val="en-US" w:eastAsia="zh-CN"/>
        </w:rPr>
        <w:t>台侨工作经费专项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val="en-US" w:eastAsia="zh-CN"/>
        </w:rPr>
        <w:t>一是</w:t>
      </w:r>
      <w:r>
        <w:rPr>
          <w:rFonts w:hint="eastAsia" w:ascii="仿宋_GB2312" w:hAnsi="仿宋_GB2312" w:eastAsia="仿宋_GB2312" w:cs="仿宋_GB2312"/>
          <w:sz w:val="32"/>
          <w:szCs w:val="32"/>
          <w:lang w:eastAsia="zh-CN"/>
        </w:rPr>
        <w:t>指导区侨联成立“侨胞之家”，开展集中学习调研</w:t>
      </w:r>
      <w:r>
        <w:rPr>
          <w:rFonts w:hint="eastAsia" w:ascii="仿宋_GB2312" w:hAnsi="仿宋_GB2312" w:eastAsia="仿宋_GB2312" w:cs="仿宋_GB2312"/>
          <w:sz w:val="32"/>
          <w:szCs w:val="32"/>
          <w:lang w:val="en-US" w:eastAsia="zh-CN"/>
        </w:rPr>
        <w:t>4次；二是</w:t>
      </w:r>
      <w:r>
        <w:rPr>
          <w:rFonts w:hint="eastAsia" w:ascii="仿宋_GB2312" w:hAnsi="仿宋_GB2312" w:eastAsia="仿宋_GB2312" w:cs="仿宋_GB2312"/>
          <w:sz w:val="32"/>
          <w:szCs w:val="32"/>
          <w:lang w:eastAsia="zh-CN"/>
        </w:rPr>
        <w:t>组织开展联谊活动和社会服务活动</w:t>
      </w:r>
      <w:r>
        <w:rPr>
          <w:rFonts w:hint="eastAsia" w:ascii="仿宋_GB2312" w:hAnsi="仿宋_GB2312" w:eastAsia="仿宋_GB2312" w:cs="仿宋_GB2312"/>
          <w:sz w:val="32"/>
          <w:szCs w:val="32"/>
          <w:lang w:val="en-US" w:eastAsia="zh-CN"/>
        </w:rPr>
        <w:t>5次；三是集中访慰问归侨侨眷，加强侨法宣传和对外交流活动。</w:t>
      </w:r>
      <w:r>
        <w:rPr>
          <w:rFonts w:hint="eastAsia" w:ascii="仿宋_GB2312" w:hAnsi="仿宋_GB2312" w:eastAsia="仿宋_GB2312" w:cs="仿宋_GB2312"/>
          <w:sz w:val="32"/>
          <w:szCs w:val="32"/>
        </w:rPr>
        <w:t>发现的主要问题及原因：</w:t>
      </w:r>
      <w:r>
        <w:rPr>
          <w:rFonts w:hint="eastAsia" w:ascii="仿宋" w:hAnsi="仿宋" w:eastAsia="仿宋" w:cs="仿宋"/>
          <w:sz w:val="32"/>
          <w:szCs w:val="32"/>
          <w:lang w:eastAsia="zh-CN"/>
        </w:rPr>
        <w:t>各项制度不完善等</w:t>
      </w:r>
      <w:r>
        <w:rPr>
          <w:rFonts w:hint="eastAsia" w:ascii="仿宋_GB2312" w:hAnsi="仿宋_GB2312" w:eastAsia="仿宋_GB2312" w:cs="仿宋_GB2312"/>
          <w:sz w:val="32"/>
          <w:szCs w:val="32"/>
        </w:rPr>
        <w:t>。下一步改进措施：</w:t>
      </w:r>
      <w:r>
        <w:rPr>
          <w:rFonts w:hint="eastAsia" w:ascii="仿宋" w:hAnsi="仿宋" w:eastAsia="仿宋" w:cs="仿宋"/>
          <w:sz w:val="32"/>
          <w:szCs w:val="32"/>
          <w:lang w:eastAsia="zh-CN"/>
        </w:rPr>
        <w:t>进一步加强制度建设和支出管理。</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w:t>
      </w:r>
      <w:r>
        <w:rPr>
          <w:rFonts w:hint="eastAsia" w:ascii="仿宋_GB2312" w:hAnsi="Times New Roman" w:eastAsia="仿宋_GB2312" w:cs="DengXian-Regular"/>
          <w:sz w:val="32"/>
          <w:szCs w:val="32"/>
          <w:lang w:val="en-US" w:eastAsia="zh-CN"/>
        </w:rPr>
        <w:t>23.15</w:t>
      </w:r>
      <w:r>
        <w:rPr>
          <w:rFonts w:hint="eastAsia" w:ascii="仿宋_GB2312" w:hAnsi="Times New Roman" w:eastAsia="仿宋_GB2312" w:cs="DengXian-Regular"/>
          <w:sz w:val="32"/>
          <w:szCs w:val="32"/>
        </w:rPr>
        <w:t>万元，比2018年度增加</w:t>
      </w:r>
      <w:r>
        <w:rPr>
          <w:rFonts w:hint="eastAsia" w:ascii="仿宋_GB2312" w:hAnsi="Times New Roman" w:eastAsia="仿宋_GB2312" w:cs="DengXian-Regular"/>
          <w:sz w:val="32"/>
          <w:szCs w:val="32"/>
          <w:lang w:val="en-US" w:eastAsia="zh-CN"/>
        </w:rPr>
        <w:t>0.36</w:t>
      </w:r>
      <w:r>
        <w:rPr>
          <w:rFonts w:hint="eastAsia" w:ascii="仿宋_GB2312" w:hAnsi="Times New Roman" w:eastAsia="仿宋_GB2312" w:cs="DengXian-Regular"/>
          <w:sz w:val="32"/>
          <w:szCs w:val="32"/>
        </w:rPr>
        <w:t>万元，增长</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%。主要原因是</w:t>
      </w:r>
      <w:r>
        <w:rPr>
          <w:rFonts w:hint="eastAsia" w:ascii="仿宋_GB2312" w:hAnsi="Times New Roman" w:eastAsia="仿宋_GB2312" w:cs="DengXian-Regular"/>
          <w:sz w:val="32"/>
          <w:szCs w:val="32"/>
          <w:lang w:val="en-US" w:eastAsia="zh-CN"/>
        </w:rPr>
        <w:t>机构改革人员调入</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w:t>
      </w:r>
      <w:r>
        <w:rPr>
          <w:rFonts w:hint="eastAsia" w:ascii="仿宋_GB2312" w:hAnsi="Times New Roman" w:eastAsia="仿宋_GB2312" w:cs="DengXian-Regular"/>
          <w:sz w:val="32"/>
          <w:szCs w:val="32"/>
          <w:lang w:val="en-US" w:eastAsia="zh-CN"/>
        </w:rPr>
        <w:t>6.56</w:t>
      </w:r>
      <w:r>
        <w:rPr>
          <w:rFonts w:hint="eastAsia" w:ascii="仿宋_GB2312" w:hAnsi="Times New Roman" w:eastAsia="仿宋_GB2312" w:cs="DengXian-Regular"/>
          <w:sz w:val="32"/>
          <w:szCs w:val="32"/>
        </w:rPr>
        <w:t>万元，从采购类型来看，</w:t>
      </w:r>
      <w:r>
        <w:rPr>
          <w:rFonts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6.56</w:t>
      </w:r>
      <w:r>
        <w:rPr>
          <w:rFonts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 xml:space="preserve">万元、政府采购服务支出 </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6.56</w:t>
      </w:r>
      <w:r>
        <w:rPr>
          <w:rFonts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100</w:t>
      </w:r>
      <w:r>
        <w:rPr>
          <w:rFonts w:ascii="仿宋_GB2312" w:hAnsi="仿宋_GB2312" w:eastAsia="仿宋_GB2312" w:cs="仿宋_GB2312"/>
          <w:color w:val="000000"/>
          <w:kern w:val="0"/>
          <w:sz w:val="32"/>
          <w:szCs w:val="32"/>
          <w:lang w:bidi="ar"/>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val="en-US"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val="en-US" w:eastAsia="zh-CN"/>
        </w:rPr>
        <w:t>持平</w:t>
      </w:r>
      <w:r>
        <w:rPr>
          <w:rFonts w:hint="eastAsia" w:ascii="仿宋_GB2312" w:hAnsi="Times New Roman" w:eastAsia="仿宋_GB2312" w:cs="DengXian-Regular"/>
          <w:sz w:val="32"/>
          <w:szCs w:val="32"/>
        </w:rPr>
        <w:t>，是应急保障用车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val="en-US" w:eastAsia="zh-CN"/>
        </w:rPr>
        <w:t>与</w:t>
      </w:r>
      <w:r>
        <w:rPr>
          <w:rFonts w:hint="eastAsia" w:ascii="仿宋_GB2312" w:hAnsi="Times New Roman" w:eastAsia="仿宋_GB2312" w:cs="DengXian-Regular"/>
          <w:sz w:val="32"/>
          <w:szCs w:val="32"/>
        </w:rPr>
        <w:t>上年</w:t>
      </w:r>
      <w:r>
        <w:rPr>
          <w:rFonts w:hint="eastAsia" w:ascii="仿宋_GB2312" w:hAnsi="Times New Roman" w:eastAsia="仿宋_GB2312" w:cs="DengXian-Regular"/>
          <w:sz w:val="32"/>
          <w:szCs w:val="32"/>
          <w:lang w:val="en-US" w:eastAsia="zh-CN"/>
        </w:rPr>
        <w:t>持平</w:t>
      </w:r>
      <w:r>
        <w:rPr>
          <w:rFonts w:hint="eastAsia" w:ascii="仿宋_GB2312" w:hAnsi="Times New Roman" w:eastAsia="仿宋_GB2312" w:cs="DengXian-Regular"/>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w:t>
      </w:r>
      <w:r>
        <w:rPr>
          <w:rFonts w:hint="eastAsia" w:ascii="仿宋_GB2312" w:hAnsi="Times New Roman" w:eastAsia="仿宋_GB2312" w:cs="DengXian-Regular"/>
          <w:sz w:val="32"/>
          <w:szCs w:val="32"/>
          <w:lang w:val="en-US" w:eastAsia="zh-CN"/>
        </w:rPr>
        <w:t>政府性基金预算财政拨款收入支出决算表、国有资本经营预算财政拨款支出决算表</w:t>
      </w:r>
      <w:r>
        <w:rPr>
          <w:rFonts w:hint="eastAsia" w:ascii="仿宋_GB2312" w:hAnsi="Times New Roman" w:eastAsia="仿宋_GB2312" w:cs="DengXian-Regular"/>
          <w:sz w:val="32"/>
          <w:szCs w:val="32"/>
        </w:rPr>
        <w:t>无收支及结转结余情况，故</w:t>
      </w:r>
      <w:r>
        <w:rPr>
          <w:rFonts w:hint="eastAsia" w:ascii="仿宋_GB2312" w:hAnsi="Times New Roman" w:eastAsia="仿宋_GB2312" w:cs="DengXian-Regular"/>
          <w:sz w:val="32"/>
          <w:szCs w:val="32"/>
          <w:lang w:val="en-US" w:eastAsia="zh-CN"/>
        </w:rPr>
        <w:t>08、09</w:t>
      </w:r>
      <w:r>
        <w:rPr>
          <w:rFonts w:hint="eastAsia" w:ascii="仿宋_GB2312" w:hAnsi="Times New Roman" w:eastAsia="仿宋_GB2312" w:cs="DengXian-Regular"/>
          <w:sz w:val="32"/>
          <w:szCs w:val="32"/>
        </w:rPr>
        <w:t>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sectPr>
          <w:headerReference r:id="rId17" w:type="first"/>
          <w:footerReference r:id="rId19" w:type="first"/>
          <w:headerReference r:id="rId16" w:type="default"/>
          <w:footerReference r:id="rId18" w:type="default"/>
          <w:type w:val="continuous"/>
          <w:pgSz w:w="11906" w:h="16838"/>
          <w:pgMar w:top="2041" w:right="1531" w:bottom="2041" w:left="1531" w:header="851" w:footer="992" w:gutter="0"/>
          <w:pgNumType w:fmt="numberInDash"/>
          <w:cols w:space="0" w:num="1"/>
          <w:titlePg/>
          <w:docGrid w:type="lines" w:linePitch="312" w:charSpace="0"/>
        </w:sectPr>
      </w:pPr>
      <w:r>
        <w:rPr>
          <w:rFonts w:ascii="黑体" w:hAnsi="黑体" w:eastAsia="黑体" w:cs="黑体"/>
          <w:sz w:val="56"/>
          <w:szCs w:val="72"/>
        </w:rPr>
        <w:br w:type="page"/>
      </w: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mc:AlternateContent>
          <mc:Choice Requires="wps">
            <w:drawing>
              <wp:anchor distT="0" distB="0" distL="114300" distR="114300" simplePos="0" relativeHeight="437280768"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45pt;margin-top:34.8pt;height:263.1pt;width:613.65pt;z-index:437280768;v-text-anchor:middle;mso-width-relative:page;mso-height-relative:page;" fillcolor="#FFD966" filled="t" stroked="t" coordsize="21600,21600" o:gfxdata="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IGAk0LcAAAADAEAAA8AAAAAAAAAAQAgAAAAIgAAAGRycy9kb3ducmV2LnhtbFBLAQIUABQAAAAI&#10;AIdO4kBkP1u/WwIAALoEAAAOAAAAAAAAAAEAIAAAACsBAABkcnMvZTJvRG9jLnhtbFBLBQYAAAAA&#10;BgAGAFkBAAD4BQAAAAA=&#10;">
                <v:fill type="pattern" on="t" color2="#FFFFFF [3212]" focussize="0,0" r:id="rId27"/>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pPr/>
    </w:p>
    <w:p>
      <w:pPr/>
    </w:p>
    <w:p>
      <w:pPr/>
    </w:p>
    <w:p>
      <w:pPr/>
    </w:p>
    <w:p>
      <w:pPr/>
    </w:p>
    <w:p>
      <w:pPr/>
    </w:p>
    <w:p>
      <w:pPr/>
    </w:p>
    <w:p>
      <w:pPr/>
    </w:p>
    <w:p>
      <w:pPr/>
    </w:p>
    <w:p>
      <w:pPr/>
    </w:p>
    <w:p>
      <w:pPr/>
    </w:p>
    <w:p>
      <w:pPr>
        <w:tabs>
          <w:tab w:val="left" w:pos="886"/>
        </w:tabs>
        <w:jc w:val="left"/>
        <w:sectPr>
          <w:headerReference r:id="rId20" w:type="firs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hint="eastAsia"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Pr/>
    </w:p>
    <w:p>
      <w:pPr/>
    </w:p>
    <w:p>
      <w:pPr/>
    </w:p>
    <w:p>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1" w:type="default"/>
          <w:pgSz w:w="11906" w:h="16838"/>
          <w:pgMar w:top="2098" w:right="1474" w:bottom="1985" w:left="1588" w:header="851" w:footer="992" w:gutter="0"/>
          <w:pgNumType w:fmt="numberInDash"/>
          <w:cols w:space="425" w:num="1"/>
          <w:docGrid w:type="lines" w:linePitch="312" w:charSpace="0"/>
        </w:sectPr>
      </w:pPr>
    </w:p>
    <w:p>
      <w:pPr/>
    </w:p>
    <w:p>
      <w:pPr>
        <w:tabs>
          <w:tab w:val="left" w:pos="235"/>
        </w:tabs>
        <w:jc w:val="left"/>
        <w:sectPr>
          <w:headerReference r:id="rId22" w:type="default"/>
          <w:pgSz w:w="11906" w:h="16838"/>
          <w:pgMar w:top="2098" w:right="1474" w:bottom="1985" w:left="1588" w:header="851" w:footer="992" w:gutter="0"/>
          <w:pgNumType w:fmt="numberInDash"/>
          <w:cols w:space="425" w:num="1"/>
          <w:docGrid w:type="lines" w:linePitch="312" w:charSpace="0"/>
        </w:sectPr>
      </w:pPr>
      <w:r>
        <w:rPr>
          <w:sz w:val="72"/>
        </w:rPr>
        <mc:AlternateContent>
          <mc:Choice Requires="wps">
            <w:drawing>
              <wp:anchor distT="0" distB="0" distL="114300" distR="114300" simplePos="0" relativeHeight="437281792" behindDoc="0" locked="0" layoutInCell="1" allowOverlap="1">
                <wp:simplePos x="0" y="0"/>
                <wp:positionH relativeFrom="column">
                  <wp:posOffset>-1042035</wp:posOffset>
                </wp:positionH>
                <wp:positionV relativeFrom="paragraph">
                  <wp:posOffset>1420495</wp:posOffset>
                </wp:positionV>
                <wp:extent cx="7793355" cy="3341370"/>
                <wp:effectExtent l="0" t="0" r="17145" b="11430"/>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2.05pt;margin-top:111.85pt;height:263.1pt;width:613.65pt;z-index:437281792;v-text-anchor:middle;mso-width-relative:page;mso-height-relative:page;" fillcolor="#FFD966" filled="t" stroked="t" coordsize="21600,21600" o:gfxdata="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H3kfEfeAAAADQEAAA8AAAAAAAAAAQAgAAAAIgAAAGRycy9kb3ducmV2LnhtbFBLAQIUABQA&#10;AAAIAIdO4kB7DmJbXAIAALoEAAAOAAAAAAAAAAEAIAAAAC0BAABkcnMvZTJvRG9jLnhtbFBLBQYA&#10;AAAABgAGAFkBAAD7BQAAAAA=&#10;">
                <v:fill type="pattern" on="t" color2="#FFFFFF [3212]" focussize="0,0" r:id="rId27"/>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pPr>
        <w:tabs>
          <w:tab w:val="left" w:pos="886"/>
        </w:tabs>
        <w:jc w:val="left"/>
      </w:pPr>
    </w:p>
    <w:p>
      <w:pPr>
        <w:jc w:val="left"/>
      </w:pPr>
    </w:p>
    <w:tbl>
      <w:tblPr>
        <w:tblStyle w:val="7"/>
        <w:tblpPr w:leftFromText="180" w:rightFromText="180" w:vertAnchor="text" w:horzAnchor="page" w:tblpXSpec="center" w:tblpY="31"/>
        <w:tblOverlap w:val="never"/>
        <w:tblW w:w="9517" w:type="dxa"/>
        <w:jc w:val="center"/>
        <w:tblInd w:w="0" w:type="dxa"/>
        <w:tblLayout w:type="fixed"/>
        <w:tblCellMar>
          <w:top w:w="0" w:type="dxa"/>
          <w:left w:w="0" w:type="dxa"/>
          <w:bottom w:w="0" w:type="dxa"/>
          <w:right w:w="0" w:type="dxa"/>
        </w:tblCellMar>
      </w:tblPr>
      <w:tblGrid>
        <w:gridCol w:w="3236"/>
        <w:gridCol w:w="731"/>
        <w:gridCol w:w="691"/>
        <w:gridCol w:w="3474"/>
        <w:gridCol w:w="541"/>
        <w:gridCol w:w="844"/>
      </w:tblGrid>
      <w:tr>
        <w:tblPrEx>
          <w:tblLayout w:type="fixed"/>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收入支出决算总表</w:t>
            </w:r>
          </w:p>
        </w:tc>
      </w:tr>
      <w:tr>
        <w:tblPrEx>
          <w:tblLayout w:type="fixed"/>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公开01表</w:t>
            </w:r>
          </w:p>
        </w:tc>
      </w:tr>
      <w:tr>
        <w:tblPrEx>
          <w:tblLayout w:type="fixed"/>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hint="eastAsia" w:ascii="宋体" w:hAnsi="宋体" w:eastAsia="宋体" w:cs="宋体"/>
                <w:color w:val="000000"/>
                <w:sz w:val="20"/>
                <w:szCs w:val="20"/>
                <w:lang w:val="en-US"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统战部</w:t>
            </w: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收入</w:t>
            </w:r>
          </w:p>
        </w:tc>
        <w:tc>
          <w:tcPr>
            <w:tcW w:w="4859"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支出</w:t>
            </w:r>
          </w:p>
        </w:tc>
      </w:tr>
      <w:tr>
        <w:tblPrEx>
          <w:tblLayout w:type="fixed"/>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238.6</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267.07</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三、上级补助收入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四、事业收入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五、经营收入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六、附属单位上缴收入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七、其他收入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61.4</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17.4</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9.37</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十八、自然资源海洋气象等支出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8.92</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二十一、灾害防治及应急管理支出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both"/>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300</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302.77</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用事业基金弥补收支差额</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结余分配</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22.32</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19.55</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322.32</w:t>
            </w:r>
            <w:r>
              <w:rPr>
                <w:rFonts w:hint="eastAsia" w:ascii="宋体" w:hAnsi="宋体" w:eastAsia="宋体" w:cs="宋体"/>
                <w:color w:val="000000"/>
                <w:kern w:val="0"/>
                <w:sz w:val="22"/>
                <w:lang w:bidi="ar"/>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lang w:val="en-US" w:eastAsia="zh-CN" w:bidi="ar"/>
              </w:rPr>
              <w:t>322.32</w:t>
            </w:r>
            <w:r>
              <w:rPr>
                <w:rFonts w:hint="eastAsia" w:ascii="宋体" w:hAnsi="宋体" w:eastAsia="宋体" w:cs="宋体"/>
                <w:color w:val="000000"/>
                <w:kern w:val="0"/>
                <w:sz w:val="22"/>
                <w:lang w:bidi="ar"/>
              </w:rPr>
              <w:t>　</w:t>
            </w:r>
          </w:p>
        </w:tc>
      </w:tr>
      <w:tr>
        <w:tblPrEx>
          <w:tblLayout w:type="fixed"/>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注：本表反映部门本年度的总收支和年末结转结余情况。</w:t>
            </w:r>
          </w:p>
          <w:p>
            <w:pPr>
              <w:widowControl/>
              <w:jc w:val="left"/>
              <w:textAlignment w:val="center"/>
              <w:rPr>
                <w:rFonts w:ascii="宋体" w:hAnsi="宋体" w:eastAsia="宋体" w:cs="宋体"/>
                <w:color w:val="000000"/>
                <w:kern w:val="0"/>
                <w:sz w:val="22"/>
                <w:lang w:bidi="ar"/>
              </w:rPr>
            </w:pPr>
          </w:p>
          <w:p>
            <w:pPr>
              <w:widowControl/>
              <w:jc w:val="left"/>
              <w:textAlignment w:val="center"/>
              <w:rPr>
                <w:rFonts w:ascii="宋体" w:hAnsi="宋体" w:eastAsia="宋体" w:cs="宋体"/>
                <w:color w:val="000000"/>
                <w:kern w:val="0"/>
                <w:sz w:val="22"/>
                <w:lang w:bidi="ar"/>
              </w:rPr>
            </w:pPr>
          </w:p>
        </w:tc>
      </w:tr>
    </w:tbl>
    <w:tbl>
      <w:tblPr>
        <w:tblStyle w:val="7"/>
        <w:tblW w:w="9582" w:type="dxa"/>
        <w:jc w:val="center"/>
        <w:tblInd w:w="0" w:type="dxa"/>
        <w:tblLayout w:type="fixed"/>
        <w:tblCellMar>
          <w:top w:w="0" w:type="dxa"/>
          <w:left w:w="0" w:type="dxa"/>
          <w:bottom w:w="0" w:type="dxa"/>
          <w:right w:w="0" w:type="dxa"/>
        </w:tblCellMar>
      </w:tblPr>
      <w:tblGrid>
        <w:gridCol w:w="630"/>
        <w:gridCol w:w="36"/>
        <w:gridCol w:w="36"/>
        <w:gridCol w:w="2010"/>
        <w:gridCol w:w="999"/>
        <w:gridCol w:w="978"/>
        <w:gridCol w:w="978"/>
        <w:gridCol w:w="978"/>
        <w:gridCol w:w="978"/>
        <w:gridCol w:w="978"/>
        <w:gridCol w:w="981"/>
      </w:tblGrid>
      <w:tr>
        <w:tblPrEx>
          <w:tblLayout w:type="fixed"/>
          <w:tblCellMar>
            <w:top w:w="0" w:type="dxa"/>
            <w:left w:w="0" w:type="dxa"/>
            <w:bottom w:w="0" w:type="dxa"/>
            <w:right w:w="0" w:type="dxa"/>
          </w:tblCellMar>
        </w:tblPrEx>
        <w:trPr>
          <w:trHeight w:val="670" w:hRule="atLeast"/>
          <w:jc w:val="center"/>
        </w:trPr>
        <w:tc>
          <w:tcPr>
            <w:tcW w:w="9582" w:type="dxa"/>
            <w:gridSpan w:val="11"/>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kern w:val="0"/>
                <w:sz w:val="32"/>
                <w:szCs w:val="32"/>
                <w:lang w:bidi="ar"/>
              </w:rPr>
            </w:pPr>
          </w:p>
          <w:p>
            <w:pPr>
              <w:widowControl/>
              <w:jc w:val="center"/>
              <w:textAlignment w:val="bottom"/>
              <w:rPr>
                <w:rFonts w:ascii="黑体" w:hAnsi="宋体" w:eastAsia="黑体" w:cs="黑体"/>
                <w:color w:val="000000"/>
                <w:sz w:val="32"/>
                <w:szCs w:val="32"/>
              </w:rPr>
            </w:pPr>
            <w:r>
              <w:rPr>
                <w:rFonts w:hint="eastAsia" w:ascii="黑体" w:hAnsi="宋体" w:eastAsia="黑体" w:cs="黑体"/>
                <w:color w:val="000000"/>
                <w:kern w:val="0"/>
                <w:sz w:val="32"/>
                <w:szCs w:val="32"/>
                <w:lang w:bidi="ar"/>
              </w:rPr>
              <w:t>收入决算表</w:t>
            </w:r>
          </w:p>
        </w:tc>
      </w:tr>
      <w:tr>
        <w:tblPrEx>
          <w:tblLayout w:type="fixed"/>
          <w:tblCellMar>
            <w:top w:w="0" w:type="dxa"/>
            <w:left w:w="0" w:type="dxa"/>
            <w:bottom w:w="0" w:type="dxa"/>
            <w:right w:w="0" w:type="dxa"/>
          </w:tblCellMar>
        </w:tblPrEx>
        <w:trPr>
          <w:trHeight w:val="357" w:hRule="atLeast"/>
          <w:jc w:val="center"/>
        </w:trPr>
        <w:tc>
          <w:tcPr>
            <w:tcW w:w="63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1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7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7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7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7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959"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Layout w:type="fixed"/>
          <w:tblCellMar>
            <w:top w:w="0" w:type="dxa"/>
            <w:left w:w="0" w:type="dxa"/>
            <w:bottom w:w="0" w:type="dxa"/>
            <w:right w:w="0" w:type="dxa"/>
          </w:tblCellMar>
        </w:tblPrEx>
        <w:trPr>
          <w:trHeight w:val="357" w:hRule="atLeast"/>
          <w:jc w:val="center"/>
        </w:trPr>
        <w:tc>
          <w:tcPr>
            <w:tcW w:w="630"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10" w:type="dxa"/>
            <w:tcBorders>
              <w:top w:val="nil"/>
              <w:left w:val="nil"/>
              <w:bottom w:val="nil"/>
              <w:right w:val="nil"/>
            </w:tcBorders>
            <w:shd w:val="clear" w:color="auto" w:fill="auto"/>
            <w:tcMar>
              <w:top w:w="15" w:type="dxa"/>
              <w:left w:w="15" w:type="dxa"/>
              <w:right w:w="15" w:type="dxa"/>
            </w:tcMar>
            <w:vAlign w:val="bottom"/>
          </w:tcPr>
          <w:p>
            <w:pPr>
              <w:rPr>
                <w:rFonts w:hint="eastAsia" w:ascii="Arial" w:hAnsi="Arial" w:cs="Arial" w:eastAsiaTheme="minorEastAsia"/>
                <w:color w:val="000000"/>
                <w:sz w:val="20"/>
                <w:szCs w:val="20"/>
                <w:lang w:val="en-US" w:eastAsia="zh-CN"/>
              </w:rPr>
            </w:pPr>
            <w:r>
              <w:rPr>
                <w:rFonts w:hint="eastAsia" w:ascii="Arial" w:hAnsi="Arial" w:cs="Arial"/>
                <w:color w:val="000000"/>
                <w:sz w:val="20"/>
                <w:szCs w:val="20"/>
                <w:lang w:val="en-US" w:eastAsia="zh-CN"/>
              </w:rPr>
              <w:t>统战部</w:t>
            </w:r>
          </w:p>
        </w:tc>
        <w:tc>
          <w:tcPr>
            <w:tcW w:w="9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7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7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7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937"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85" w:hRule="atLeast"/>
          <w:jc w:val="center"/>
        </w:trPr>
        <w:tc>
          <w:tcPr>
            <w:tcW w:w="271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99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本年收入合计</w:t>
            </w:r>
          </w:p>
        </w:tc>
        <w:tc>
          <w:tcPr>
            <w:tcW w:w="97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财政拨款收入</w:t>
            </w:r>
          </w:p>
        </w:tc>
        <w:tc>
          <w:tcPr>
            <w:tcW w:w="97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上级补助收入</w:t>
            </w:r>
          </w:p>
        </w:tc>
        <w:tc>
          <w:tcPr>
            <w:tcW w:w="97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事业收入</w:t>
            </w:r>
          </w:p>
        </w:tc>
        <w:tc>
          <w:tcPr>
            <w:tcW w:w="97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经营收入</w:t>
            </w:r>
          </w:p>
        </w:tc>
        <w:tc>
          <w:tcPr>
            <w:tcW w:w="97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附属单位上缴收入</w:t>
            </w:r>
          </w:p>
        </w:tc>
        <w:tc>
          <w:tcPr>
            <w:tcW w:w="98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其他收入</w:t>
            </w:r>
          </w:p>
        </w:tc>
      </w:tr>
      <w:tr>
        <w:tblPrEx>
          <w:tblLayout w:type="fixed"/>
          <w:tblCellMar>
            <w:top w:w="0" w:type="dxa"/>
            <w:left w:w="0" w:type="dxa"/>
            <w:bottom w:w="0" w:type="dxa"/>
            <w:right w:w="0" w:type="dxa"/>
          </w:tblCellMar>
        </w:tblPrEx>
        <w:trPr>
          <w:trHeight w:val="380" w:hRule="atLeast"/>
          <w:jc w:val="center"/>
        </w:trPr>
        <w:tc>
          <w:tcPr>
            <w:tcW w:w="70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01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7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1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0" w:hRule="atLeast"/>
          <w:jc w:val="center"/>
        </w:trPr>
        <w:tc>
          <w:tcPr>
            <w:tcW w:w="70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1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9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7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98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271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r>
      <w:tr>
        <w:tblPrEx>
          <w:tblLayout w:type="fixed"/>
          <w:tblCellMar>
            <w:top w:w="0" w:type="dxa"/>
            <w:left w:w="0" w:type="dxa"/>
            <w:bottom w:w="0" w:type="dxa"/>
            <w:right w:w="0" w:type="dxa"/>
          </w:tblCellMar>
        </w:tblPrEx>
        <w:trPr>
          <w:trHeight w:val="385" w:hRule="atLeast"/>
          <w:jc w:val="center"/>
        </w:trPr>
        <w:tc>
          <w:tcPr>
            <w:tcW w:w="271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300</w:t>
            </w: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238.6</w:t>
            </w: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61.4</w:t>
            </w:r>
          </w:p>
        </w:tc>
      </w:tr>
      <w:tr>
        <w:tblPrEx>
          <w:tblLayout w:type="fixed"/>
          <w:tblCellMar>
            <w:top w:w="0" w:type="dxa"/>
            <w:left w:w="0" w:type="dxa"/>
            <w:bottom w:w="0" w:type="dxa"/>
            <w:right w:w="0" w:type="dxa"/>
          </w:tblCellMar>
        </w:tblPrEx>
        <w:trPr>
          <w:trHeight w:val="385"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201</w:t>
            </w:r>
          </w:p>
        </w:tc>
        <w:tc>
          <w:tcPr>
            <w:tcW w:w="20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一般公共服务支出</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256.91</w:t>
            </w: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195.21</w:t>
            </w: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61.4</w:t>
            </w:r>
          </w:p>
        </w:tc>
      </w:tr>
      <w:tr>
        <w:tblPrEx>
          <w:tblLayout w:type="fixed"/>
          <w:tblCellMar>
            <w:top w:w="0" w:type="dxa"/>
            <w:left w:w="0" w:type="dxa"/>
            <w:bottom w:w="0" w:type="dxa"/>
            <w:right w:w="0" w:type="dxa"/>
          </w:tblCellMar>
        </w:tblPrEx>
        <w:trPr>
          <w:trHeight w:val="385"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208</w:t>
            </w:r>
          </w:p>
        </w:tc>
        <w:tc>
          <w:tcPr>
            <w:tcW w:w="20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社会保障和就业支出</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21.79</w:t>
            </w: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21.79</w:t>
            </w: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210</w:t>
            </w:r>
          </w:p>
        </w:tc>
        <w:tc>
          <w:tcPr>
            <w:tcW w:w="20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卫生健康支出</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11.79</w:t>
            </w: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11.79</w:t>
            </w: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221</w:t>
            </w:r>
          </w:p>
        </w:tc>
        <w:tc>
          <w:tcPr>
            <w:tcW w:w="20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住房保障支出</w:t>
            </w: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9.5</w:t>
            </w: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9.5</w:t>
            </w: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0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70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01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7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98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85" w:hRule="atLeast"/>
          <w:jc w:val="center"/>
        </w:trPr>
        <w:tc>
          <w:tcPr>
            <w:tcW w:w="9582" w:type="dxa"/>
            <w:gridSpan w:val="11"/>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pPr/>
      <w:r>
        <w:br w:type="page"/>
      </w:r>
    </w:p>
    <w:tbl>
      <w:tblPr>
        <w:tblStyle w:val="7"/>
        <w:tblW w:w="9680" w:type="dxa"/>
        <w:jc w:val="center"/>
        <w:tblInd w:w="0" w:type="dxa"/>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Layout w:type="fixed"/>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Layout w:type="fixed"/>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11"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公开03表</w:t>
            </w:r>
          </w:p>
        </w:tc>
      </w:tr>
      <w:tr>
        <w:tblPrEx>
          <w:tblLayout w:type="fixed"/>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hint="eastAsia" w:ascii="宋体" w:hAnsi="宋体" w:eastAsia="宋体" w:cs="宋体"/>
                <w:color w:val="000000"/>
                <w:sz w:val="20"/>
                <w:szCs w:val="20"/>
                <w:lang w:val="en-US"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统战部</w:t>
            </w: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572"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对附属单位补助支出</w:t>
            </w:r>
          </w:p>
        </w:tc>
      </w:tr>
      <w:tr>
        <w:tblPrEx>
          <w:tblLayout w:type="fixed"/>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35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302.77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203.37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99.4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一般公共服务支出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267.07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170.07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208</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社会保障和就业支出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17.4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210</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卫生健康支出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9.37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9.37</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221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住房保障支出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8.92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8.92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注：本表反映部门本年度各项支出情况。</w:t>
            </w:r>
          </w:p>
        </w:tc>
      </w:tr>
    </w:tbl>
    <w:p>
      <w:pPr/>
      <w:r>
        <w:br w:type="page"/>
      </w:r>
    </w:p>
    <w:tbl>
      <w:tblPr>
        <w:tblStyle w:val="7"/>
        <w:tblW w:w="9520" w:type="dxa"/>
        <w:jc w:val="center"/>
        <w:tblInd w:w="0" w:type="dxa"/>
        <w:tblLayout w:type="fixed"/>
        <w:tblCellMar>
          <w:top w:w="0" w:type="dxa"/>
          <w:left w:w="0" w:type="dxa"/>
          <w:bottom w:w="0" w:type="dxa"/>
          <w:right w:w="0" w:type="dxa"/>
        </w:tblCellMar>
      </w:tblPr>
      <w:tblGrid>
        <w:gridCol w:w="2922"/>
        <w:gridCol w:w="425"/>
        <w:gridCol w:w="662"/>
        <w:gridCol w:w="2946"/>
        <w:gridCol w:w="507"/>
        <w:gridCol w:w="414"/>
        <w:gridCol w:w="855"/>
        <w:gridCol w:w="789"/>
      </w:tblGrid>
      <w:tr>
        <w:tblPrEx>
          <w:tblLayout w:type="fixed"/>
          <w:tblCellMar>
            <w:top w:w="0" w:type="dxa"/>
            <w:left w:w="0" w:type="dxa"/>
            <w:bottom w:w="0" w:type="dxa"/>
            <w:right w:w="0" w:type="dxa"/>
          </w:tblCellMar>
        </w:tblPrEx>
        <w:trPr>
          <w:trHeight w:val="406" w:hRule="atLeast"/>
          <w:jc w:val="center"/>
        </w:trPr>
        <w:tc>
          <w:tcPr>
            <w:tcW w:w="9520" w:type="dxa"/>
            <w:gridSpan w:val="8"/>
            <w:tcBorders>
              <w:top w:val="nil"/>
              <w:left w:val="nil"/>
              <w:bottom w:val="nil"/>
              <w:right w:val="nil"/>
            </w:tcBorders>
            <w:shd w:val="clear" w:color="auto" w:fill="auto"/>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公开04表</w:t>
            </w: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hint="eastAsia" w:ascii="宋体" w:hAnsi="宋体" w:eastAsia="宋体" w:cs="宋体"/>
                <w:color w:val="000000"/>
                <w:sz w:val="20"/>
                <w:szCs w:val="20"/>
                <w:lang w:val="en-US"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统战部</w:t>
            </w:r>
          </w:p>
        </w:tc>
        <w:tc>
          <w:tcPr>
            <w:tcW w:w="4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6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94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5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90" w:hRule="atLeast"/>
          <w:jc w:val="center"/>
        </w:trPr>
        <w:tc>
          <w:tcPr>
            <w:tcW w:w="400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收     入</w:t>
            </w:r>
          </w:p>
        </w:tc>
        <w:tc>
          <w:tcPr>
            <w:tcW w:w="5511"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支     出</w:t>
            </w:r>
          </w:p>
        </w:tc>
      </w:tr>
      <w:tr>
        <w:tblPrEx>
          <w:tblLayout w:type="fixed"/>
          <w:tblCellMar>
            <w:top w:w="0" w:type="dxa"/>
            <w:left w:w="0" w:type="dxa"/>
            <w:bottom w:w="0" w:type="dxa"/>
            <w:right w:w="0" w:type="dxa"/>
          </w:tblCellMar>
        </w:tblPrEx>
        <w:trPr>
          <w:trHeight w:val="312" w:hRule="atLeast"/>
          <w:jc w:val="center"/>
        </w:trPr>
        <w:tc>
          <w:tcPr>
            <w:tcW w:w="2922"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42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6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金额</w:t>
            </w:r>
          </w:p>
        </w:tc>
        <w:tc>
          <w:tcPr>
            <w:tcW w:w="294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行次</w:t>
            </w:r>
          </w:p>
        </w:tc>
        <w:tc>
          <w:tcPr>
            <w:tcW w:w="41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一般公共预算财政拨款</w:t>
            </w:r>
          </w:p>
        </w:tc>
        <w:tc>
          <w:tcPr>
            <w:tcW w:w="78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政府性基金预算财政拨款</w:t>
            </w:r>
          </w:p>
        </w:tc>
      </w:tr>
      <w:tr>
        <w:tblPrEx>
          <w:tblLayout w:type="fixed"/>
          <w:tblCellMar>
            <w:top w:w="0" w:type="dxa"/>
            <w:left w:w="0" w:type="dxa"/>
            <w:bottom w:w="0" w:type="dxa"/>
            <w:right w:w="0" w:type="dxa"/>
          </w:tblCellMar>
        </w:tblPrEx>
        <w:trPr>
          <w:trHeight w:val="312" w:hRule="atLeast"/>
          <w:jc w:val="center"/>
        </w:trPr>
        <w:tc>
          <w:tcPr>
            <w:tcW w:w="2922"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2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94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5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1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lang w:bidi="ar"/>
              </w:rPr>
              <w:t>栏次</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238.6</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一、一般公共服务支出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30</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205.67</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205.67</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二、外交支出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31</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三、国防支出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32</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四、公共安全支出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33</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五、教育支出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34</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六、科学技术支出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35</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七、文化旅游体育与传媒支出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36</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八、社会保障和就业支出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37</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17.4</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17.4</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九、卫生健康支出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38</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9.37</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9.37</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十、节能环保支出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39</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十一、城乡社区支出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40</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十二、农林水支出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41</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13</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十三、交通运输支出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42</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14</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十四、资源勘探信息等支出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43</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15</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十五、商业服务业等支出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44</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16</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十六、金融支出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45</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17</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十七、援助其他地区支出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46</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18</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1"/>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Cs w:val="21"/>
                <w:lang w:bidi="ar"/>
              </w:rPr>
              <w:t>十八、自然资源海洋气象等支出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47</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19</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十九、住房保障支出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48</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8.92</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8.92</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20</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二十、粮油物资储备支出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49</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kern w:val="2"/>
                <w:sz w:val="22"/>
                <w:szCs w:val="22"/>
                <w:lang w:val="en-US" w:eastAsia="zh-CN" w:bidi="ar-SA"/>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21</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Cs w:val="21"/>
              </w:rPr>
            </w:pPr>
            <w:r>
              <w:rPr>
                <w:rFonts w:hint="eastAsia" w:ascii="宋体" w:hAnsi="宋体" w:eastAsia="宋体" w:cs="宋体"/>
                <w:color w:val="000000"/>
                <w:kern w:val="0"/>
                <w:sz w:val="20"/>
                <w:szCs w:val="20"/>
                <w:lang w:bidi="ar"/>
              </w:rPr>
              <w:t>二十一、灾害防治及应急管理支出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50</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kern w:val="2"/>
                <w:sz w:val="22"/>
                <w:szCs w:val="22"/>
                <w:lang w:val="en-US" w:eastAsia="zh-CN" w:bidi="ar-SA"/>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22</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二十二、其他支出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51</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23</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二十四、债务付息支出</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52</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本年收入合计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24</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238.6</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本年支出合计</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53</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241.37</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241.37</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年初财政拨款结转和结余</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25</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22.32</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年末财政拨款结转和结余</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54</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19.55</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19.55</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一、一般公共预算财政拨款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26</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22.32</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55</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二、政府性基金预算财政拨款</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27</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56</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28</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57</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90" w:hRule="atLeast"/>
          <w:jc w:val="center"/>
        </w:trPr>
        <w:tc>
          <w:tcPr>
            <w:tcW w:w="2922"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4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29</w:t>
            </w:r>
          </w:p>
        </w:tc>
        <w:tc>
          <w:tcPr>
            <w:tcW w:w="6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260.92</w:t>
            </w:r>
          </w:p>
        </w:tc>
        <w:tc>
          <w:tcPr>
            <w:tcW w:w="294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lang w:bidi="ar"/>
              </w:rPr>
              <w:t>总计</w:t>
            </w:r>
          </w:p>
        </w:tc>
        <w:tc>
          <w:tcPr>
            <w:tcW w:w="5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58</w:t>
            </w:r>
          </w:p>
        </w:tc>
        <w:tc>
          <w:tcPr>
            <w:tcW w:w="4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260.92</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260.92</w:t>
            </w:r>
          </w:p>
        </w:tc>
        <w:tc>
          <w:tcPr>
            <w:tcW w:w="78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kern w:val="2"/>
                <w:sz w:val="22"/>
                <w:szCs w:val="22"/>
                <w:lang w:val="en-US" w:eastAsia="zh-CN" w:bidi="ar-SA"/>
              </w:rPr>
            </w:pPr>
          </w:p>
        </w:tc>
      </w:tr>
      <w:tr>
        <w:tblPrEx>
          <w:tblLayout w:type="fixed"/>
          <w:tblCellMar>
            <w:top w:w="0" w:type="dxa"/>
            <w:left w:w="0" w:type="dxa"/>
            <w:bottom w:w="0" w:type="dxa"/>
            <w:right w:w="0" w:type="dxa"/>
          </w:tblCellMar>
        </w:tblPrEx>
        <w:trPr>
          <w:trHeight w:val="90" w:hRule="atLeast"/>
          <w:jc w:val="center"/>
        </w:trPr>
        <w:tc>
          <w:tcPr>
            <w:tcW w:w="9520" w:type="dxa"/>
            <w:gridSpan w:val="8"/>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注：本表反映部门本年度一般公共预算财政拨款和政府性基金预算财政拨款的总收支和年末结转结余情况。</w:t>
            </w:r>
          </w:p>
        </w:tc>
      </w:tr>
    </w:tbl>
    <w:p>
      <w:pPr/>
      <w:r>
        <w:br w:type="page"/>
      </w:r>
    </w:p>
    <w:tbl>
      <w:tblPr>
        <w:tblStyle w:val="7"/>
        <w:tblW w:w="9990" w:type="dxa"/>
        <w:jc w:val="center"/>
        <w:tblInd w:w="0" w:type="dxa"/>
        <w:tblLayout w:type="fixed"/>
        <w:tblCellMar>
          <w:top w:w="0" w:type="dxa"/>
          <w:left w:w="0" w:type="dxa"/>
          <w:bottom w:w="0" w:type="dxa"/>
          <w:right w:w="0" w:type="dxa"/>
        </w:tblCellMar>
      </w:tblPr>
      <w:tblGrid>
        <w:gridCol w:w="1695"/>
        <w:gridCol w:w="50"/>
        <w:gridCol w:w="50"/>
        <w:gridCol w:w="2770"/>
        <w:gridCol w:w="2011"/>
        <w:gridCol w:w="1785"/>
        <w:gridCol w:w="1629"/>
      </w:tblGrid>
      <w:tr>
        <w:tblPrEx>
          <w:tblLayout w:type="fixed"/>
          <w:tblCellMar>
            <w:top w:w="0" w:type="dxa"/>
            <w:left w:w="0" w:type="dxa"/>
            <w:bottom w:w="0" w:type="dxa"/>
            <w:right w:w="0" w:type="dxa"/>
          </w:tblCellMar>
        </w:tblPrEx>
        <w:trPr>
          <w:trHeight w:val="600" w:hRule="atLeast"/>
          <w:jc w:val="center"/>
        </w:trPr>
        <w:tc>
          <w:tcPr>
            <w:tcW w:w="9990"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一般公共预算财政拨款支出决算表</w:t>
            </w:r>
          </w:p>
        </w:tc>
      </w:tr>
      <w:tr>
        <w:tblPrEx>
          <w:tblLayout w:type="fixed"/>
          <w:tblCellMar>
            <w:top w:w="0" w:type="dxa"/>
            <w:left w:w="0" w:type="dxa"/>
            <w:bottom w:w="0" w:type="dxa"/>
            <w:right w:w="0" w:type="dxa"/>
          </w:tblCellMar>
        </w:tblPrEx>
        <w:trPr>
          <w:trHeight w:val="255" w:hRule="atLeast"/>
          <w:jc w:val="center"/>
        </w:trPr>
        <w:tc>
          <w:tcPr>
            <w:tcW w:w="169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77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414"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公开05表</w:t>
            </w:r>
          </w:p>
        </w:tc>
      </w:tr>
      <w:tr>
        <w:tblPrEx>
          <w:tblLayout w:type="fixed"/>
          <w:tblCellMar>
            <w:top w:w="0" w:type="dxa"/>
            <w:left w:w="0" w:type="dxa"/>
            <w:bottom w:w="0" w:type="dxa"/>
            <w:right w:w="0" w:type="dxa"/>
          </w:tblCellMar>
        </w:tblPrEx>
        <w:trPr>
          <w:trHeight w:val="255" w:hRule="atLeast"/>
          <w:jc w:val="center"/>
        </w:trPr>
        <w:tc>
          <w:tcPr>
            <w:tcW w:w="1695"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hint="eastAsia" w:ascii="宋体" w:hAnsi="宋体" w:eastAsia="宋体" w:cs="宋体"/>
                <w:color w:val="000000"/>
                <w:sz w:val="20"/>
                <w:szCs w:val="20"/>
                <w:lang w:val="en-US"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统战部</w:t>
            </w:r>
          </w:p>
        </w:tc>
        <w:tc>
          <w:tcPr>
            <w:tcW w:w="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77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414"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4565"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542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312" w:hRule="atLeast"/>
          <w:jc w:val="center"/>
        </w:trPr>
        <w:tc>
          <w:tcPr>
            <w:tcW w:w="179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277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201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78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6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12" w:hRule="atLeast"/>
          <w:jc w:val="center"/>
        </w:trPr>
        <w:tc>
          <w:tcPr>
            <w:tcW w:w="179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1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78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79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77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01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78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4565"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2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6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4565"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2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241.37</w:t>
            </w: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203.37</w:t>
            </w:r>
          </w:p>
        </w:tc>
        <w:tc>
          <w:tcPr>
            <w:tcW w:w="16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b/>
                <w:color w:val="000000"/>
                <w:sz w:val="22"/>
                <w:lang w:val="en-US" w:eastAsia="zh-CN"/>
              </w:rPr>
            </w:pPr>
            <w:r>
              <w:rPr>
                <w:rFonts w:hint="eastAsia" w:ascii="宋体" w:hAnsi="宋体" w:eastAsia="宋体" w:cs="宋体"/>
                <w:b/>
                <w:color w:val="000000"/>
                <w:sz w:val="22"/>
                <w:lang w:val="en-US" w:eastAsia="zh-CN"/>
              </w:rPr>
              <w:t>38</w:t>
            </w:r>
          </w:p>
        </w:tc>
      </w:tr>
      <w:tr>
        <w:tblPrEx>
          <w:tblLayout w:type="fixed"/>
          <w:tblCellMar>
            <w:top w:w="0" w:type="dxa"/>
            <w:left w:w="0" w:type="dxa"/>
            <w:bottom w:w="0" w:type="dxa"/>
            <w:right w:w="0" w:type="dxa"/>
          </w:tblCellMar>
        </w:tblPrEx>
        <w:trPr>
          <w:trHeight w:val="308" w:hRule="atLeast"/>
          <w:jc w:val="center"/>
        </w:trPr>
        <w:tc>
          <w:tcPr>
            <w:tcW w:w="179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201</w:t>
            </w:r>
          </w:p>
        </w:tc>
        <w:tc>
          <w:tcPr>
            <w:tcW w:w="2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一般公共服务支出</w:t>
            </w:r>
          </w:p>
        </w:tc>
        <w:tc>
          <w:tcPr>
            <w:tcW w:w="2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205.67</w:t>
            </w: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170.07</w:t>
            </w:r>
          </w:p>
        </w:tc>
        <w:tc>
          <w:tcPr>
            <w:tcW w:w="16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35.6</w:t>
            </w:r>
          </w:p>
        </w:tc>
      </w:tr>
      <w:tr>
        <w:tblPrEx>
          <w:tblLayout w:type="fixed"/>
          <w:tblCellMar>
            <w:top w:w="0" w:type="dxa"/>
            <w:left w:w="0" w:type="dxa"/>
            <w:bottom w:w="0" w:type="dxa"/>
            <w:right w:w="0" w:type="dxa"/>
          </w:tblCellMar>
        </w:tblPrEx>
        <w:trPr>
          <w:trHeight w:val="308" w:hRule="atLeast"/>
          <w:jc w:val="center"/>
        </w:trPr>
        <w:tc>
          <w:tcPr>
            <w:tcW w:w="179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208</w:t>
            </w:r>
          </w:p>
        </w:tc>
        <w:tc>
          <w:tcPr>
            <w:tcW w:w="2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社会保障和就业支出</w:t>
            </w:r>
          </w:p>
        </w:tc>
        <w:tc>
          <w:tcPr>
            <w:tcW w:w="2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17.4</w:t>
            </w: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15</w:t>
            </w:r>
          </w:p>
        </w:tc>
        <w:tc>
          <w:tcPr>
            <w:tcW w:w="16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2.4</w:t>
            </w:r>
          </w:p>
        </w:tc>
      </w:tr>
      <w:tr>
        <w:tblPrEx>
          <w:tblLayout w:type="fixed"/>
          <w:tblCellMar>
            <w:top w:w="0" w:type="dxa"/>
            <w:left w:w="0" w:type="dxa"/>
            <w:bottom w:w="0" w:type="dxa"/>
            <w:right w:w="0" w:type="dxa"/>
          </w:tblCellMar>
        </w:tblPrEx>
        <w:trPr>
          <w:trHeight w:val="308" w:hRule="atLeast"/>
          <w:jc w:val="center"/>
        </w:trPr>
        <w:tc>
          <w:tcPr>
            <w:tcW w:w="179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210</w:t>
            </w:r>
          </w:p>
        </w:tc>
        <w:tc>
          <w:tcPr>
            <w:tcW w:w="2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卫生健康支出</w:t>
            </w:r>
          </w:p>
        </w:tc>
        <w:tc>
          <w:tcPr>
            <w:tcW w:w="2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9.37</w:t>
            </w: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9.37</w:t>
            </w:r>
          </w:p>
        </w:tc>
        <w:tc>
          <w:tcPr>
            <w:tcW w:w="16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79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221</w:t>
            </w:r>
          </w:p>
        </w:tc>
        <w:tc>
          <w:tcPr>
            <w:tcW w:w="2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住房保障支出</w:t>
            </w:r>
          </w:p>
        </w:tc>
        <w:tc>
          <w:tcPr>
            <w:tcW w:w="2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8.92</w:t>
            </w: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kern w:val="2"/>
                <w:sz w:val="22"/>
                <w:szCs w:val="22"/>
                <w:lang w:val="en-US" w:eastAsia="zh-CN" w:bidi="ar-SA"/>
              </w:rPr>
            </w:pPr>
            <w:r>
              <w:rPr>
                <w:rFonts w:hint="eastAsia" w:ascii="宋体" w:hAnsi="宋体" w:eastAsia="宋体" w:cs="宋体"/>
                <w:color w:val="000000"/>
                <w:sz w:val="22"/>
                <w:lang w:val="en-US" w:eastAsia="zh-CN"/>
              </w:rPr>
              <w:t>8.92</w:t>
            </w:r>
          </w:p>
        </w:tc>
        <w:tc>
          <w:tcPr>
            <w:tcW w:w="16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79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kern w:val="2"/>
                <w:sz w:val="22"/>
                <w:szCs w:val="22"/>
                <w:lang w:val="en-US" w:eastAsia="zh-CN" w:bidi="ar-SA"/>
              </w:rPr>
            </w:pPr>
          </w:p>
        </w:tc>
        <w:tc>
          <w:tcPr>
            <w:tcW w:w="16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79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77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0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78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pPr/>
      <w:r>
        <w:br w:type="page"/>
      </w:r>
    </w:p>
    <w:tbl>
      <w:tblPr>
        <w:tblStyle w:val="7"/>
        <w:tblW w:w="10000" w:type="dxa"/>
        <w:jc w:val="center"/>
        <w:tblInd w:w="0" w:type="dxa"/>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Layout w:type="fixed"/>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一般公共预算财政拨款基本支出决算表</w:t>
            </w:r>
          </w:p>
        </w:tc>
      </w:tr>
      <w:tr>
        <w:tblPrEx>
          <w:tblLayout w:type="fixed"/>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公开06表</w:t>
            </w:r>
          </w:p>
        </w:tc>
      </w:tr>
      <w:tr>
        <w:tblPrEx>
          <w:tblLayout w:type="fixed"/>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Layout w:type="fixed"/>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公用经费</w:t>
            </w:r>
          </w:p>
        </w:tc>
      </w:tr>
      <w:tr>
        <w:tblPrEx>
          <w:tblLayout w:type="fixed"/>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lang w:bidi="ar"/>
              </w:rPr>
            </w:pPr>
            <w:r>
              <w:rPr>
                <w:rFonts w:hint="eastAsia" w:ascii="宋体" w:hAnsi="宋体" w:eastAsia="宋体" w:cs="宋体"/>
                <w:color w:val="000000"/>
                <w:kern w:val="0"/>
                <w:sz w:val="22"/>
                <w:lang w:bidi="ar"/>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165.48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23.15</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债务利息及费用支出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基本工资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33.62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7.9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国内债务付息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津贴补贴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31.45</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印刷费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2.57</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国外债务付息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40.6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咨询费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伙食补助费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手续费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房屋建筑物购建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绩效工资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水费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办公设备购置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15</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职业年金缴费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邮电费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0.53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基础设施建设</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职工基本医疗保险缴费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9.37</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取暖费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5.1</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大型修缮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公务员医疗补助缴费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物业管理费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信息网络及软件购置更新</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其他社会保障缴费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14.37</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差旅费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0.31</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物资储备</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住房公积金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8.92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因公出国（境）费用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土地补偿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维修（护）费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1.51</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安置补助</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12.16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租赁费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0.25</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地上附着物和青苗补偿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14.73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会议费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拆迁补偿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离休费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12.48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培训费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公务接待费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其他交通工具购置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退职（役）费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专用材料费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文物和陈列品购置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抚恤金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被装购置费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无形资产购置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生活补助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1.05</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专用燃料费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救济费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劳务费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0.25</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医疗费补助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委托业务费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赠与</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助学金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工会经费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0.63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国家赔偿费用支出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奖励金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福利费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1.05</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w:t>
            </w:r>
            <w:r>
              <w:rPr>
                <w:rFonts w:hint="eastAsia" w:ascii="宋体" w:hAnsi="宋体" w:eastAsia="宋体" w:cs="宋体"/>
                <w:color w:val="000000"/>
                <w:kern w:val="0"/>
                <w:sz w:val="18"/>
                <w:szCs w:val="18"/>
                <w:lang w:bidi="ar"/>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个人农业生产补贴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公务用车运行维护费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1.85</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1.2</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其他交通费用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税金及附加费用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 xml:space="preserve">  其他商品和服务支出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1.2</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Layout w:type="fixed"/>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人员经费合计</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180.22</w:t>
            </w:r>
          </w:p>
        </w:tc>
        <w:tc>
          <w:tcPr>
            <w:tcW w:w="565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lang w:bidi="ar"/>
              </w:rPr>
              <w:t>公用经费合计</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hint="default" w:ascii="宋体" w:hAnsi="宋体" w:eastAsia="宋体" w:cs="宋体"/>
                <w:color w:val="000000"/>
                <w:sz w:val="20"/>
                <w:szCs w:val="20"/>
                <w:lang w:val="en-US" w:eastAsia="zh-CN"/>
              </w:rPr>
            </w:pPr>
            <w:r>
              <w:rPr>
                <w:rFonts w:hint="eastAsia" w:ascii="宋体" w:hAnsi="宋体" w:eastAsia="宋体" w:cs="宋体"/>
                <w:color w:val="000000"/>
                <w:sz w:val="20"/>
                <w:szCs w:val="20"/>
                <w:lang w:val="en-US" w:eastAsia="zh-CN"/>
              </w:rPr>
              <w:t>23.15</w:t>
            </w:r>
          </w:p>
        </w:tc>
      </w:tr>
    </w:tbl>
    <w:p>
      <w:pPr/>
      <w:r>
        <w:br w:type="page"/>
      </w:r>
    </w:p>
    <w:tbl>
      <w:tblPr>
        <w:tblStyle w:val="7"/>
        <w:tblW w:w="9220" w:type="dxa"/>
        <w:jc w:val="center"/>
        <w:tblInd w:w="0" w:type="dxa"/>
        <w:tblLayout w:type="fixed"/>
        <w:tblCellMar>
          <w:top w:w="0" w:type="dxa"/>
          <w:left w:w="0" w:type="dxa"/>
          <w:bottom w:w="0" w:type="dxa"/>
          <w:right w:w="0" w:type="dxa"/>
        </w:tblCellMar>
      </w:tblPr>
      <w:tblGrid>
        <w:gridCol w:w="1267"/>
        <w:gridCol w:w="1686"/>
        <w:gridCol w:w="1565"/>
        <w:gridCol w:w="1565"/>
        <w:gridCol w:w="1565"/>
        <w:gridCol w:w="1572"/>
      </w:tblGrid>
      <w:tr>
        <w:tblPrEx>
          <w:tblLayout w:type="fixed"/>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一般公共预算财政拨款“三公”经费支出决算表</w:t>
            </w:r>
          </w:p>
        </w:tc>
      </w:tr>
      <w:tr>
        <w:tblPrEx>
          <w:tblLayout w:type="fixed"/>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公开07表</w:t>
            </w:r>
          </w:p>
        </w:tc>
      </w:tr>
      <w:tr>
        <w:tblPrEx>
          <w:tblLayout w:type="fixed"/>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hint="eastAsia" w:ascii="宋体" w:hAnsi="宋体" w:eastAsia="宋体" w:cs="宋体"/>
                <w:color w:val="000000"/>
                <w:sz w:val="20"/>
                <w:szCs w:val="20"/>
                <w:lang w:val="en-US"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统战部</w:t>
            </w: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预算数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2.7</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2.7</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决算数</w:t>
            </w:r>
          </w:p>
        </w:tc>
      </w:tr>
      <w:tr>
        <w:tblPrEx>
          <w:tblLayout w:type="fixed"/>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公务接待费</w:t>
            </w:r>
          </w:p>
        </w:tc>
      </w:tr>
      <w:tr>
        <w:tblPrEx>
          <w:tblLayout w:type="fixed"/>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12</w:t>
            </w:r>
          </w:p>
        </w:tc>
      </w:tr>
      <w:tr>
        <w:tblPrEx>
          <w:tblLayout w:type="fixed"/>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1.85</w:t>
            </w: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1.85</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22"/>
                <w:lang w:val="en-US" w:eastAsia="zh-CN"/>
              </w:rPr>
            </w:pPr>
            <w:r>
              <w:rPr>
                <w:rFonts w:hint="eastAsia" w:ascii="宋体" w:hAnsi="宋体" w:eastAsia="宋体" w:cs="宋体"/>
                <w:color w:val="000000"/>
                <w:sz w:val="22"/>
                <w:lang w:val="en-US" w:eastAsia="zh-CN"/>
              </w:rPr>
              <w:t>1.85</w:t>
            </w: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pPr/>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9510" w:type="dxa"/>
        <w:jc w:val="center"/>
        <w:tblInd w:w="0" w:type="dxa"/>
        <w:tblLayout w:type="fixed"/>
        <w:tblCellMar>
          <w:top w:w="0" w:type="dxa"/>
          <w:left w:w="0" w:type="dxa"/>
          <w:bottom w:w="0" w:type="dxa"/>
          <w:right w:w="0" w:type="dxa"/>
        </w:tblCellMar>
      </w:tblPr>
      <w:tblGrid>
        <w:gridCol w:w="1807"/>
        <w:gridCol w:w="53"/>
        <w:gridCol w:w="53"/>
        <w:gridCol w:w="1337"/>
        <w:gridCol w:w="1043"/>
        <w:gridCol w:w="1043"/>
        <w:gridCol w:w="1043"/>
        <w:gridCol w:w="1043"/>
        <w:gridCol w:w="1043"/>
        <w:gridCol w:w="1045"/>
      </w:tblGrid>
      <w:tr>
        <w:tblPrEx>
          <w:tblLayout w:type="fixed"/>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政府性基金预算财政拨款收入支出决算表</w:t>
            </w:r>
          </w:p>
        </w:tc>
      </w:tr>
      <w:tr>
        <w:tblPrEx>
          <w:tblLayout w:type="fixed"/>
          <w:tblCellMar>
            <w:top w:w="0" w:type="dxa"/>
            <w:left w:w="0" w:type="dxa"/>
            <w:bottom w:w="0" w:type="dxa"/>
            <w:right w:w="0" w:type="dxa"/>
          </w:tblCellMar>
        </w:tblPrEx>
        <w:trPr>
          <w:trHeight w:val="255" w:hRule="atLeast"/>
          <w:jc w:val="center"/>
        </w:trPr>
        <w:tc>
          <w:tcPr>
            <w:tcW w:w="180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3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4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4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4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4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88"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公开08表</w:t>
            </w:r>
          </w:p>
        </w:tc>
      </w:tr>
      <w:tr>
        <w:tblPrEx>
          <w:tblLayout w:type="fixed"/>
          <w:tblCellMar>
            <w:top w:w="0" w:type="dxa"/>
            <w:left w:w="0" w:type="dxa"/>
            <w:bottom w:w="0" w:type="dxa"/>
            <w:right w:w="0" w:type="dxa"/>
          </w:tblCellMar>
        </w:tblPrEx>
        <w:trPr>
          <w:trHeight w:val="255" w:hRule="atLeast"/>
          <w:jc w:val="center"/>
        </w:trPr>
        <w:tc>
          <w:tcPr>
            <w:tcW w:w="1807"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hint="eastAsia" w:ascii="宋体" w:hAnsi="宋体" w:eastAsia="宋体" w:cs="宋体"/>
                <w:color w:val="000000"/>
                <w:sz w:val="20"/>
                <w:szCs w:val="20"/>
                <w:lang w:val="en-US"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统战部</w:t>
            </w: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3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4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4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4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4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88"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325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w:t>
            </w:r>
          </w:p>
        </w:tc>
        <w:tc>
          <w:tcPr>
            <w:tcW w:w="104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年初结转和结余</w:t>
            </w:r>
          </w:p>
        </w:tc>
        <w:tc>
          <w:tcPr>
            <w:tcW w:w="1043"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本年收入</w:t>
            </w:r>
          </w:p>
        </w:tc>
        <w:tc>
          <w:tcPr>
            <w:tcW w:w="3129"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c>
          <w:tcPr>
            <w:tcW w:w="1045"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年末结转和结余</w:t>
            </w:r>
          </w:p>
        </w:tc>
      </w:tr>
      <w:tr>
        <w:tblPrEx>
          <w:tblLayout w:type="fixed"/>
          <w:tblCellMar>
            <w:top w:w="0" w:type="dxa"/>
            <w:left w:w="0" w:type="dxa"/>
            <w:bottom w:w="0" w:type="dxa"/>
            <w:right w:w="0" w:type="dxa"/>
          </w:tblCellMar>
        </w:tblPrEx>
        <w:trPr>
          <w:trHeight w:val="312" w:hRule="atLeast"/>
          <w:jc w:val="center"/>
        </w:trPr>
        <w:tc>
          <w:tcPr>
            <w:tcW w:w="191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133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104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04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04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c>
          <w:tcPr>
            <w:tcW w:w="10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91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3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12" w:hRule="atLeast"/>
          <w:jc w:val="center"/>
        </w:trPr>
        <w:tc>
          <w:tcPr>
            <w:tcW w:w="191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3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3"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45"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325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4</w:t>
            </w: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5</w:t>
            </w: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6</w:t>
            </w:r>
          </w:p>
        </w:tc>
      </w:tr>
      <w:tr>
        <w:tblPrEx>
          <w:tblLayout w:type="fixed"/>
          <w:tblCellMar>
            <w:top w:w="0" w:type="dxa"/>
            <w:left w:w="0" w:type="dxa"/>
            <w:bottom w:w="0" w:type="dxa"/>
            <w:right w:w="0" w:type="dxa"/>
          </w:tblCellMar>
        </w:tblPrEx>
        <w:trPr>
          <w:trHeight w:val="308" w:hRule="atLeast"/>
          <w:jc w:val="center"/>
        </w:trPr>
        <w:tc>
          <w:tcPr>
            <w:tcW w:w="325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191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91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91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91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191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33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4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04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pPr/>
      <w:r>
        <w:br w:type="page"/>
      </w:r>
    </w:p>
    <w:tbl>
      <w:tblPr>
        <w:tblStyle w:val="7"/>
        <w:tblW w:w="9915" w:type="dxa"/>
        <w:jc w:val="center"/>
        <w:tblInd w:w="0" w:type="dxa"/>
        <w:tblLayout w:type="fixed"/>
        <w:tblCellMar>
          <w:top w:w="0" w:type="dxa"/>
          <w:left w:w="0" w:type="dxa"/>
          <w:bottom w:w="0" w:type="dxa"/>
          <w:right w:w="0" w:type="dxa"/>
        </w:tblCellMar>
      </w:tblPr>
      <w:tblGrid>
        <w:gridCol w:w="2238"/>
        <w:gridCol w:w="65"/>
        <w:gridCol w:w="65"/>
        <w:gridCol w:w="3380"/>
        <w:gridCol w:w="855"/>
        <w:gridCol w:w="1656"/>
        <w:gridCol w:w="1656"/>
      </w:tblGrid>
      <w:tr>
        <w:tblPrEx>
          <w:tblLayout w:type="fixed"/>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国有资本经营预算财政拨款支出决算表</w:t>
            </w:r>
          </w:p>
        </w:tc>
      </w:tr>
      <w:tr>
        <w:tblPrEx>
          <w:tblLayout w:type="fixed"/>
          <w:tblCellMar>
            <w:top w:w="0" w:type="dxa"/>
            <w:left w:w="0" w:type="dxa"/>
            <w:bottom w:w="0" w:type="dxa"/>
            <w:right w:w="0" w:type="dxa"/>
          </w:tblCellMar>
        </w:tblPrEx>
        <w:trPr>
          <w:trHeight w:val="255" w:hRule="atLeast"/>
          <w:jc w:val="center"/>
        </w:trPr>
        <w:tc>
          <w:tcPr>
            <w:tcW w:w="223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38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312"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tc>
      </w:tr>
      <w:tr>
        <w:tblPrEx>
          <w:tblLayout w:type="fixed"/>
          <w:tblCellMar>
            <w:top w:w="0" w:type="dxa"/>
            <w:left w:w="0" w:type="dxa"/>
            <w:bottom w:w="0" w:type="dxa"/>
            <w:right w:w="0" w:type="dxa"/>
          </w:tblCellMar>
        </w:tblPrEx>
        <w:trPr>
          <w:trHeight w:val="255" w:hRule="atLeast"/>
          <w:jc w:val="center"/>
        </w:trPr>
        <w:tc>
          <w:tcPr>
            <w:tcW w:w="2238"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hint="eastAsia" w:ascii="宋体" w:hAnsi="宋体" w:eastAsia="宋体" w:cs="宋体"/>
                <w:color w:val="000000"/>
                <w:sz w:val="20"/>
                <w:szCs w:val="20"/>
                <w:lang w:val="en-US" w:eastAsia="zh-CN"/>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val="en-US" w:eastAsia="zh-CN" w:bidi="ar"/>
              </w:rPr>
              <w:t>统战部</w:t>
            </w:r>
          </w:p>
        </w:tc>
        <w:tc>
          <w:tcPr>
            <w:tcW w:w="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38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312"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Layout w:type="fixed"/>
          <w:tblCellMar>
            <w:top w:w="0" w:type="dxa"/>
            <w:left w:w="0" w:type="dxa"/>
            <w:bottom w:w="0" w:type="dxa"/>
            <w:right w:w="0" w:type="dxa"/>
          </w:tblCellMar>
        </w:tblPrEx>
        <w:trPr>
          <w:trHeight w:val="308" w:hRule="atLeast"/>
          <w:jc w:val="center"/>
        </w:trPr>
        <w:tc>
          <w:tcPr>
            <w:tcW w:w="574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w:t>
            </w:r>
          </w:p>
        </w:tc>
        <w:tc>
          <w:tcPr>
            <w:tcW w:w="416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本年支出</w:t>
            </w:r>
          </w:p>
        </w:tc>
      </w:tr>
      <w:tr>
        <w:tblPrEx>
          <w:tblLayout w:type="fixed"/>
          <w:tblCellMar>
            <w:top w:w="0" w:type="dxa"/>
            <w:left w:w="0" w:type="dxa"/>
            <w:bottom w:w="0" w:type="dxa"/>
            <w:right w:w="0" w:type="dxa"/>
          </w:tblCellMar>
        </w:tblPrEx>
        <w:trPr>
          <w:trHeight w:val="615" w:hRule="atLeast"/>
          <w:jc w:val="center"/>
        </w:trPr>
        <w:tc>
          <w:tcPr>
            <w:tcW w:w="236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功能分类科目编码</w:t>
            </w:r>
          </w:p>
        </w:tc>
        <w:tc>
          <w:tcPr>
            <w:tcW w:w="3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科目名称</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小计</w:t>
            </w: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基本支出</w:t>
            </w: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项目支出</w:t>
            </w:r>
          </w:p>
        </w:tc>
      </w:tr>
      <w:tr>
        <w:tblPrEx>
          <w:tblLayout w:type="fixed"/>
          <w:tblCellMar>
            <w:top w:w="0" w:type="dxa"/>
            <w:left w:w="0" w:type="dxa"/>
            <w:bottom w:w="0" w:type="dxa"/>
            <w:right w:w="0" w:type="dxa"/>
          </w:tblCellMar>
        </w:tblPrEx>
        <w:trPr>
          <w:trHeight w:val="308" w:hRule="atLeast"/>
          <w:jc w:val="center"/>
        </w:trPr>
        <w:tc>
          <w:tcPr>
            <w:tcW w:w="574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Layout w:type="fixed"/>
          <w:tblCellMar>
            <w:top w:w="0" w:type="dxa"/>
            <w:left w:w="0" w:type="dxa"/>
            <w:bottom w:w="0" w:type="dxa"/>
            <w:right w:w="0" w:type="dxa"/>
          </w:tblCellMar>
        </w:tblPrEx>
        <w:trPr>
          <w:trHeight w:val="308" w:hRule="atLeast"/>
          <w:jc w:val="center"/>
        </w:trPr>
        <w:tc>
          <w:tcPr>
            <w:tcW w:w="574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Layout w:type="fixed"/>
          <w:tblCellMar>
            <w:top w:w="0" w:type="dxa"/>
            <w:left w:w="0" w:type="dxa"/>
            <w:bottom w:w="0" w:type="dxa"/>
            <w:right w:w="0" w:type="dxa"/>
          </w:tblCellMar>
        </w:tblPrEx>
        <w:trPr>
          <w:trHeight w:val="308" w:hRule="atLeast"/>
          <w:jc w:val="center"/>
        </w:trPr>
        <w:tc>
          <w:tcPr>
            <w:tcW w:w="236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236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236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236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Layout w:type="fixed"/>
          <w:tblCellMar>
            <w:top w:w="0" w:type="dxa"/>
            <w:left w:w="0" w:type="dxa"/>
            <w:bottom w:w="0" w:type="dxa"/>
            <w:right w:w="0" w:type="dxa"/>
          </w:tblCellMar>
        </w:tblPrEx>
        <w:trPr>
          <w:trHeight w:val="308" w:hRule="atLeast"/>
          <w:jc w:val="center"/>
        </w:trPr>
        <w:tc>
          <w:tcPr>
            <w:tcW w:w="236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38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8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65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pPr/>
      <w:r>
        <w:br w:type="page"/>
      </w:r>
    </w:p>
    <w:p>
      <w:pPr/>
      <w:r>
        <mc:AlternateContent>
          <mc:Choice Requires="wps">
            <w:drawing>
              <wp:anchor distT="0" distB="0" distL="114300" distR="114300" simplePos="0" relativeHeight="437282816"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0.5pt;margin-top:-85.25pt;height:841.15pt;width:595.1pt;z-index:437282816;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fill on="t" focussize="0,0"/>
                <v:stroke on="f" weight="1pt" miterlimit="8" joinstyle="miter"/>
                <v:imagedata o:title=""/>
                <o:lock v:ext="edit" aspectratio="f"/>
              </v:rect>
            </w:pict>
          </mc:Fallback>
        </mc:AlternateContent>
      </w:r>
    </w:p>
    <w:sectPr>
      <w:headerReference r:id="rId24" w:type="first"/>
      <w:headerReference r:id="rId23" w:type="default"/>
      <w:footerReference r:id="rId25" w:type="default"/>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等线">
    <w:panose1 w:val="02010600030101010101"/>
    <w:charset w:val="86"/>
    <w:family w:val="auto"/>
    <w:pitch w:val="default"/>
    <w:sig w:usb0="A10102FF" w:usb1="38CF7CFA" w:usb2="00010016" w:usb3="00000000" w:csb0="0004000F" w:csb1="00000000"/>
  </w:font>
  <w:font w:name="仿宋_GB2312">
    <w:panose1 w:val="02010609030101010101"/>
    <w:charset w:val="86"/>
    <w:family w:val="decorative"/>
    <w:pitch w:val="default"/>
    <w:sig w:usb0="00000001" w:usb1="080E0000" w:usb2="00000000" w:usb3="00000000" w:csb0="00040000" w:csb1="00000000"/>
  </w:font>
  <w:font w:name="楷体_GB2312">
    <w:panose1 w:val="02010609030101010101"/>
    <w:charset w:val="86"/>
    <w:family w:val="decorative"/>
    <w:pitch w:val="default"/>
    <w:sig w:usb0="00000001" w:usb1="080E0000" w:usb2="00000000" w:usb3="00000000" w:csb0="00040000" w:csb1="00000000"/>
  </w:font>
  <w:font w:name="Yu Gothic UI Semibold">
    <w:altName w:val="Meiryo UI"/>
    <w:panose1 w:val="020B0700000000000000"/>
    <w:charset w:val="80"/>
    <w:family w:val="roman"/>
    <w:pitch w:val="default"/>
    <w:sig w:usb0="00000000" w:usb1="00000000" w:usb2="00000016" w:usb3="00000000" w:csb0="2002009F" w:csb1="00000000"/>
  </w:font>
  <w:font w:name="思源黑体 HW Bold">
    <w:altName w:val="黑体"/>
    <w:panose1 w:val="00000000000000000000"/>
    <w:charset w:val="86"/>
    <w:family w:val="roman"/>
    <w:pitch w:val="default"/>
    <w:sig w:usb0="00000000" w:usb1="00000000" w:usb2="00000016" w:usb3="00000000" w:csb0="002E0107" w:csb1="00000000"/>
  </w:font>
  <w:font w:name="微软雅黑">
    <w:panose1 w:val="020B0503020204020204"/>
    <w:charset w:val="86"/>
    <w:family w:val="roman"/>
    <w:pitch w:val="default"/>
    <w:sig w:usb0="80000287" w:usb1="280F3C52" w:usb2="00000016" w:usb3="00000000" w:csb0="0004001F" w:csb1="00000000"/>
  </w:font>
  <w:font w:name="方正仿宋_GBK">
    <w:altName w:val="微软雅黑"/>
    <w:panose1 w:val="03000509000000000000"/>
    <w:charset w:val="86"/>
    <w:family w:val="script"/>
    <w:pitch w:val="default"/>
    <w:sig w:usb0="00000000" w:usb1="00000000" w:usb2="0000001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DengXian-Regular">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auto"/>
    <w:pitch w:val="default"/>
    <w:sig w:usb0="800002BF" w:usb1="38CF7CFA" w:usb2="00000016"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roman"/>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楷体">
    <w:panose1 w:val="02010609060101010101"/>
    <w:charset w:val="86"/>
    <w:family w:val="auto"/>
    <w:pitch w:val="default"/>
    <w:sig w:usb0="800002BF" w:usb1="38CF7CFA" w:usb2="00000016" w:usb3="00000000" w:csb0="00040001" w:csb1="00000000"/>
  </w:font>
  <w:font w:name="Meiryo UI">
    <w:panose1 w:val="020B0604030504040204"/>
    <w:charset w:val="80"/>
    <w:family w:val="auto"/>
    <w:pitch w:val="default"/>
    <w:sig w:usb0="E10102FF" w:usb1="EAC7FFFF" w:usb2="00010012" w:usb3="00000000" w:csb0="6002009F" w:csb1="DFD70000"/>
  </w:font>
  <w:font w:name="Meiryo UI">
    <w:panose1 w:val="020B0604030504040204"/>
    <w:charset w:val="80"/>
    <w:family w:val="roman"/>
    <w:pitch w:val="default"/>
    <w:sig w:usb0="E10102FF" w:usb1="EAC7FFFF" w:usb2="00010012" w:usb3="00000000" w:csb0="6002009F" w:csb1="DFD70000"/>
  </w:font>
  <w:font w:name="黑体">
    <w:panose1 w:val="02010600030101010101"/>
    <w:charset w:val="86"/>
    <w:family w:val="roman"/>
    <w:pitch w:val="default"/>
    <w:sig w:usb0="800002BF" w:usb1="38CF7CFA" w:usb2="00000016" w:usb3="00000000" w:csb0="00040001" w:csb1="00000000"/>
  </w:font>
  <w:font w:name="微软雅黑">
    <w:panose1 w:val="020B0503020204020204"/>
    <w:charset w:val="86"/>
    <w:family w:val="script"/>
    <w:pitch w:val="default"/>
    <w:sig w:usb0="80000287" w:usb1="280F3C52" w:usb2="00000016" w:usb3="00000000" w:csb0="0004001F" w:csb1="00000000"/>
  </w:font>
  <w:font w:name="Malgun Gothic">
    <w:panose1 w:val="020B0503020000020004"/>
    <w:charset w:val="81"/>
    <w:family w:val="auto"/>
    <w:pitch w:val="default"/>
    <w:sig w:usb0="900002AF" w:usb1="01D77CFB" w:usb2="00000012" w:usb3="00000000" w:csb0="00080001" w:csb1="00000000"/>
  </w:font>
  <w:font w:name="等线">
    <w:panose1 w:val="02010600030101010101"/>
    <w:charset w:val="86"/>
    <w:family w:val="auto"/>
    <w:pitch w:val="default"/>
    <w:sig w:usb0="A10102FF" w:usb1="38CF7CFA" w:usb2="00010016" w:usb3="00000000" w:csb0="0004000F" w:csb1="00000000"/>
  </w:font>
  <w:font w:name="Meiryo UI">
    <w:panose1 w:val="020B0604030504040204"/>
    <w:charset w:val="80"/>
    <w:family w:val="roman"/>
    <w:pitch w:val="default"/>
    <w:sig w:usb0="E10102FF" w:usb1="EAC7FFFF" w:usb2="00010012" w:usb3="00000000" w:csb0="6002009F" w:csb1="DFD70000"/>
  </w:font>
  <w:font w:name="微软雅黑">
    <w:panose1 w:val="020B0503020204020204"/>
    <w:charset w:val="86"/>
    <w:family w:val="script"/>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761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65pt;margin-top:-12.95pt;height:14.3pt;width:30.6pt;mso-position-horizontal-relative:margin;z-index:251887616;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- 13 -</w:t>
                    </w:r>
                    <w:r>
                      <w:rPr>
                        <w:rFonts w:ascii="Times New Roman" w:hAnsi="Times New Roman" w:cs="Times New Roman"/>
                        <w:sz w:val="24"/>
                        <w:szCs w:val="24"/>
                      </w:rP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864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6.55pt;margin-top:-22.45pt;height:35.15pt;width:34pt;mso-position-horizontal-relative:margin;z-index:251888640;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fill on="f" focussize="0,0"/>
              <v:stroke on="f" weight="0.5pt"/>
              <v:imagedata o:title=""/>
              <o:lock v:ext="edit" aspectratio="f"/>
              <v:textbox inset="0mm,0mm,0mm,0mm">
                <w:txbxContent>
                  <w:p>
                    <w:pPr>
                      <w:pStyle w:val="4"/>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- 3 -</w:t>
                    </w:r>
                    <w:r>
                      <w:rPr>
                        <w:rFonts w:ascii="Times New Roman" w:hAnsi="Times New Roman" w:cs="Times New Roman"/>
                        <w:sz w:val="24"/>
                        <w:szCs w:val="24"/>
                      </w:rP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896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1889664;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189068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5.45pt;margin-top:-18.75pt;height:31.45pt;width:30.15pt;mso-position-horizontal-relative:margin;z-index:251890688;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- 14 -</w:t>
                    </w:r>
                    <w:r>
                      <w:rPr>
                        <w:rFonts w:ascii="Times New Roman" w:hAnsi="Times New Roman" w:cs="Times New Roman"/>
                        <w:sz w:val="24"/>
                        <w:szCs w:val="24"/>
                      </w:rP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mc:AlternateContent>
        <mc:Choice Requires="wps">
          <w:drawing>
            <wp:anchor distT="0" distB="0" distL="114300" distR="114300" simplePos="0" relativeHeight="252830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left:209.15pt;margin-top:-6pt;height:18.7pt;width:144pt;mso-position-horizontal-relative:margin;mso-wrap-style:none;z-index:252830720;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fill on="f" focussize="0,0"/>
              <v:stroke on="f" weight="0.5pt"/>
              <v:imagedata o:title=""/>
              <o:lock v:ext="edit" aspectratio="f"/>
              <v:textbox inset="0mm,0mm,0mm,0mm">
                <w:txbxContent>
                  <w:p>
                    <w:pPr>
                      <w:pStyle w:val="4"/>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- 28 -</w:t>
                    </w:r>
                    <w:r>
                      <w:rPr>
                        <w:rFonts w:ascii="Times New Roman" w:hAnsi="Times New Roman" w:cs="Times New Roman"/>
                        <w:sz w:val="24"/>
                        <w:szCs w:val="24"/>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659264" behindDoc="0" locked="0" layoutInCell="1" allowOverlap="1">
              <wp:simplePos x="0" y="0"/>
              <wp:positionH relativeFrom="page">
                <wp:align>left</wp:align>
              </wp:positionH>
              <wp:positionV relativeFrom="page">
                <wp:posOffset>377825</wp:posOffset>
              </wp:positionV>
              <wp:extent cx="2000250" cy="406400"/>
              <wp:effectExtent l="0" t="0" r="0" b="0"/>
              <wp:wrapNone/>
              <wp:docPr id="76" name="组合 76"/>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7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7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659264;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aspectratio="f"/>
              <v:shape id="文本框 6" o:spid="_x0000_s102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658240" behindDoc="0" locked="0" layoutInCell="1" allowOverlap="1">
              <wp:simplePos x="0" y="0"/>
              <wp:positionH relativeFrom="page">
                <wp:align>center</wp:align>
              </wp:positionH>
              <wp:positionV relativeFrom="topMargin">
                <wp:align>bottom</wp:align>
              </wp:positionV>
              <wp:extent cx="7575550" cy="748665"/>
              <wp:effectExtent l="0" t="0" r="6350" b="13335"/>
              <wp:wrapNone/>
              <wp:docPr id="79" name="组合 79"/>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8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8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658240;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4816"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59pt;height:32.8pt;width:596.85pt;mso-position-horizontal-relative:page;mso-position-vertical-relative:page;z-index:252834816;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mc:AlternateContent>
        <mc:Choice Requires="wps">
          <w:drawing>
            <wp:anchor distT="0" distB="0" distL="114300" distR="114300" simplePos="0" relativeHeight="252836864"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文本框 6" o:spid="_x0000_s1026" o:spt="202" type="#_x0000_t202" style="position:absolute;left:0pt;margin-left:-84.1pt;margin-top:17.55pt;height:32.05pt;width:231pt;z-index:252836864;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283174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5pt;margin-top:28.75pt;height:35.25pt;width:594.8pt;mso-position-horizontal-relative:page;mso-position-vertical-relative:page;z-index:25283174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283276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pP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29.75pt;height:32pt;width:280pt;mso-position-horizontal-relative:page;mso-position-vertical-relative:page;z-index:25283276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pPr/>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89171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38.05pt;width:596.5pt;mso-position-horizontal-relative:page;mso-position-vertical-relative:page;z-index:25189171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89273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254.25pt;mso-position-horizontal:left;mso-position-horizontal-relative:page;mso-position-vertical-relative:page;z-index:25189273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0636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hint="eastAsia" w:ascii="微软雅黑" w:hAnsi="微软雅黑" w:eastAsia="微软雅黑" w:cs="微软雅黑"/>
                                <w:b/>
                                <w:bCs/>
                                <w:sz w:val="32"/>
                                <w:szCs w:val="40"/>
                                <w:lang w:val="en-US" w:eastAsia="zh-CN"/>
                              </w:rPr>
                            </w:pPr>
                            <w:r>
                              <w:rPr>
                                <w:rFonts w:hint="eastAsia" w:ascii="微软雅黑" w:hAnsi="微软雅黑" w:eastAsia="微软雅黑" w:cs="微软雅黑"/>
                                <w:b/>
                                <w:bCs/>
                                <w:sz w:val="32"/>
                                <w:szCs w:val="40"/>
                              </w:rPr>
                              <w:t>第</w:t>
                            </w:r>
                            <w:r>
                              <w:rPr>
                                <w:rFonts w:hint="eastAsia" w:ascii="微软雅黑" w:hAnsi="微软雅黑" w:eastAsia="微软雅黑" w:cs="微软雅黑"/>
                                <w:b/>
                                <w:bCs/>
                                <w:sz w:val="32"/>
                                <w:szCs w:val="40"/>
                                <w:lang w:val="en-US" w:eastAsia="zh-CN"/>
                              </w:rPr>
                              <w:t>一</w:t>
                            </w:r>
                            <w:r>
                              <w:rPr>
                                <w:rFonts w:hint="eastAsia" w:ascii="微软雅黑" w:hAnsi="微软雅黑" w:eastAsia="微软雅黑" w:cs="微软雅黑"/>
                                <w:b/>
                                <w:bCs/>
                                <w:sz w:val="32"/>
                                <w:szCs w:val="40"/>
                              </w:rPr>
                              <w:t>部分  部门</w:t>
                            </w:r>
                            <w:r>
                              <w:rPr>
                                <w:rFonts w:hint="eastAsia" w:ascii="微软雅黑" w:hAnsi="微软雅黑" w:eastAsia="微软雅黑" w:cs="微软雅黑"/>
                                <w:b/>
                                <w:bCs/>
                                <w:sz w:val="32"/>
                                <w:szCs w:val="40"/>
                                <w:lang w:val="en-US" w:eastAsia="zh-CN"/>
                              </w:rPr>
                              <w:t>概况</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25pt;margin-top:45.75pt;height:32.05pt;width:239.85pt;mso-position-horizontal-relative:page;mso-position-vertical-relative:page;z-index:251706368;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hint="eastAsia" w:ascii="微软雅黑" w:hAnsi="微软雅黑" w:eastAsia="微软雅黑" w:cs="微软雅黑"/>
                          <w:b/>
                          <w:bCs/>
                          <w:sz w:val="32"/>
                          <w:szCs w:val="40"/>
                          <w:lang w:val="en-US" w:eastAsia="zh-CN"/>
                        </w:rPr>
                      </w:pPr>
                      <w:r>
                        <w:rPr>
                          <w:rFonts w:hint="eastAsia" w:ascii="微软雅黑" w:hAnsi="微软雅黑" w:eastAsia="微软雅黑" w:cs="微软雅黑"/>
                          <w:b/>
                          <w:bCs/>
                          <w:sz w:val="32"/>
                          <w:szCs w:val="40"/>
                        </w:rPr>
                        <w:t>第</w:t>
                      </w:r>
                      <w:r>
                        <w:rPr>
                          <w:rFonts w:hint="eastAsia" w:ascii="微软雅黑" w:hAnsi="微软雅黑" w:eastAsia="微软雅黑" w:cs="微软雅黑"/>
                          <w:b/>
                          <w:bCs/>
                          <w:sz w:val="32"/>
                          <w:szCs w:val="40"/>
                          <w:lang w:val="en-US" w:eastAsia="zh-CN"/>
                        </w:rPr>
                        <w:t>一</w:t>
                      </w:r>
                      <w:r>
                        <w:rPr>
                          <w:rFonts w:hint="eastAsia" w:ascii="微软雅黑" w:hAnsi="微软雅黑" w:eastAsia="微软雅黑" w:cs="微软雅黑"/>
                          <w:b/>
                          <w:bCs/>
                          <w:sz w:val="32"/>
                          <w:szCs w:val="40"/>
                        </w:rPr>
                        <w:t>部分  部门</w:t>
                      </w:r>
                      <w:r>
                        <w:rPr>
                          <w:rFonts w:hint="eastAsia" w:ascii="微软雅黑" w:hAnsi="微软雅黑" w:eastAsia="微软雅黑" w:cs="微软雅黑"/>
                          <w:b/>
                          <w:bCs/>
                          <w:sz w:val="32"/>
                          <w:szCs w:val="40"/>
                          <w:lang w:val="en-US" w:eastAsia="zh-CN"/>
                        </w:rPr>
                        <w:t>概况</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05344"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75pt;margin-top:46.95pt;height:32.8pt;width:596.85pt;mso-position-horizontal-relative:page;mso-position-vertical-relative:page;z-index:251705344;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449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0pt;margin-top:43.35pt;height:37.85pt;width:594.8pt;mso-position-horizontal-relative:page;mso-position-vertical-relative:page;z-index:25175449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mc:AlternateContent>
        <mc:Choice Requires="wpg">
          <w:drawing>
            <wp:anchor distT="0" distB="0" distL="114300" distR="114300" simplePos="0" relativeHeight="25175552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left:-2.15pt;margin-top:47.15pt;height:32pt;width:235.7pt;mso-position-horizontal-relative:page;mso-position-vertical-relative:page;z-index:25175552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g">
          <w:drawing>
            <wp:anchor distT="0" distB="0" distL="114300" distR="114300" simplePos="0" relativeHeight="25175756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w:pict>
            <v:group id="_x0000_s1026" o:spid="_x0000_s1026" o:spt="203" style="position:absolute;left:0pt;margin-top:29.75pt;height:32pt;width:157.5pt;mso-position-horizontal:left;mso-position-horizontal-relative:page;mso-position-vertical-relative:page;z-index:25175756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mc:AlternateContent>
        <mc:Choice Requires="wpg">
          <w:drawing>
            <wp:anchor distT="0" distB="0" distL="114300" distR="114300" simplePos="0" relativeHeight="251756544"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w:pict>
            <v:group id="_x0000_s1026" o:spid="_x0000_s1026" o:spt="203" style="position:absolute;left:0pt;margin-left:0pt;margin-top:0pt;height:58.95pt;width:596.5pt;mso-position-horizontal-relative:page;mso-position-vertical-relative:page;z-index:25175654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3179250146">
    <w:nsid w:val="BD7F81E2"/>
    <w:multiLevelType w:val="singleLevel"/>
    <w:tmpl w:val="BD7F81E2"/>
    <w:lvl w:ilvl="0" w:tentative="1">
      <w:start w:val="1"/>
      <w:numFmt w:val="chineseCounting"/>
      <w:suff w:val="nothing"/>
      <w:lvlText w:val="（%1）"/>
      <w:lvlJc w:val="left"/>
      <w:rPr>
        <w:rFonts w:hint="eastAsia"/>
      </w:rPr>
    </w:lvl>
  </w:abstractNum>
  <w:abstractNum w:abstractNumId="1172019847">
    <w:nsid w:val="45DB9A87"/>
    <w:multiLevelType w:val="singleLevel"/>
    <w:tmpl w:val="45DB9A87"/>
    <w:lvl w:ilvl="0" w:tentative="1">
      <w:start w:val="3"/>
      <w:numFmt w:val="chineseCounting"/>
      <w:suff w:val="nothing"/>
      <w:lvlText w:val="（%1）"/>
      <w:lvlJc w:val="left"/>
      <w:rPr>
        <w:rFonts w:hint="eastAsia"/>
      </w:rPr>
    </w:lvl>
  </w:abstractNum>
  <w:num w:numId="1">
    <w:abstractNumId w:val="1172019847"/>
  </w:num>
  <w:num w:numId="2">
    <w:abstractNumId w:val="317925014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val="1"/>
  <w:attachedTemplate r:id="rId1"/>
  <w:documentProtection w:enforcement="0"/>
  <w:defaultTabStop w:val="420"/>
  <w:drawingGridVerticalSpacing w:val="156"/>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A4EE8"/>
    <w:rsid w:val="00442CC2"/>
    <w:rsid w:val="00446244"/>
    <w:rsid w:val="00473C20"/>
    <w:rsid w:val="004D61CB"/>
    <w:rsid w:val="005011D6"/>
    <w:rsid w:val="00503F2E"/>
    <w:rsid w:val="00552226"/>
    <w:rsid w:val="00566120"/>
    <w:rsid w:val="00582E6D"/>
    <w:rsid w:val="005954D5"/>
    <w:rsid w:val="005A53FA"/>
    <w:rsid w:val="005D1293"/>
    <w:rsid w:val="00644D5F"/>
    <w:rsid w:val="00657F86"/>
    <w:rsid w:val="006727AD"/>
    <w:rsid w:val="00691425"/>
    <w:rsid w:val="006A516E"/>
    <w:rsid w:val="006B0830"/>
    <w:rsid w:val="00716E2B"/>
    <w:rsid w:val="00770F18"/>
    <w:rsid w:val="00773B74"/>
    <w:rsid w:val="0078290C"/>
    <w:rsid w:val="007C06CA"/>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844F4"/>
    <w:rsid w:val="00BA06A1"/>
    <w:rsid w:val="00BA770A"/>
    <w:rsid w:val="00C054DE"/>
    <w:rsid w:val="00C679A9"/>
    <w:rsid w:val="00C7541C"/>
    <w:rsid w:val="00CC0FAA"/>
    <w:rsid w:val="00CD0736"/>
    <w:rsid w:val="00D1570F"/>
    <w:rsid w:val="00D32830"/>
    <w:rsid w:val="00DB7153"/>
    <w:rsid w:val="00DB7F05"/>
    <w:rsid w:val="00DE2332"/>
    <w:rsid w:val="00E028C3"/>
    <w:rsid w:val="00E14F77"/>
    <w:rsid w:val="00E3076B"/>
    <w:rsid w:val="00E36978"/>
    <w:rsid w:val="00E82A1E"/>
    <w:rsid w:val="00EA05EC"/>
    <w:rsid w:val="00EC06F4"/>
    <w:rsid w:val="00EE4E36"/>
    <w:rsid w:val="00F665F4"/>
    <w:rsid w:val="00FD225F"/>
    <w:rsid w:val="01C479C6"/>
    <w:rsid w:val="023F248E"/>
    <w:rsid w:val="04D47AD2"/>
    <w:rsid w:val="05B00A30"/>
    <w:rsid w:val="06B752B2"/>
    <w:rsid w:val="09BB3139"/>
    <w:rsid w:val="0B011416"/>
    <w:rsid w:val="10DA268F"/>
    <w:rsid w:val="14E26638"/>
    <w:rsid w:val="31C2036A"/>
    <w:rsid w:val="320D02A5"/>
    <w:rsid w:val="348E566F"/>
    <w:rsid w:val="3A226944"/>
    <w:rsid w:val="3AEE6A48"/>
    <w:rsid w:val="3C1620AA"/>
    <w:rsid w:val="3D8F080F"/>
    <w:rsid w:val="44CE1FA4"/>
    <w:rsid w:val="470D2E10"/>
    <w:rsid w:val="487F73ED"/>
    <w:rsid w:val="4A347EAE"/>
    <w:rsid w:val="52600405"/>
    <w:rsid w:val="529B4319"/>
    <w:rsid w:val="53E75321"/>
    <w:rsid w:val="57773DD6"/>
    <w:rsid w:val="578B79AB"/>
    <w:rsid w:val="5A35677E"/>
    <w:rsid w:val="5CCD3FD5"/>
    <w:rsid w:val="61FA5F9D"/>
    <w:rsid w:val="64CD6910"/>
    <w:rsid w:val="67270C19"/>
    <w:rsid w:val="6789158D"/>
    <w:rsid w:val="67D81BA4"/>
    <w:rsid w:val="6AAF1C96"/>
    <w:rsid w:val="6C2A026B"/>
    <w:rsid w:val="734D11AA"/>
    <w:rsid w:val="743A70CB"/>
    <w:rsid w:val="75681757"/>
    <w:rsid w:val="75A346A8"/>
    <w:rsid w:val="79B9382C"/>
    <w:rsid w:val="7B043B76"/>
    <w:rsid w:val="7C041A6A"/>
    <w:rsid w:val="7E327570"/>
  </w:rsid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6">
    <w:name w:val="Default Paragraph Font"/>
    <w:unhideWhenUsed/>
    <w:qFormat/>
    <w:uiPriority w:val="1"/>
  </w:style>
  <w:style w:type="table" w:default="1" w:styleId="7">
    <w:name w:val="Normal Table"/>
    <w:unhideWhenUsed/>
    <w:uiPriority w:val="99"/>
    <w:tblPr>
      <w:tblLayout w:type="fixed"/>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character" w:customStyle="1" w:styleId="9">
    <w:name w:val="页眉 Char"/>
    <w:basedOn w:val="6"/>
    <w:link w:val="5"/>
    <w:qFormat/>
    <w:uiPriority w:val="99"/>
    <w:rPr>
      <w:rFonts w:asciiTheme="minorHAnsi" w:hAnsiTheme="minorHAnsi" w:eastAsiaTheme="minorEastAsia"/>
      <w:sz w:val="18"/>
      <w:szCs w:val="18"/>
    </w:rPr>
  </w:style>
  <w:style w:type="character" w:customStyle="1" w:styleId="10">
    <w:name w:val="页脚 Char"/>
    <w:basedOn w:val="6"/>
    <w:link w:val="4"/>
    <w:qFormat/>
    <w:uiPriority w:val="99"/>
    <w:rPr>
      <w:sz w:val="18"/>
      <w:szCs w:val="18"/>
    </w:rPr>
  </w:style>
  <w:style w:type="paragraph" w:customStyle="1" w:styleId="11">
    <w:name w:val="列出段落1"/>
    <w:basedOn w:val="1"/>
    <w:qFormat/>
    <w:uiPriority w:val="1"/>
    <w:pPr>
      <w:spacing w:before="2"/>
      <w:ind w:left="119" w:right="434" w:firstLine="643"/>
    </w:pPr>
    <w:rPr>
      <w:rFonts w:ascii="仿宋_GB2312" w:hAnsi="仿宋_GB2312" w:eastAsia="仿宋_GB2312" w:cs="仿宋_GB2312"/>
      <w:lang w:val="zh-CN" w:bidi="zh-CN"/>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footer" Target="footer2.xml"/><Relationship Id="rId7" Type="http://schemas.openxmlformats.org/officeDocument/2006/relationships/header" Target="header4.xml"/><Relationship Id="rId6" Type="http://schemas.openxmlformats.org/officeDocument/2006/relationships/header" Target="header3.xml"/><Relationship Id="rId5" Type="http://schemas.openxmlformats.org/officeDocument/2006/relationships/footer" Target="footer1.xml"/><Relationship Id="rId4" Type="http://schemas.openxmlformats.org/officeDocument/2006/relationships/header" Target="header2.xml"/><Relationship Id="rId32" Type="http://schemas.openxmlformats.org/officeDocument/2006/relationships/fontTable" Target="fontTable.xml"/><Relationship Id="rId31" Type="http://schemas.openxmlformats.org/officeDocument/2006/relationships/customXml" Target="../customXml/item2.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3.png"/><Relationship Id="rId27" Type="http://schemas.openxmlformats.org/officeDocument/2006/relationships/image" Target="media/image2.bmp"/><Relationship Id="rId26" Type="http://schemas.openxmlformats.org/officeDocument/2006/relationships/theme" Target="theme/theme1.xml"/><Relationship Id="rId25" Type="http://schemas.openxmlformats.org/officeDocument/2006/relationships/footer" Target="footer9.xml"/><Relationship Id="rId24" Type="http://schemas.openxmlformats.org/officeDocument/2006/relationships/header" Target="header14.xml"/><Relationship Id="rId23" Type="http://schemas.openxmlformats.org/officeDocument/2006/relationships/header" Target="header13.xml"/><Relationship Id="rId22" Type="http://schemas.openxmlformats.org/officeDocument/2006/relationships/header" Target="header12.xml"/><Relationship Id="rId21" Type="http://schemas.openxmlformats.org/officeDocument/2006/relationships/header" Target="header11.xml"/><Relationship Id="rId20" Type="http://schemas.openxmlformats.org/officeDocument/2006/relationships/header" Target="header10.xml"/><Relationship Id="rId2" Type="http://schemas.openxmlformats.org/officeDocument/2006/relationships/settings" Target="settings.xml"/><Relationship Id="rId19" Type="http://schemas.openxmlformats.org/officeDocument/2006/relationships/footer" Target="footer8.xml"/><Relationship Id="rId18" Type="http://schemas.openxmlformats.org/officeDocument/2006/relationships/footer" Target="footer7.xml"/><Relationship Id="rId17" Type="http://schemas.openxmlformats.org/officeDocument/2006/relationships/header" Target="header9.xml"/><Relationship Id="rId16" Type="http://schemas.openxmlformats.org/officeDocument/2006/relationships/header" Target="header8.xml"/><Relationship Id="rId15" Type="http://schemas.openxmlformats.org/officeDocument/2006/relationships/footer" Target="footer6.xml"/><Relationship Id="rId14" Type="http://schemas.openxmlformats.org/officeDocument/2006/relationships/footer" Target="footer5.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_rels/header1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Template>
  <Company>Microsoft</Company>
  <Pages>32</Pages>
  <Words>1662</Words>
  <Characters>9479</Characters>
  <Lines>78</Lines>
  <Paragraphs>22</Paragraphs>
  <ScaleCrop>false</ScaleCrop>
  <LinksUpToDate>false</LinksUpToDate>
  <CharactersWithSpaces>11119</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2020-11-04T01:45:00Z</cp:lastPrinted>
  <dcterms:modified xsi:type="dcterms:W3CDTF">2024-08-01T07:45:03Z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