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E82C2">
      <w:pPr>
        <w:spacing w:line="360" w:lineRule="auto"/>
        <w:jc w:val="center"/>
        <w:rPr>
          <w:rFonts w:ascii="华文楷体" w:eastAsia="华文楷体"/>
          <w:sz w:val="32"/>
          <w:szCs w:val="32"/>
        </w:rPr>
      </w:pPr>
      <w:r>
        <w:rPr>
          <w:rFonts w:hint="eastAsia" w:ascii="宋体"/>
          <w:b/>
          <w:bCs/>
          <w:sz w:val="36"/>
          <w:szCs w:val="32"/>
          <w:lang w:val="en-US" w:eastAsia="zh-CN"/>
        </w:rPr>
        <w:t>人大代表</w:t>
      </w:r>
      <w:r>
        <w:rPr>
          <w:rFonts w:hint="eastAsia" w:ascii="宋体"/>
          <w:b/>
          <w:bCs/>
          <w:sz w:val="36"/>
          <w:szCs w:val="32"/>
        </w:rPr>
        <w:t>订阅报刊杂志费项目绩效评价报告</w:t>
      </w:r>
    </w:p>
    <w:p w14:paraId="667F3B30">
      <w:pPr>
        <w:spacing w:line="360" w:lineRule="auto"/>
        <w:jc w:val="center"/>
        <w:rPr>
          <w:rFonts w:ascii="华文楷体" w:eastAsia="华文楷体"/>
          <w:sz w:val="32"/>
          <w:szCs w:val="32"/>
        </w:rPr>
      </w:pPr>
    </w:p>
    <w:p w14:paraId="0859F62F">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根据《石家庄市鹿泉区区级部门预算绩效管理办法》（鹿财字[2019]65号），遵循“科学性、规范性、客观性和公正性”的原则，对政协委员订阅报刊杂志费项目实施了绩效评价，形成本评价报告。</w:t>
      </w:r>
    </w:p>
    <w:p w14:paraId="2784A416">
      <w:pPr>
        <w:adjustRightInd w:val="0"/>
        <w:snapToGrid w:val="0"/>
        <w:spacing w:line="360" w:lineRule="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 xml:space="preserve">    一、项目基本情况</w:t>
      </w:r>
    </w:p>
    <w:p w14:paraId="32C23E8D">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14:paraId="03033B0C">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1.该项目由鹿泉区</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负责，项目执行期为2019年1月1日至2019年12月31日。</w:t>
      </w:r>
    </w:p>
    <w:p w14:paraId="4FE4BAAE">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2.为区</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订阅报刊杂志费项目主要用在为</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订阅《</w:t>
      </w:r>
      <w:r>
        <w:rPr>
          <w:rFonts w:hint="eastAsia" w:ascii="仿宋_GB2312" w:hAnsi="仿宋_GB2312" w:eastAsia="仿宋_GB2312" w:cs="仿宋_GB2312"/>
          <w:sz w:val="32"/>
          <w:szCs w:val="32"/>
          <w:lang w:eastAsia="zh-CN"/>
        </w:rPr>
        <w:t>代表报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公民与法治</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中国人大</w:t>
      </w:r>
      <w:r>
        <w:rPr>
          <w:rFonts w:hint="eastAsia" w:ascii="仿宋_GB2312" w:hAnsi="仿宋_GB2312" w:eastAsia="仿宋_GB2312" w:cs="仿宋_GB2312"/>
          <w:sz w:val="32"/>
          <w:szCs w:val="32"/>
        </w:rPr>
        <w:t>》等。</w:t>
      </w:r>
    </w:p>
    <w:p w14:paraId="5E00BE82">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3.按照区财政预算安排“</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订阅报刊杂志费”</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万元。实际到位经费</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万元，资金到位率100%。项目资金实行专款专用，资金使用符合国家财经法规和财务管理制度的规定，按照本区财政预算拨付审批规范，手续完整，项目资金使用做到按照年度预算批复用途使用。</w:t>
      </w:r>
    </w:p>
    <w:p w14:paraId="3CEE20E8">
      <w:pPr>
        <w:adjustRightInd w:val="0"/>
        <w:snapToGrid w:val="0"/>
        <w:spacing w:line="360" w:lineRule="auto"/>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（二）项目预期绩效目标</w:t>
      </w:r>
    </w:p>
    <w:p w14:paraId="45AA28D3">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提高代表履职能力</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订阅了《</w:t>
      </w:r>
      <w:r>
        <w:rPr>
          <w:rFonts w:hint="eastAsia" w:ascii="仿宋_GB2312" w:hAnsi="仿宋_GB2312" w:eastAsia="仿宋_GB2312" w:cs="仿宋_GB2312"/>
          <w:sz w:val="32"/>
          <w:szCs w:val="32"/>
          <w:lang w:eastAsia="zh-CN"/>
        </w:rPr>
        <w:t>代表报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公民与法治</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中国人大</w:t>
      </w:r>
      <w:r>
        <w:rPr>
          <w:rFonts w:hint="eastAsia" w:ascii="仿宋_GB2312" w:hAnsi="仿宋_GB2312" w:eastAsia="仿宋_GB2312" w:cs="仿宋_GB2312"/>
          <w:sz w:val="32"/>
          <w:szCs w:val="32"/>
        </w:rPr>
        <w:t>》等报刊杂志，通过订阅报刊杂志，使</w:t>
      </w:r>
      <w:r>
        <w:rPr>
          <w:rFonts w:hint="eastAsia" w:ascii="仿宋_GB2312" w:hAnsi="仿宋_GB2312" w:eastAsia="仿宋_GB2312" w:cs="仿宋_GB2312"/>
          <w:sz w:val="32"/>
          <w:szCs w:val="32"/>
          <w:lang w:eastAsia="zh-CN"/>
        </w:rPr>
        <w:t>人大代表提高</w:t>
      </w:r>
      <w:r>
        <w:rPr>
          <w:rFonts w:hint="eastAsia" w:ascii="仿宋_GB2312" w:hAnsi="仿宋_GB2312" w:eastAsia="仿宋_GB2312" w:cs="仿宋_GB2312"/>
          <w:color w:val="333333"/>
          <w:sz w:val="32"/>
          <w:szCs w:val="32"/>
        </w:rPr>
        <w:t>履职能力和水平。</w:t>
      </w:r>
    </w:p>
    <w:p w14:paraId="306DAC88">
      <w:pPr>
        <w:adjustRightInd w:val="0"/>
        <w:snapToGrid w:val="0"/>
        <w:spacing w:line="360" w:lineRule="auto"/>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二、绩效评价工作情况</w:t>
      </w:r>
    </w:p>
    <w:p w14:paraId="32EB923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（一）绩效评价的组织工作</w:t>
      </w:r>
    </w:p>
    <w:p w14:paraId="4019AF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FF0000"/>
          <w:sz w:val="32"/>
          <w:szCs w:val="32"/>
        </w:rPr>
        <w:t xml:space="preserve">  </w:t>
      </w:r>
      <w:r>
        <w:rPr>
          <w:rFonts w:hint="eastAsia" w:ascii="仿宋_GB2312" w:hAnsi="仿宋_GB2312" w:eastAsia="仿宋_GB2312" w:cs="仿宋_GB2312"/>
          <w:bCs/>
          <w:sz w:val="32"/>
          <w:szCs w:val="32"/>
        </w:rPr>
        <w:t>该项目由区</w:t>
      </w:r>
      <w:r>
        <w:rPr>
          <w:rFonts w:hint="eastAsia" w:ascii="仿宋_GB2312" w:hAnsi="仿宋_GB2312" w:eastAsia="仿宋_GB2312" w:cs="仿宋_GB2312"/>
          <w:bCs/>
          <w:sz w:val="32"/>
          <w:szCs w:val="32"/>
          <w:lang w:eastAsia="zh-CN"/>
        </w:rPr>
        <w:t>人大常委会</w:t>
      </w:r>
      <w:r>
        <w:rPr>
          <w:rFonts w:hint="eastAsia" w:ascii="仿宋_GB2312" w:hAnsi="仿宋_GB2312" w:eastAsia="仿宋_GB2312" w:cs="仿宋_GB2312"/>
          <w:bCs/>
          <w:sz w:val="32"/>
          <w:szCs w:val="32"/>
        </w:rPr>
        <w:t>自行组织评价，列入2019年区</w:t>
      </w:r>
      <w:r>
        <w:rPr>
          <w:rFonts w:hint="eastAsia" w:ascii="仿宋_GB2312" w:hAnsi="仿宋_GB2312" w:eastAsia="仿宋_GB2312" w:cs="仿宋_GB2312"/>
          <w:bCs/>
          <w:sz w:val="32"/>
          <w:szCs w:val="32"/>
          <w:lang w:eastAsia="zh-CN"/>
        </w:rPr>
        <w:t>人大常委会的</w:t>
      </w:r>
      <w:r>
        <w:rPr>
          <w:rFonts w:hint="eastAsia" w:ascii="仿宋_GB2312" w:hAnsi="仿宋_GB2312" w:eastAsia="仿宋_GB2312" w:cs="仿宋_GB2312"/>
          <w:bCs/>
          <w:sz w:val="32"/>
          <w:szCs w:val="32"/>
        </w:rPr>
        <w:t>有区</w:t>
      </w:r>
      <w:r>
        <w:rPr>
          <w:rFonts w:hint="eastAsia" w:ascii="仿宋_GB2312" w:hAnsi="仿宋_GB2312" w:eastAsia="仿宋_GB2312" w:cs="仿宋_GB2312"/>
          <w:bCs/>
          <w:sz w:val="32"/>
          <w:szCs w:val="32"/>
          <w:lang w:eastAsia="zh-CN"/>
        </w:rPr>
        <w:t>人大常委会办公室</w:t>
      </w:r>
      <w:r>
        <w:rPr>
          <w:rFonts w:hint="eastAsia" w:ascii="仿宋_GB2312" w:hAnsi="仿宋_GB2312" w:eastAsia="仿宋_GB2312" w:cs="仿宋_GB2312"/>
          <w:bCs/>
          <w:sz w:val="32"/>
          <w:szCs w:val="32"/>
        </w:rPr>
        <w:t>、区</w:t>
      </w:r>
      <w:r>
        <w:rPr>
          <w:rFonts w:hint="eastAsia" w:ascii="仿宋_GB2312" w:hAnsi="仿宋_GB2312" w:eastAsia="仿宋_GB2312" w:cs="仿宋_GB2312"/>
          <w:bCs/>
          <w:sz w:val="32"/>
          <w:szCs w:val="32"/>
          <w:lang w:eastAsia="zh-CN"/>
        </w:rPr>
        <w:t>人大代表联络工委</w:t>
      </w:r>
      <w:r>
        <w:rPr>
          <w:rFonts w:hint="eastAsia" w:ascii="仿宋_GB2312" w:hAnsi="仿宋_GB2312" w:eastAsia="仿宋_GB2312" w:cs="仿宋_GB2312"/>
          <w:bCs/>
          <w:sz w:val="32"/>
          <w:szCs w:val="32"/>
        </w:rPr>
        <w:t>、区</w:t>
      </w:r>
      <w:r>
        <w:rPr>
          <w:rFonts w:hint="eastAsia" w:ascii="仿宋_GB2312" w:hAnsi="仿宋_GB2312" w:eastAsia="仿宋_GB2312" w:cs="仿宋_GB2312"/>
          <w:bCs/>
          <w:sz w:val="32"/>
          <w:szCs w:val="32"/>
          <w:lang w:eastAsia="zh-CN"/>
        </w:rPr>
        <w:t>人大政法工委</w:t>
      </w:r>
      <w:r>
        <w:rPr>
          <w:rFonts w:hint="eastAsia" w:ascii="仿宋_GB2312" w:hAnsi="仿宋_GB2312" w:eastAsia="仿宋_GB2312" w:cs="仿宋_GB2312"/>
          <w:bCs/>
          <w:sz w:val="32"/>
          <w:szCs w:val="32"/>
        </w:rPr>
        <w:t>、区</w:t>
      </w:r>
      <w:r>
        <w:rPr>
          <w:rFonts w:hint="eastAsia" w:ascii="仿宋_GB2312" w:hAnsi="仿宋_GB2312" w:eastAsia="仿宋_GB2312" w:cs="仿宋_GB2312"/>
          <w:bCs/>
          <w:sz w:val="32"/>
          <w:szCs w:val="32"/>
          <w:lang w:eastAsia="zh-CN"/>
        </w:rPr>
        <w:t>人大财经工委、区人大教科文卫委</w:t>
      </w:r>
      <w:r>
        <w:rPr>
          <w:rFonts w:hint="eastAsia" w:ascii="仿宋_GB2312" w:hAnsi="仿宋_GB2312" w:eastAsia="仿宋_GB2312" w:cs="仿宋_GB2312"/>
          <w:bCs/>
          <w:sz w:val="32"/>
          <w:szCs w:val="32"/>
        </w:rPr>
        <w:t>，核实项目资金</w:t>
      </w:r>
      <w:r>
        <w:rPr>
          <w:rFonts w:hint="eastAsia" w:ascii="仿宋_GB2312" w:hAnsi="仿宋_GB2312" w:eastAsia="仿宋_GB2312" w:cs="仿宋_GB2312"/>
          <w:bCs/>
          <w:sz w:val="32"/>
          <w:szCs w:val="32"/>
          <w:lang w:val="en-US" w:eastAsia="zh-CN"/>
        </w:rPr>
        <w:t>10</w:t>
      </w:r>
      <w:r>
        <w:rPr>
          <w:rFonts w:hint="eastAsia" w:ascii="仿宋_GB2312" w:hAnsi="仿宋_GB2312" w:eastAsia="仿宋_GB2312" w:cs="仿宋_GB2312"/>
          <w:bCs/>
          <w:sz w:val="32"/>
          <w:szCs w:val="32"/>
        </w:rPr>
        <w:t>万元，项目资金抽查覆盖利率达100%。</w:t>
      </w:r>
    </w:p>
    <w:p w14:paraId="46FD9194">
      <w:pPr>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（二）绩效评价的方法和过程</w:t>
      </w:r>
    </w:p>
    <w:p w14:paraId="55E5A57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针对本项目实际情况，通过座谈调研、查阅项目管理、财务管理制度等资料的形式，采用比较分析法对本项目专项资金使用情况进行绩效评价。</w:t>
      </w:r>
    </w:p>
    <w:p w14:paraId="304CABB8">
      <w:pPr>
        <w:rPr>
          <w:rFonts w:hint="eastAsia" w:ascii="仿宋_GB2312" w:hAnsi="仿宋_GB2312" w:eastAsia="仿宋_GB2312" w:cs="仿宋_GB2312"/>
          <w:sz w:val="32"/>
          <w:szCs w:val="32"/>
        </w:rPr>
      </w:pPr>
      <w:r>
        <w:rPr>
          <w:rFonts w:hint="eastAsia" w:ascii="仿宋_GB2312" w:hAnsi="仿宋_GB2312" w:eastAsia="仿宋_GB2312" w:cs="仿宋_GB2312"/>
          <w:b/>
          <w:bCs/>
          <w:color w:val="FF0000"/>
          <w:sz w:val="32"/>
          <w:szCs w:val="32"/>
        </w:rPr>
        <w:t xml:space="preserve">  </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（三）建立绩效评价指标体系</w:t>
      </w:r>
    </w:p>
    <w:p w14:paraId="19C93F2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区财政局要求，对绩效指标评价体系分为投入、过程、产出、效果4个一级指标，设置评分值100分，其中投入20分、过程20分、产出25分、效果35分。细化为项目立项、资金落实、业务管理、财务管理、项目产出、项目效益6个二级指标，从项目立项规范性、绩效指标明确性、资金到位率、业务制度健全性、业务制度执行有效性、财务管理制度健全性、资金使用合规性、财务监控有效性等指标为三级指标构成完整绩效评价体系。</w:t>
      </w:r>
    </w:p>
    <w:p w14:paraId="2EDA80AF">
      <w:p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三、项目执行及绩效实现情况</w:t>
      </w:r>
    </w:p>
    <w:p w14:paraId="2741D272">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（一）项目投入</w:t>
      </w:r>
    </w:p>
    <w:p w14:paraId="5E71DD1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1.项目立项情况分析。项目立项方面满分10分，得10分。经区</w:t>
      </w:r>
      <w:r>
        <w:rPr>
          <w:rFonts w:hint="eastAsia" w:ascii="仿宋_GB2312" w:hAnsi="仿宋_GB2312" w:eastAsia="仿宋_GB2312" w:cs="仿宋_GB2312"/>
          <w:sz w:val="32"/>
          <w:szCs w:val="32"/>
          <w:lang w:eastAsia="zh-CN"/>
        </w:rPr>
        <w:t>人大常委会主任</w:t>
      </w:r>
      <w:r>
        <w:rPr>
          <w:rFonts w:hint="eastAsia" w:ascii="仿宋_GB2312" w:hAnsi="仿宋_GB2312" w:eastAsia="仿宋_GB2312" w:cs="仿宋_GB2312"/>
          <w:sz w:val="32"/>
          <w:szCs w:val="32"/>
        </w:rPr>
        <w:t>会议和党组会安排部署，做到每位</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人手一份《</w:t>
      </w:r>
      <w:r>
        <w:rPr>
          <w:rFonts w:hint="eastAsia" w:ascii="仿宋_GB2312" w:hAnsi="仿宋_GB2312" w:eastAsia="仿宋_GB2312" w:cs="仿宋_GB2312"/>
          <w:sz w:val="32"/>
          <w:szCs w:val="32"/>
          <w:lang w:eastAsia="zh-CN"/>
        </w:rPr>
        <w:t>代表报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公民与法治</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中国人大</w:t>
      </w:r>
      <w:r>
        <w:rPr>
          <w:rFonts w:hint="eastAsia" w:ascii="仿宋_GB2312" w:hAnsi="仿宋_GB2312" w:eastAsia="仿宋_GB2312" w:cs="仿宋_GB2312"/>
          <w:sz w:val="32"/>
          <w:szCs w:val="32"/>
        </w:rPr>
        <w:t>》杂志的基础上，以扩大</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影响力。《</w:t>
      </w:r>
      <w:r>
        <w:rPr>
          <w:rFonts w:hint="eastAsia" w:ascii="仿宋_GB2312" w:hAnsi="仿宋_GB2312" w:eastAsia="仿宋_GB2312" w:cs="仿宋_GB2312"/>
          <w:sz w:val="32"/>
          <w:szCs w:val="32"/>
          <w:lang w:eastAsia="zh-CN"/>
        </w:rPr>
        <w:t>代表报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公民与法治</w:t>
      </w:r>
      <w:r>
        <w:rPr>
          <w:rFonts w:hint="eastAsia" w:ascii="仿宋_GB2312" w:hAnsi="仿宋_GB2312" w:eastAsia="仿宋_GB2312" w:cs="仿宋_GB2312"/>
          <w:sz w:val="32"/>
          <w:szCs w:val="32"/>
        </w:rPr>
        <w:t>》作为全国、全省</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新闻宣传工作的主流媒体、重要力量，对基层</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开展工作具有很强的指导意义。为</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订阅报刊杂志是</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组织为</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服务的具体体现，也是各位</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应有的政治待遇。更是贯彻落实习近平总书记关于加强和改进</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工作的重要思想的具体体现。</w:t>
      </w:r>
    </w:p>
    <w:p w14:paraId="4A315F8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2.资金落实情况分析。资金落实方面满分10分，得10分。按照区财政预算拨付审批安排“</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订阅</w:t>
      </w:r>
      <w:r>
        <w:rPr>
          <w:rFonts w:hint="eastAsia" w:ascii="仿宋_GB2312" w:hAnsi="仿宋_GB2312" w:eastAsia="仿宋_GB2312" w:cs="仿宋_GB2312"/>
          <w:sz w:val="32"/>
          <w:szCs w:val="32"/>
          <w:lang w:eastAsia="zh-CN"/>
        </w:rPr>
        <w:t>杂志、</w:t>
      </w:r>
      <w:r>
        <w:rPr>
          <w:rFonts w:hint="eastAsia" w:ascii="仿宋_GB2312" w:hAnsi="仿宋_GB2312" w:eastAsia="仿宋_GB2312" w:cs="仿宋_GB2312"/>
          <w:sz w:val="32"/>
          <w:szCs w:val="32"/>
        </w:rPr>
        <w:t>报刊费”</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万元。实际到位经费</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万元，资金到位率100%。项目资金实行专款专用，资金使用符合国家财经法规和财务管理制度的规定，项目资金使用做到按照年度预算批复用途使用。</w:t>
      </w:r>
    </w:p>
    <w:p w14:paraId="6F9FB9F2">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（二）项目实施过程</w:t>
      </w:r>
    </w:p>
    <w:p w14:paraId="511EBBD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1.业务管理情况分析。业务管理方面满分9分，实得9分。管理制度健全，且制度合法、合规、完善，得5分；同时制度也得到有效执行，遵守相关法律法规和业务管理规定，得4分。</w:t>
      </w:r>
    </w:p>
    <w:p w14:paraId="5A7B3B4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2.财务管理。财务管理方面满分11分，得11分。区</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严格执行财务管理制度，严格相关账务审批程序，项目按计划组织实施得3分；资金到位后，专款专用。并严格按照政协工作要点开展工作，落实中央</w:t>
      </w:r>
      <w:bookmarkStart w:id="0" w:name="_GoBack"/>
      <w:bookmarkEnd w:id="0"/>
      <w:r>
        <w:rPr>
          <w:rFonts w:hint="eastAsia" w:ascii="仿宋_GB2312" w:hAnsi="仿宋_GB2312" w:eastAsia="仿宋_GB2312" w:cs="仿宋_GB2312"/>
          <w:sz w:val="32"/>
          <w:szCs w:val="32"/>
        </w:rPr>
        <w:t>八项规定及省市具体规定，厉行勤俭节约，经费控制在预算范围内。支出依据合规，无虚列项目支出、截留挤占挪用、超标准开支和超预算开支等违规情况得4分；项目执行过程中由区</w:t>
      </w:r>
      <w:r>
        <w:rPr>
          <w:rFonts w:hint="eastAsia" w:ascii="仿宋_GB2312" w:hAnsi="仿宋_GB2312" w:eastAsia="仿宋_GB2312" w:cs="仿宋_GB2312"/>
          <w:sz w:val="32"/>
          <w:szCs w:val="32"/>
          <w:lang w:eastAsia="zh-CN"/>
        </w:rPr>
        <w:t>人大办</w:t>
      </w:r>
      <w:r>
        <w:rPr>
          <w:rFonts w:hint="eastAsia" w:ascii="仿宋_GB2312" w:hAnsi="仿宋_GB2312" w:eastAsia="仿宋_GB2312" w:cs="仿宋_GB2312"/>
          <w:sz w:val="32"/>
          <w:szCs w:val="32"/>
        </w:rPr>
        <w:t xml:space="preserve">组成监管领导小组， 监督、检查财务执行情况制度健全得4分 。  </w:t>
      </w:r>
    </w:p>
    <w:p w14:paraId="27039B31">
      <w:p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（三）项目产出</w:t>
      </w:r>
    </w:p>
    <w:p w14:paraId="14DC5A6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产出方面满分25分，得分22分。产出数量方面满分15分，得13分，产出质量方面满分10分，得9分。</w:t>
      </w:r>
    </w:p>
    <w:p w14:paraId="79E07F77">
      <w:pPr>
        <w:rPr>
          <w:rFonts w:hint="eastAsia" w:ascii="仿宋_GB2312" w:hAnsi="仿宋_GB2312" w:eastAsia="仿宋_GB2312" w:cs="仿宋_GB2312"/>
          <w:color w:val="FF0000"/>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14:paraId="56E648E6">
      <w:pPr>
        <w:ind w:firstLine="640" w:firstLineChars="200"/>
        <w:rPr>
          <w:rFonts w:hint="eastAsia" w:ascii="仿宋_GB2312" w:hAnsi="仿宋_GB2312" w:eastAsia="仿宋_GB2312" w:cs="仿宋_GB2312"/>
          <w:color w:val="333333"/>
          <w:sz w:val="32"/>
          <w:szCs w:val="32"/>
          <w:lang w:eastAsia="zh-CN"/>
        </w:rPr>
      </w:pPr>
      <w:r>
        <w:rPr>
          <w:rFonts w:hint="eastAsia" w:ascii="仿宋_GB2312" w:hAnsi="仿宋_GB2312" w:eastAsia="仿宋_GB2312" w:cs="仿宋_GB2312"/>
          <w:color w:val="333333"/>
          <w:sz w:val="32"/>
          <w:szCs w:val="32"/>
        </w:rPr>
        <w:t>效益方面满分35分，得34分。</w:t>
      </w:r>
      <w:r>
        <w:rPr>
          <w:rFonts w:hint="eastAsia" w:ascii="仿宋_GB2312" w:hAnsi="仿宋_GB2312" w:eastAsia="仿宋_GB2312" w:cs="仿宋_GB2312"/>
          <w:color w:val="333333"/>
          <w:sz w:val="32"/>
          <w:szCs w:val="32"/>
          <w:lang w:eastAsia="zh-CN"/>
        </w:rPr>
        <w:t>人大代表</w:t>
      </w:r>
      <w:r>
        <w:rPr>
          <w:rFonts w:hint="eastAsia" w:ascii="仿宋_GB2312" w:hAnsi="仿宋_GB2312" w:eastAsia="仿宋_GB2312" w:cs="仿宋_GB2312"/>
          <w:color w:val="333333"/>
          <w:sz w:val="32"/>
          <w:szCs w:val="32"/>
        </w:rPr>
        <w:t>是</w:t>
      </w:r>
      <w:r>
        <w:rPr>
          <w:rFonts w:hint="eastAsia" w:ascii="仿宋_GB2312" w:hAnsi="仿宋_GB2312" w:eastAsia="仿宋_GB2312" w:cs="仿宋_GB2312"/>
          <w:color w:val="333333"/>
          <w:sz w:val="32"/>
          <w:szCs w:val="32"/>
          <w:lang w:eastAsia="zh-CN"/>
        </w:rPr>
        <w:t>人大</w:t>
      </w:r>
      <w:r>
        <w:rPr>
          <w:rFonts w:hint="eastAsia" w:ascii="仿宋_GB2312" w:hAnsi="仿宋_GB2312" w:eastAsia="仿宋_GB2312" w:cs="仿宋_GB2312"/>
          <w:color w:val="333333"/>
          <w:sz w:val="32"/>
          <w:szCs w:val="32"/>
        </w:rPr>
        <w:t>工作的主体。《</w:t>
      </w:r>
      <w:r>
        <w:rPr>
          <w:rFonts w:hint="eastAsia" w:ascii="仿宋_GB2312" w:hAnsi="仿宋_GB2312" w:eastAsia="仿宋_GB2312" w:cs="仿宋_GB2312"/>
          <w:color w:val="333333"/>
          <w:sz w:val="32"/>
          <w:szCs w:val="32"/>
          <w:lang w:eastAsia="zh-CN"/>
        </w:rPr>
        <w:t>代表报</w:t>
      </w:r>
      <w:r>
        <w:rPr>
          <w:rFonts w:hint="eastAsia" w:ascii="仿宋_GB2312" w:hAnsi="仿宋_GB2312" w:eastAsia="仿宋_GB2312" w:cs="仿宋_GB2312"/>
          <w:color w:val="333333"/>
          <w:sz w:val="32"/>
          <w:szCs w:val="32"/>
        </w:rPr>
        <w:t>》、《</w:t>
      </w:r>
      <w:r>
        <w:rPr>
          <w:rFonts w:hint="eastAsia" w:ascii="仿宋_GB2312" w:hAnsi="仿宋_GB2312" w:eastAsia="仿宋_GB2312" w:cs="仿宋_GB2312"/>
          <w:color w:val="333333"/>
          <w:sz w:val="32"/>
          <w:szCs w:val="32"/>
          <w:lang w:eastAsia="zh-CN"/>
        </w:rPr>
        <w:t>公民与法治</w:t>
      </w:r>
      <w:r>
        <w:rPr>
          <w:rFonts w:hint="eastAsia" w:ascii="仿宋_GB2312" w:hAnsi="仿宋_GB2312" w:eastAsia="仿宋_GB2312" w:cs="仿宋_GB2312"/>
          <w:color w:val="333333"/>
          <w:sz w:val="32"/>
          <w:szCs w:val="32"/>
        </w:rPr>
        <w:t>》均以马列主义、毛泽东思想、邓小平理论和“三个代表”重要思想为指导，全面贯彻党的</w:t>
      </w:r>
      <w:r>
        <w:rPr>
          <w:rFonts w:hint="eastAsia" w:ascii="仿宋_GB2312" w:hAnsi="仿宋_GB2312" w:eastAsia="仿宋_GB2312" w:cs="仿宋_GB2312"/>
          <w:color w:val="333333"/>
          <w:sz w:val="32"/>
          <w:szCs w:val="32"/>
          <w:lang w:eastAsia="zh-CN"/>
        </w:rPr>
        <w:t>各项方针政策，</w:t>
      </w:r>
      <w:r>
        <w:rPr>
          <w:rFonts w:hint="eastAsia" w:ascii="仿宋_GB2312" w:hAnsi="仿宋_GB2312" w:eastAsia="仿宋_GB2312" w:cs="仿宋_GB2312"/>
          <w:color w:val="333333"/>
          <w:sz w:val="32"/>
          <w:szCs w:val="32"/>
        </w:rPr>
        <w:t>更是全区</w:t>
      </w:r>
      <w:r>
        <w:rPr>
          <w:rFonts w:hint="eastAsia" w:ascii="仿宋_GB2312" w:hAnsi="仿宋_GB2312" w:eastAsia="仿宋_GB2312" w:cs="仿宋_GB2312"/>
          <w:color w:val="333333"/>
          <w:sz w:val="32"/>
          <w:szCs w:val="32"/>
          <w:lang w:eastAsia="zh-CN"/>
        </w:rPr>
        <w:t>人大代表提高履职能力、水平的学习途径。</w:t>
      </w:r>
    </w:p>
    <w:p w14:paraId="14A3324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四、项目综合评价结论和评价等级</w:t>
      </w:r>
    </w:p>
    <w:p w14:paraId="511A52F0">
      <w:pPr>
        <w:pStyle w:val="4"/>
        <w:shd w:val="clear" w:color="auto" w:fill="FFFFFF"/>
        <w:spacing w:before="0" w:beforeAutospacing="0" w:after="0" w:afterAutospacing="0" w:line="450" w:lineRule="atLeast"/>
        <w:ind w:firstLine="640"/>
        <w:jc w:val="both"/>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根据项目执行情况和项目绩效情况，经评价，根据年初制定的计划按时为</w:t>
      </w:r>
      <w:r>
        <w:rPr>
          <w:rFonts w:hint="eastAsia" w:ascii="仿宋_GB2312" w:hAnsi="仿宋_GB2312" w:eastAsia="仿宋_GB2312" w:cs="仿宋_GB2312"/>
          <w:kern w:val="2"/>
          <w:sz w:val="32"/>
          <w:szCs w:val="32"/>
          <w:lang w:eastAsia="zh-CN"/>
        </w:rPr>
        <w:t>代表</w:t>
      </w:r>
      <w:r>
        <w:rPr>
          <w:rFonts w:hint="eastAsia" w:ascii="仿宋_GB2312" w:hAnsi="仿宋_GB2312" w:eastAsia="仿宋_GB2312" w:cs="仿宋_GB2312"/>
          <w:kern w:val="2"/>
          <w:sz w:val="32"/>
          <w:szCs w:val="32"/>
        </w:rPr>
        <w:t>征订报刊杂志，通过这项工作更激发了</w:t>
      </w:r>
      <w:r>
        <w:rPr>
          <w:rFonts w:hint="eastAsia" w:ascii="仿宋_GB2312" w:hAnsi="仿宋_GB2312" w:eastAsia="仿宋_GB2312" w:cs="仿宋_GB2312"/>
          <w:kern w:val="2"/>
          <w:sz w:val="32"/>
          <w:szCs w:val="32"/>
          <w:lang w:eastAsia="zh-CN"/>
        </w:rPr>
        <w:t>代表</w:t>
      </w:r>
      <w:r>
        <w:rPr>
          <w:rFonts w:hint="eastAsia" w:ascii="仿宋_GB2312" w:hAnsi="仿宋_GB2312" w:eastAsia="仿宋_GB2312" w:cs="仿宋_GB2312"/>
          <w:kern w:val="2"/>
          <w:sz w:val="32"/>
          <w:szCs w:val="32"/>
        </w:rPr>
        <w:t>们学习的积极性，不仅能积极宣传</w:t>
      </w:r>
      <w:r>
        <w:rPr>
          <w:rFonts w:hint="eastAsia" w:ascii="仿宋_GB2312" w:hAnsi="仿宋_GB2312" w:eastAsia="仿宋_GB2312" w:cs="仿宋_GB2312"/>
          <w:kern w:val="2"/>
          <w:sz w:val="32"/>
          <w:szCs w:val="32"/>
          <w:lang w:eastAsia="zh-CN"/>
        </w:rPr>
        <w:t>人大</w:t>
      </w:r>
      <w:r>
        <w:rPr>
          <w:rFonts w:hint="eastAsia" w:ascii="仿宋_GB2312" w:hAnsi="仿宋_GB2312" w:eastAsia="仿宋_GB2312" w:cs="仿宋_GB2312"/>
          <w:kern w:val="2"/>
          <w:sz w:val="32"/>
          <w:szCs w:val="32"/>
        </w:rPr>
        <w:t>工作的亮点，</w:t>
      </w:r>
      <w:r>
        <w:rPr>
          <w:rFonts w:hint="eastAsia" w:ascii="仿宋_GB2312" w:hAnsi="仿宋_GB2312" w:eastAsia="仿宋_GB2312" w:cs="仿宋_GB2312"/>
          <w:kern w:val="2"/>
          <w:sz w:val="32"/>
          <w:szCs w:val="32"/>
          <w:lang w:eastAsia="zh-CN"/>
        </w:rPr>
        <w:t>还切实提高了代表的履职能力和水平</w:t>
      </w:r>
      <w:r>
        <w:rPr>
          <w:rFonts w:hint="eastAsia" w:ascii="仿宋_GB2312" w:hAnsi="仿宋_GB2312" w:eastAsia="仿宋_GB2312" w:cs="仿宋_GB2312"/>
          <w:kern w:val="2"/>
          <w:sz w:val="32"/>
          <w:szCs w:val="32"/>
        </w:rPr>
        <w:t>。该项目总体完成情况良好，资金绩效目标明确，预算编制合理，项目和资金管理较为落实，整体项目效果良好。该项目总得分为100分，自评得分96分，项目综合绩效评价等级为优秀。</w:t>
      </w:r>
    </w:p>
    <w:p w14:paraId="6F78A10D">
      <w:pPr>
        <w:pStyle w:val="4"/>
        <w:shd w:val="clear" w:color="auto" w:fill="FFFFFF"/>
        <w:spacing w:before="0" w:beforeAutospacing="0" w:after="0" w:afterAutospacing="0" w:line="450" w:lineRule="atLeast"/>
        <w:ind w:firstLine="64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五、存在的问题及改进措施</w:t>
      </w:r>
    </w:p>
    <w:p w14:paraId="0397FC34">
      <w:pPr>
        <w:rPr>
          <w:rFonts w:hint="eastAsia" w:ascii="仿宋_GB2312" w:hAnsi="仿宋_GB2312" w:eastAsia="仿宋_GB2312" w:cs="仿宋_GB2312"/>
          <w:sz w:val="32"/>
          <w:szCs w:val="32"/>
        </w:rPr>
      </w:pPr>
      <w:r>
        <w:rPr>
          <w:rFonts w:hint="eastAsia" w:ascii="仿宋_GB2312" w:hAnsi="仿宋_GB2312" w:eastAsia="仿宋_GB2312" w:cs="仿宋_GB2312"/>
          <w:b/>
          <w:bCs/>
          <w:color w:val="FF0000"/>
          <w:sz w:val="32"/>
          <w:szCs w:val="32"/>
        </w:rPr>
        <w:t xml:space="preserve">    </w:t>
      </w:r>
      <w:r>
        <w:rPr>
          <w:rFonts w:hint="eastAsia" w:ascii="仿宋_GB2312" w:hAnsi="仿宋_GB2312" w:eastAsia="仿宋_GB2312" w:cs="仿宋_GB2312"/>
          <w:sz w:val="32"/>
          <w:szCs w:val="32"/>
        </w:rPr>
        <w:t>无问题</w:t>
      </w:r>
    </w:p>
    <w:p w14:paraId="49B6DE4C">
      <w:pPr>
        <w:ind w:firstLine="640" w:firstLineChars="200"/>
        <w:rPr>
          <w:rFonts w:hint="eastAsia" w:ascii="仿宋_GB2312" w:hAnsi="仿宋_GB2312" w:eastAsia="仿宋_GB2312" w:cs="仿宋_GB2312"/>
          <w:color w:val="FF0000"/>
          <w:sz w:val="32"/>
          <w:szCs w:val="32"/>
        </w:rPr>
      </w:pPr>
      <w:r>
        <w:rPr>
          <w:rFonts w:hint="eastAsia" w:ascii="仿宋_GB2312" w:hAnsi="仿宋_GB2312" w:eastAsia="仿宋_GB2312" w:cs="仿宋_GB2312"/>
          <w:sz w:val="32"/>
          <w:szCs w:val="32"/>
        </w:rPr>
        <w:t>六、评价工作组人员名单及签字</w:t>
      </w:r>
    </w:p>
    <w:p w14:paraId="3F726375">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赵</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宏</w:t>
      </w:r>
      <w:r>
        <w:rPr>
          <w:rFonts w:hint="eastAsia" w:ascii="仿宋_GB2312" w:hAnsi="仿宋_GB2312" w:eastAsia="仿宋_GB2312" w:cs="仿宋_GB2312"/>
          <w:sz w:val="32"/>
          <w:szCs w:val="32"/>
        </w:rPr>
        <w:t>： 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办主任                                                   </w:t>
      </w:r>
    </w:p>
    <w:p w14:paraId="2D75EEAF">
      <w:pPr>
        <w:adjustRightInd w:val="0"/>
        <w:snapToGrid w:val="0"/>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梁</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娜</w:t>
      </w:r>
      <w:r>
        <w:rPr>
          <w:rFonts w:hint="eastAsia" w:ascii="仿宋_GB2312" w:hAnsi="仿宋_GB2312" w:eastAsia="仿宋_GB2312" w:cs="仿宋_GB2312"/>
          <w:sz w:val="32"/>
          <w:szCs w:val="32"/>
        </w:rPr>
        <w:t>： 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人大办副</w:t>
      </w:r>
      <w:r>
        <w:rPr>
          <w:rFonts w:hint="eastAsia" w:ascii="仿宋_GB2312" w:hAnsi="仿宋_GB2312" w:eastAsia="仿宋_GB2312" w:cs="仿宋_GB2312"/>
          <w:sz w:val="32"/>
          <w:szCs w:val="32"/>
        </w:rPr>
        <w:t>主任</w:t>
      </w:r>
    </w:p>
    <w:p w14:paraId="26F1FA94">
      <w:pPr>
        <w:adjustRightInd w:val="0"/>
        <w:snapToGrid w:val="0"/>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吴彦敏</w:t>
      </w:r>
      <w:r>
        <w:rPr>
          <w:rFonts w:hint="eastAsia" w:ascii="仿宋_GB2312" w:hAnsi="仿宋_GB2312" w:eastAsia="仿宋_GB2312" w:cs="仿宋_GB2312"/>
          <w:sz w:val="32"/>
          <w:szCs w:val="32"/>
        </w:rPr>
        <w:t>： 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人大办</w:t>
      </w:r>
      <w:r>
        <w:rPr>
          <w:rFonts w:hint="eastAsia" w:ascii="仿宋_GB2312" w:hAnsi="仿宋_GB2312" w:eastAsia="仿宋_GB2312" w:cs="仿宋_GB2312"/>
          <w:sz w:val="32"/>
          <w:szCs w:val="32"/>
        </w:rPr>
        <w:t>办会计</w:t>
      </w:r>
    </w:p>
    <w:p w14:paraId="4F9D29FA">
      <w:pPr>
        <w:ind w:firstLine="640" w:firstLineChars="200"/>
        <w:rPr>
          <w:rFonts w:hint="eastAsia" w:ascii="仿宋_GB2312" w:hAnsi="仿宋_GB2312" w:eastAsia="仿宋_GB2312" w:cs="仿宋_GB2312"/>
          <w:color w:val="FF0000"/>
          <w:sz w:val="32"/>
          <w:szCs w:val="32"/>
        </w:rPr>
      </w:pPr>
    </w:p>
    <w:p w14:paraId="7177CF49">
      <w:pPr>
        <w:adjustRightInd w:val="0"/>
        <w:spacing w:line="360" w:lineRule="auto"/>
        <w:ind w:firstLine="640" w:firstLineChars="200"/>
        <w:rPr>
          <w:rFonts w:hint="eastAsia" w:ascii="仿宋_GB2312" w:hAnsi="仿宋_GB2312" w:eastAsia="仿宋_GB2312" w:cs="仿宋_GB2312"/>
          <w:sz w:val="32"/>
          <w:szCs w:val="32"/>
        </w:rPr>
      </w:pPr>
    </w:p>
    <w:p w14:paraId="61747162">
      <w:pPr>
        <w:adjustRightInd w:val="0"/>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p>
    <w:p w14:paraId="47681312">
      <w:pPr>
        <w:adjustRightInd w:val="0"/>
        <w:spacing w:line="360" w:lineRule="auto"/>
        <w:rPr>
          <w:rFonts w:hint="eastAsia" w:ascii="仿宋_GB2312" w:hAnsi="仿宋_GB2312" w:eastAsia="仿宋_GB2312" w:cs="仿宋_GB2312"/>
          <w:sz w:val="32"/>
          <w:szCs w:val="32"/>
        </w:rPr>
      </w:pPr>
    </w:p>
    <w:p w14:paraId="1FF42892">
      <w:pPr>
        <w:adjustRightInd w:val="0"/>
        <w:spacing w:line="360" w:lineRule="auto"/>
        <w:ind w:firstLine="643" w:firstLineChars="200"/>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 xml:space="preserve">      项目支出绩效评价共性指标体系框架</w:t>
      </w:r>
    </w:p>
    <w:tbl>
      <w:tblPr>
        <w:tblStyle w:val="5"/>
        <w:tblW w:w="8646" w:type="dxa"/>
        <w:tblInd w:w="0" w:type="dxa"/>
        <w:tblLayout w:type="fixed"/>
        <w:tblCellMar>
          <w:top w:w="0" w:type="dxa"/>
          <w:left w:w="108" w:type="dxa"/>
          <w:bottom w:w="0" w:type="dxa"/>
          <w:right w:w="108" w:type="dxa"/>
        </w:tblCellMar>
      </w:tblPr>
      <w:tblGrid>
        <w:gridCol w:w="742"/>
        <w:gridCol w:w="778"/>
        <w:gridCol w:w="818"/>
        <w:gridCol w:w="2414"/>
        <w:gridCol w:w="3894"/>
      </w:tblGrid>
      <w:tr w14:paraId="7A0DC0E8">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FC9B073">
            <w:pPr>
              <w:shd w:val="solid" w:color="FFFFFF" w:fill="auto"/>
              <w:autoSpaceDN w:val="0"/>
              <w:jc w:val="center"/>
              <w:textAlignment w:val="center"/>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一级</w:t>
            </w:r>
            <w:r>
              <w:rPr>
                <w:rFonts w:hint="eastAsia" w:ascii="仿宋_GB2312" w:hAnsi="仿宋_GB2312" w:eastAsia="仿宋_GB2312" w:cs="仿宋_GB2312"/>
                <w:b/>
                <w:color w:val="000000"/>
                <w:sz w:val="32"/>
                <w:szCs w:val="32"/>
                <w:shd w:val="clear" w:color="auto" w:fill="FFFFFF"/>
              </w:rPr>
              <w:br w:type="textWrapping"/>
            </w:r>
            <w:r>
              <w:rPr>
                <w:rFonts w:hint="eastAsia" w:ascii="仿宋_GB2312" w:hAnsi="仿宋_GB2312" w:eastAsia="仿宋_GB2312" w:cs="仿宋_GB2312"/>
                <w:b/>
                <w:color w:val="000000"/>
                <w:sz w:val="32"/>
                <w:szCs w:val="32"/>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F47ACA6">
            <w:pPr>
              <w:shd w:val="solid" w:color="FFFFFF" w:fill="auto"/>
              <w:autoSpaceDN w:val="0"/>
              <w:jc w:val="center"/>
              <w:textAlignment w:val="center"/>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二级</w:t>
            </w:r>
            <w:r>
              <w:rPr>
                <w:rFonts w:hint="eastAsia" w:ascii="仿宋_GB2312" w:hAnsi="仿宋_GB2312" w:eastAsia="仿宋_GB2312" w:cs="仿宋_GB2312"/>
                <w:b/>
                <w:color w:val="000000"/>
                <w:sz w:val="32"/>
                <w:szCs w:val="32"/>
                <w:shd w:val="clear" w:color="auto" w:fill="FFFFFF"/>
              </w:rPr>
              <w:br w:type="textWrapping"/>
            </w:r>
            <w:r>
              <w:rPr>
                <w:rFonts w:hint="eastAsia" w:ascii="仿宋_GB2312" w:hAnsi="仿宋_GB2312" w:eastAsia="仿宋_GB2312" w:cs="仿宋_GB2312"/>
                <w:b/>
                <w:color w:val="000000"/>
                <w:sz w:val="32"/>
                <w:szCs w:val="32"/>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F3C40EC">
            <w:pPr>
              <w:shd w:val="solid" w:color="FFFFFF" w:fill="auto"/>
              <w:autoSpaceDN w:val="0"/>
              <w:jc w:val="center"/>
              <w:textAlignment w:val="center"/>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D8491D6">
            <w:pPr>
              <w:shd w:val="solid" w:color="FFFFFF" w:fill="auto"/>
              <w:autoSpaceDN w:val="0"/>
              <w:jc w:val="center"/>
              <w:textAlignment w:val="center"/>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3F0C9CF">
            <w:pPr>
              <w:shd w:val="solid" w:color="FFFFFF" w:fill="auto"/>
              <w:autoSpaceDN w:val="0"/>
              <w:jc w:val="center"/>
              <w:textAlignment w:val="center"/>
              <w:rPr>
                <w:rFonts w:hint="eastAsia" w:ascii="仿宋_GB2312" w:hAnsi="仿宋_GB2312" w:eastAsia="仿宋_GB2312" w:cs="仿宋_GB2312"/>
                <w:b/>
                <w:color w:val="000000"/>
                <w:sz w:val="32"/>
                <w:szCs w:val="32"/>
                <w:shd w:val="clear" w:color="auto" w:fill="FFFFFF"/>
              </w:rPr>
            </w:pPr>
            <w:r>
              <w:rPr>
                <w:rFonts w:hint="eastAsia" w:ascii="仿宋_GB2312" w:hAnsi="仿宋_GB2312" w:eastAsia="仿宋_GB2312" w:cs="仿宋_GB2312"/>
                <w:b/>
                <w:color w:val="000000"/>
                <w:sz w:val="32"/>
                <w:szCs w:val="32"/>
                <w:shd w:val="clear" w:color="auto" w:fill="FFFFFF"/>
              </w:rPr>
              <w:t>指标说明</w:t>
            </w:r>
          </w:p>
        </w:tc>
      </w:tr>
      <w:tr w14:paraId="338106D9">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B588718">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D3F91FC">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9F17939">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813C19">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096F975">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①项目是否按照规定的程序申请设立；</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②所提交的文件、材料是否符合相关要求；</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③事前是否已经过必要的可行性研究、专家论证、风险评估、集体决策等。</w:t>
            </w:r>
          </w:p>
        </w:tc>
      </w:tr>
      <w:tr w14:paraId="63C42008">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42B36EE">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399813D">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CCC9AB">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F5AB1A8">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4E086E6">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①是否符合国家相关法律法规、国民经济发展规划和党委政府决策；</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②是否与项目实施单位或委托单位职责密切相关；</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③项目是否为促进事业发展所必需；</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④项目预期产出效益和效果是否符合正常的业绩水平。</w:t>
            </w:r>
          </w:p>
        </w:tc>
      </w:tr>
      <w:tr w14:paraId="09B40129">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20F2167">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784C3FE">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557A89A">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97A137">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684A586">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①是否将项目绩效目标细化分解为具体的绩效指标；</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②是否通过清晰、可衡量的指标值予以体现；</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③是否与项目年度任务数或计划数相对应；</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④是否与预算确定的项目投资额或资金量相匹配。</w:t>
            </w:r>
          </w:p>
        </w:tc>
      </w:tr>
      <w:tr w14:paraId="4AFDA76E">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E207ED8">
            <w:pPr>
              <w:rPr>
                <w:rFonts w:hint="eastAsia" w:ascii="仿宋_GB2312" w:hAnsi="仿宋_GB2312" w:eastAsia="仿宋_GB2312" w:cs="仿宋_GB2312"/>
                <w:sz w:val="32"/>
                <w:szCs w:val="3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689FA44F">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资金</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D63070">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FF2117">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8AEAC7D">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资金到位率=（实际到位资金/计划投入资金）×100%。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实际到位资金：一定时期（本年度或项目期）内实际落实到具体项目的资金。</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计划投入资金：一定时期（本年度或项目期）内计划投入到具体项目的资金。</w:t>
            </w:r>
          </w:p>
        </w:tc>
      </w:tr>
      <w:tr w14:paraId="0969D408">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55A42DB2">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4169A7D">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3B69885">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126CB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9487D0E">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到位及时率=（及时到位资金/应到位资金）×100%。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及时到位资金：截至规定时点实际落实到具体项目的资金。</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应到位资金：按照合同或项目进度要求截至规定时点应落实到具体项目的资金。</w:t>
            </w:r>
          </w:p>
        </w:tc>
      </w:tr>
      <w:tr w14:paraId="02FB33A4">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3AB2E75F">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过   程</w:t>
            </w:r>
          </w:p>
          <w:p w14:paraId="72C6308D">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1618D52C">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业务</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A568CBC">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B7EC4C0">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907AD3">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①是否已制定或具有相应的业务管理制度；</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②业务管理制度是否合法、合规、完整。</w:t>
            </w:r>
          </w:p>
        </w:tc>
      </w:tr>
      <w:tr w14:paraId="16EC7641">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705276C0">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4931DA61">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B8B2ECC">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525B392">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F00934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①是否遵守相关法律法规和业务管理规定；</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②项目调整及支出调整手续是否完备；</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③项目合同书、验收报告、技术鉴定等资料是否齐全并及时归档；</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④项目实施的人员条件、场地设备、信息支撑等是否落实到位。</w:t>
            </w:r>
          </w:p>
        </w:tc>
      </w:tr>
      <w:tr w14:paraId="6B3113AA">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0572ECB7">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126E3624">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2226F26">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EB9491">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66DD39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①是否已制定或具有相应的项目质量要求或标准；</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②是否采取了相应的项目质量检查、验收等必需的控制措施或手段。</w:t>
            </w:r>
          </w:p>
        </w:tc>
      </w:tr>
      <w:tr w14:paraId="6FF5E7D5">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3B988330">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474F4237">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财务</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5F6B97">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B7D48D8">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3B8F8A5">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①是否已制定或具有相应的项目资金管理办法；</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②项目资金管理办法是否符合相关财务会计制度的规定。</w:t>
            </w:r>
          </w:p>
        </w:tc>
      </w:tr>
      <w:tr w14:paraId="6663CE81">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270FEAA">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4496EAF4">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EFF2C6">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4E49D36">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B0412DB">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①是否符合国家财经法规和财务管理制度以及有关专项资金管理办法的规定；</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②资金的拨付是否有完整的审批程序和手续；</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③项目的重大开支是否经过评估认证；</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④是否符合项目预算批复或合同规定的用途；</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⑤是否存在截留、挤占、挪用、虚列支出等情况。</w:t>
            </w:r>
          </w:p>
        </w:tc>
      </w:tr>
      <w:tr w14:paraId="37F9F8E2">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6D90411B">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03CB7AA2">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49910B9">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25A0F6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2985CCC">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评价要点：</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①是否已制定或具有相应的监控机制；</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②是否采取了相应的财务检查等必要的监控措施或手段。</w:t>
            </w:r>
          </w:p>
        </w:tc>
      </w:tr>
      <w:tr w14:paraId="249FD1AA">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1E91EB87">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4F850A43">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08329AD">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36AC4B9">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C39B4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实际完成率=（实际产出数/计划产出数）×100%。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实际产出数：一定时期（本年度或项目期）内项目实际产出的产品或提供的服务数量。</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计划产出数：项目绩效目标确定的在一定时期（本年度或项目期）内计划产出的产品或提供的服务数量。</w:t>
            </w:r>
          </w:p>
        </w:tc>
      </w:tr>
      <w:tr w14:paraId="23A68C69">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3BB9254">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BEFCFC1">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634905F">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CD223E0">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630180">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完成及时率=[（计划完成时间-实际完成时间）/计划完成时间]×100%。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实际完成时间：项目实施单位完成该项目实际所耗用的时间。</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计划完成时间：按照项目实施计划或相关规定完成该项目所需的时间。</w:t>
            </w:r>
          </w:p>
        </w:tc>
      </w:tr>
      <w:tr w14:paraId="0AF8B67B">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9A91DA9">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6980A72">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4580C3F">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0C12624">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386FAE">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质量达标率=（质量达标产出数/实际产出数）×100%。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质量达标产出数：一定时期（本年度或项目期）内实际达到既定质量标准的产品或服务数量。</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既定质量标准是指项目实施单位设立绩效目标时依据计划标准、行业标准、历史标准或其他标准而设定的绩效指标值。</w:t>
            </w:r>
          </w:p>
        </w:tc>
      </w:tr>
      <w:tr w14:paraId="4C755055">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F7DB569">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56279AE">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1301943">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1FA3D93">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0E7ECF">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成本节约率=[（计划成本-实际成本）/计划成本]×100%。</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实际成本：项目实施单位如期、保质、保量完成既定工作目标实际所耗费的支出。</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计划成本：项目实施单位为完成工作目标计划安排的支出，一般以项目预算为参考。</w:t>
            </w:r>
          </w:p>
        </w:tc>
      </w:tr>
      <w:tr w14:paraId="3F1831F6">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314E6DD2">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1524F390">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w:t>
            </w:r>
            <w:r>
              <w:rPr>
                <w:rFonts w:hint="eastAsia" w:ascii="仿宋_GB2312" w:hAnsi="仿宋_GB2312" w:eastAsia="仿宋_GB2312" w:cs="仿宋_GB2312"/>
                <w:color w:val="000000"/>
                <w:sz w:val="32"/>
                <w:szCs w:val="32"/>
                <w:shd w:val="clear" w:color="auto" w:fill="FFFFFF"/>
              </w:rPr>
              <w:br w:type="textWrapping"/>
            </w:r>
            <w:r>
              <w:rPr>
                <w:rFonts w:hint="eastAsia" w:ascii="仿宋_GB2312" w:hAnsi="仿宋_GB2312" w:eastAsia="仿宋_GB2312" w:cs="仿宋_GB2312"/>
                <w:color w:val="000000"/>
                <w:sz w:val="32"/>
                <w:szCs w:val="3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4408042">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6060EC7">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4289F6B2">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14:paraId="6BE50648">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EEC00BF">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3FAC84F">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2BF3E3">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B0A269A">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D82EE27">
            <w:pPr>
              <w:autoSpaceDN w:val="0"/>
              <w:rPr>
                <w:rFonts w:hint="eastAsia" w:ascii="仿宋_GB2312" w:hAnsi="仿宋_GB2312" w:eastAsia="仿宋_GB2312" w:cs="仿宋_GB2312"/>
                <w:sz w:val="32"/>
                <w:szCs w:val="32"/>
              </w:rPr>
            </w:pPr>
          </w:p>
        </w:tc>
      </w:tr>
      <w:tr w14:paraId="1AB6BB2F">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3C31D1E">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0A94A78">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76A0223">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D00A2B">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E8CB467">
            <w:pPr>
              <w:autoSpaceDN w:val="0"/>
              <w:rPr>
                <w:rFonts w:hint="eastAsia" w:ascii="仿宋_GB2312" w:hAnsi="仿宋_GB2312" w:eastAsia="仿宋_GB2312" w:cs="仿宋_GB2312"/>
                <w:sz w:val="32"/>
                <w:szCs w:val="32"/>
              </w:rPr>
            </w:pPr>
          </w:p>
        </w:tc>
      </w:tr>
      <w:tr w14:paraId="2FCB2655">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305160D0">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B26D5BA">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F3EE34D">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39A5EEB">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BCB37BA">
            <w:pPr>
              <w:autoSpaceDN w:val="0"/>
              <w:rPr>
                <w:rFonts w:hint="eastAsia" w:ascii="仿宋_GB2312" w:hAnsi="仿宋_GB2312" w:eastAsia="仿宋_GB2312" w:cs="仿宋_GB2312"/>
                <w:sz w:val="32"/>
                <w:szCs w:val="32"/>
              </w:rPr>
            </w:pPr>
          </w:p>
        </w:tc>
      </w:tr>
      <w:tr w14:paraId="46474E49">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1A8C469">
            <w:pPr>
              <w:rPr>
                <w:rFonts w:hint="eastAsia" w:ascii="仿宋_GB2312" w:hAnsi="仿宋_GB2312" w:eastAsia="仿宋_GB2312" w:cs="仿宋_GB2312"/>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769DC7C">
            <w:pPr>
              <w:rPr>
                <w:rFonts w:hint="eastAsia" w:ascii="仿宋_GB2312" w:hAnsi="仿宋_GB2312" w:eastAsia="仿宋_GB2312" w:cs="仿宋_GB2312"/>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31447A">
            <w:pPr>
              <w:shd w:val="solid" w:color="FFFFFF" w:fill="auto"/>
              <w:autoSpaceDN w:val="0"/>
              <w:jc w:val="center"/>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0A4BF44">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CC59ACC">
            <w:pPr>
              <w:shd w:val="solid" w:color="FFFFFF" w:fill="auto"/>
              <w:autoSpaceDN w:val="0"/>
              <w:jc w:val="left"/>
              <w:textAlignment w:val="center"/>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社会公众或服务对象是指因该项目实施而受到影响的部门（单位）、群体或个人。一般采取社会调查的方式。</w:t>
            </w:r>
          </w:p>
        </w:tc>
      </w:tr>
    </w:tbl>
    <w:p w14:paraId="647BCE08">
      <w:pPr>
        <w:adjustRightInd w:val="0"/>
        <w:spacing w:line="360" w:lineRule="auto"/>
        <w:ind w:firstLine="640" w:firstLineChars="200"/>
        <w:rPr>
          <w:rFonts w:hint="eastAsia" w:ascii="仿宋_GB2312" w:hAnsi="仿宋_GB2312" w:eastAsia="仿宋_GB2312" w:cs="仿宋_GB2312"/>
          <w:sz w:val="32"/>
          <w:szCs w:val="32"/>
        </w:rPr>
      </w:pPr>
    </w:p>
    <w:p w14:paraId="2B0D0C47">
      <w:pPr>
        <w:adjustRightInd w:val="0"/>
        <w:spacing w:line="360" w:lineRule="auto"/>
        <w:rPr>
          <w:rFonts w:hint="eastAsia" w:ascii="仿宋_GB2312" w:hAnsi="仿宋_GB2312" w:eastAsia="仿宋_GB2312" w:cs="仿宋_GB2312"/>
          <w:sz w:val="32"/>
          <w:szCs w:val="32"/>
        </w:rPr>
      </w:pPr>
    </w:p>
    <w:p w14:paraId="4163A1C9">
      <w:pPr>
        <w:rPr>
          <w:rFonts w:hint="eastAsia" w:ascii="仿宋_GB2312" w:hAnsi="仿宋_GB2312" w:eastAsia="仿宋_GB2312" w:cs="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FF6FF">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D7F9B">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2156E929">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F6A54">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EFACA">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2A2941B7"/>
    <w:rsid w:val="00083992"/>
    <w:rsid w:val="0010160F"/>
    <w:rsid w:val="003C7CDE"/>
    <w:rsid w:val="005D0262"/>
    <w:rsid w:val="0061050E"/>
    <w:rsid w:val="00703CE0"/>
    <w:rsid w:val="008670FF"/>
    <w:rsid w:val="009E2F9A"/>
    <w:rsid w:val="00BF7426"/>
    <w:rsid w:val="00E66E85"/>
    <w:rsid w:val="00E92A49"/>
    <w:rsid w:val="00F4074F"/>
    <w:rsid w:val="00FA0360"/>
    <w:rsid w:val="0DBD2BD8"/>
    <w:rsid w:val="2A2941B7"/>
    <w:rsid w:val="2C623A4B"/>
    <w:rsid w:val="3BFE55AB"/>
    <w:rsid w:val="4B2F3AB2"/>
    <w:rsid w:val="4C253964"/>
    <w:rsid w:val="570D475A"/>
    <w:rsid w:val="78D26B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15</Pages>
  <Words>4242</Words>
  <Characters>4323</Characters>
  <Lines>34</Lines>
  <Paragraphs>9</Paragraphs>
  <TotalTime>5</TotalTime>
  <ScaleCrop>false</ScaleCrop>
  <LinksUpToDate>false</LinksUpToDate>
  <CharactersWithSpaces>4470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lucky</cp:lastModifiedBy>
  <dcterms:modified xsi:type="dcterms:W3CDTF">2024-08-01T01:13:28Z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8E2AEF2FC230406F827713116FBA3615</vt:lpwstr>
  </property>
</Properties>
</file>