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石井乡人民政府2022年度整体支出绩效</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eastAsia="zh-CN"/>
        </w:rPr>
        <w:t>石井乡人民政府对</w:t>
      </w:r>
      <w:r>
        <w:rPr>
          <w:rFonts w:hint="eastAsia" w:ascii="仿宋" w:hAnsi="仿宋" w:eastAsia="仿宋"/>
          <w:sz w:val="32"/>
          <w:szCs w:val="32"/>
          <w:lang w:val="en-US" w:eastAsia="zh-CN"/>
        </w:rPr>
        <w:t>2022年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widowControl w:val="0"/>
        <w:numPr>
          <w:ilvl w:val="0"/>
          <w:numId w:val="0"/>
        </w:numPr>
        <w:wordWrap/>
        <w:adjustRightInd w:val="0"/>
        <w:snapToGrid w:val="0"/>
        <w:spacing w:line="560" w:lineRule="exact"/>
        <w:ind w:left="0" w:leftChars="0" w:right="0" w:rightChars="0" w:firstLine="643" w:firstLineChars="200"/>
        <w:textAlignment w:val="auto"/>
        <w:outlineLvl w:val="9"/>
        <w:rPr>
          <w:rFonts w:hint="eastAsia" w:ascii="仿宋" w:hAnsi="仿宋" w:eastAsia="仿宋" w:cs="黑体"/>
          <w:b/>
          <w:bCs/>
          <w:kern w:val="2"/>
          <w:sz w:val="32"/>
          <w:szCs w:val="32"/>
          <w:lang w:val="en-US" w:eastAsia="zh-CN" w:bidi="ar-SA"/>
        </w:rPr>
      </w:pPr>
      <w:r>
        <w:rPr>
          <w:rFonts w:hint="eastAsia" w:ascii="仿宋" w:hAnsi="仿宋" w:eastAsia="仿宋" w:cs="黑体"/>
          <w:b/>
          <w:bCs/>
          <w:kern w:val="2"/>
          <w:sz w:val="32"/>
          <w:szCs w:val="32"/>
          <w:lang w:val="en-US" w:eastAsia="zh-CN" w:bidi="ar-SA"/>
        </w:rPr>
        <w:t>部门职能</w:t>
      </w:r>
    </w:p>
    <w:p>
      <w:pPr>
        <w:widowControl w:val="0"/>
        <w:numPr>
          <w:ilvl w:val="0"/>
          <w:numId w:val="0"/>
        </w:numPr>
        <w:wordWrap/>
        <w:adjustRightInd w:val="0"/>
        <w:snapToGrid w:val="0"/>
        <w:spacing w:line="560" w:lineRule="exact"/>
        <w:ind w:left="0" w:leftChars="0" w:right="0" w:rightChars="0" w:firstLine="640" w:firstLineChars="200"/>
        <w:textAlignment w:val="auto"/>
        <w:outlineLvl w:val="9"/>
        <w:rPr>
          <w:rFonts w:hint="eastAsia" w:ascii="仿宋" w:hAnsi="仿宋" w:eastAsia="仿宋"/>
          <w:sz w:val="32"/>
          <w:szCs w:val="32"/>
          <w:lang w:eastAsia="zh-CN"/>
        </w:rPr>
      </w:pPr>
      <w:r>
        <w:rPr>
          <w:rFonts w:hint="eastAsia" w:ascii="仿宋" w:hAnsi="仿宋" w:eastAsia="仿宋" w:cs="黑体"/>
          <w:kern w:val="2"/>
          <w:sz w:val="32"/>
          <w:szCs w:val="32"/>
          <w:lang w:val="en-US" w:eastAsia="zh-CN" w:bidi="ar-SA"/>
        </w:rPr>
        <w:t>1.</w:t>
      </w:r>
      <w:r>
        <w:rPr>
          <w:rFonts w:hint="eastAsia" w:ascii="仿宋" w:hAnsi="仿宋" w:eastAsia="仿宋"/>
          <w:sz w:val="32"/>
          <w:szCs w:val="32"/>
          <w:lang w:eastAsia="zh-CN"/>
        </w:rPr>
        <w:t>党政综合办公室。负责机关日常工作的综合协调和督促检查；负责机关文电、值班、会务、机要、保密、档案、党务政务公开、对外联络、后勤保障等日常运转工作；负责机关和所属单位财务及国有资产管理等工作。</w:t>
      </w:r>
    </w:p>
    <w:p>
      <w:pPr>
        <w:widowControl w:val="0"/>
        <w:numPr>
          <w:ilvl w:val="0"/>
          <w:numId w:val="0"/>
        </w:numPr>
        <w:wordWrap/>
        <w:adjustRightInd w:val="0"/>
        <w:snapToGrid w:val="0"/>
        <w:spacing w:line="560" w:lineRule="exact"/>
        <w:ind w:right="0" w:rightChars="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2.党建工作办公室。负责基层党的政治建设、组织建设、思想建设、宣传工作、意识形态、精神文明建设、统战工作、民族</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宗教事务、党管武装、组织人事等工作。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3.社会治理和应急管理办公室。负责应急管理工作，落实应</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急管理责任，制定突发事件应急预案，组织开展应急演练等。负</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责基层治理综合指挥工作、指导基层自治和居民区建设工作。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4.自然资源和生态环境办公室。负责自然资源保护和监管、</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人居环境改善、土地调查等工作；负责大气、水、土壤污染防治</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等工作；负责禁止露天焚烧秸秆、“散乱污”企业综合整治工作。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5.综合行政执法队。根据有关法律法规和上级部门授权、委</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托，承担城乡建设、生态环境、文化市场、农业农村、安全生产、</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民族宗教等领域行政执法工作。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6.行政综合服务中心。负责行政审批服务事项的受理、办理</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工作,提供政策和业务咨询。负责开展群众文化艺术娱乐、体育</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活动，负责文物普查、保护和开发利用工作，指导村文化室建设、</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文体设施规划建设。</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7.农业综合服务中心。负责农业、畜牧、林业、水利、农机</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等技术推广和服务工作；负责农产品质量安全监管工作，负责指</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导农业生产、技术培训和信息咨询服务；负责动植物病虫害及灾</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情的预报、防、处置；负责指导新农村建设、乡村振兴、农村经</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济发展、农村体制改革、农村土地承包、扶贫开发、水土保持和</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综合治理等工作，负责农村环境卫生工作。</w:t>
      </w:r>
    </w:p>
    <w:p>
      <w:pPr>
        <w:widowControl w:val="0"/>
        <w:wordWrap/>
        <w:adjustRightInd w:val="0"/>
        <w:snapToGrid w:val="0"/>
        <w:spacing w:line="560" w:lineRule="exact"/>
        <w:ind w:right="0" w:firstLine="643" w:firstLineChars="20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lang w:eastAsia="zh-CN"/>
        </w:rPr>
        <w:t>组织机构</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5"/>
        <w:gridCol w:w="3365"/>
        <w:gridCol w:w="2265"/>
        <w:gridCol w:w="22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5" w:type="dxa"/>
          </w:tcPr>
          <w:p>
            <w:pPr>
              <w:keepNext w:val="0"/>
              <w:keepLines w:val="0"/>
              <w:widowControl/>
              <w:suppressLineNumbers w:val="0"/>
              <w:wordWrap/>
              <w:adjustRightInd w:val="0"/>
              <w:snapToGrid w:val="0"/>
              <w:spacing w:line="560" w:lineRule="exact"/>
              <w:ind w:right="0"/>
              <w:jc w:val="left"/>
              <w:textAlignment w:val="auto"/>
              <w:outlineLvl w:val="9"/>
              <w:rPr>
                <w:rFonts w:hint="eastAsia" w:ascii="仿宋" w:hAnsi="仿宋" w:eastAsia="仿宋"/>
                <w:b/>
                <w:bCs/>
                <w:sz w:val="32"/>
                <w:szCs w:val="32"/>
                <w:vertAlign w:val="baseline"/>
                <w:lang w:eastAsia="zh-CN"/>
              </w:rPr>
            </w:pPr>
            <w:r>
              <w:rPr>
                <w:rFonts w:ascii="仿宋" w:hAnsi="仿宋" w:eastAsia="仿宋" w:cs="仿宋"/>
                <w:b/>
                <w:bCs/>
                <w:color w:val="000000"/>
                <w:kern w:val="0"/>
                <w:sz w:val="28"/>
                <w:szCs w:val="28"/>
                <w:lang w:val="en-US" w:eastAsia="zh-CN" w:bidi="ar"/>
              </w:rPr>
              <w:t xml:space="preserve">序号 </w:t>
            </w:r>
          </w:p>
        </w:tc>
        <w:tc>
          <w:tcPr>
            <w:tcW w:w="3365" w:type="dxa"/>
          </w:tcPr>
          <w:p>
            <w:pPr>
              <w:keepNext w:val="0"/>
              <w:keepLines w:val="0"/>
              <w:widowControl/>
              <w:suppressLineNumbers w:val="0"/>
              <w:wordWrap/>
              <w:adjustRightInd w:val="0"/>
              <w:snapToGrid w:val="0"/>
              <w:spacing w:line="560" w:lineRule="exact"/>
              <w:ind w:right="0"/>
              <w:jc w:val="left"/>
              <w:textAlignment w:val="auto"/>
              <w:outlineLvl w:val="9"/>
              <w:rPr>
                <w:rFonts w:hint="eastAsia" w:ascii="仿宋" w:hAnsi="仿宋" w:eastAsia="仿宋"/>
                <w:b/>
                <w:bCs/>
                <w:sz w:val="32"/>
                <w:szCs w:val="32"/>
                <w:vertAlign w:val="baseline"/>
                <w:lang w:eastAsia="zh-CN"/>
              </w:rPr>
            </w:pPr>
            <w:r>
              <w:rPr>
                <w:rFonts w:hint="eastAsia" w:ascii="仿宋" w:hAnsi="仿宋" w:eastAsia="仿宋" w:cs="仿宋"/>
                <w:b/>
                <w:bCs/>
                <w:color w:val="000000"/>
                <w:kern w:val="0"/>
                <w:sz w:val="28"/>
                <w:szCs w:val="28"/>
                <w:lang w:val="en-US" w:eastAsia="zh-CN" w:bidi="ar"/>
              </w:rPr>
              <w:t xml:space="preserve">单位名称 </w:t>
            </w:r>
          </w:p>
        </w:tc>
        <w:tc>
          <w:tcPr>
            <w:tcW w:w="2265" w:type="dxa"/>
          </w:tcPr>
          <w:p>
            <w:pPr>
              <w:keepNext w:val="0"/>
              <w:keepLines w:val="0"/>
              <w:widowControl/>
              <w:suppressLineNumbers w:val="0"/>
              <w:wordWrap/>
              <w:adjustRightInd w:val="0"/>
              <w:snapToGrid w:val="0"/>
              <w:spacing w:line="560" w:lineRule="exact"/>
              <w:ind w:right="0"/>
              <w:jc w:val="left"/>
              <w:textAlignment w:val="auto"/>
              <w:outlineLvl w:val="9"/>
              <w:rPr>
                <w:rFonts w:hint="eastAsia" w:ascii="仿宋" w:hAnsi="仿宋" w:eastAsia="仿宋"/>
                <w:b/>
                <w:bCs/>
                <w:sz w:val="32"/>
                <w:szCs w:val="32"/>
                <w:vertAlign w:val="baseline"/>
                <w:lang w:eastAsia="zh-CN"/>
              </w:rPr>
            </w:pPr>
            <w:r>
              <w:rPr>
                <w:rFonts w:hint="eastAsia" w:ascii="仿宋" w:hAnsi="仿宋" w:eastAsia="仿宋"/>
                <w:b/>
                <w:bCs/>
                <w:sz w:val="32"/>
                <w:szCs w:val="32"/>
                <w:vertAlign w:val="baseline"/>
                <w:lang w:eastAsia="zh-CN"/>
              </w:rPr>
              <w:t>单位基本性质</w:t>
            </w:r>
          </w:p>
        </w:tc>
        <w:tc>
          <w:tcPr>
            <w:tcW w:w="2266" w:type="dxa"/>
          </w:tcPr>
          <w:p>
            <w:pPr>
              <w:keepNext w:val="0"/>
              <w:keepLines w:val="0"/>
              <w:widowControl/>
              <w:suppressLineNumbers w:val="0"/>
              <w:wordWrap/>
              <w:adjustRightInd w:val="0"/>
              <w:snapToGrid w:val="0"/>
              <w:spacing w:line="560" w:lineRule="exact"/>
              <w:ind w:right="0"/>
              <w:jc w:val="left"/>
              <w:textAlignment w:val="auto"/>
              <w:outlineLvl w:val="9"/>
              <w:rPr>
                <w:rFonts w:hint="eastAsia" w:ascii="仿宋" w:hAnsi="仿宋" w:eastAsia="仿宋"/>
                <w:b/>
                <w:bCs/>
                <w:sz w:val="32"/>
                <w:szCs w:val="32"/>
                <w:vertAlign w:val="baseline"/>
                <w:lang w:eastAsia="zh-CN"/>
              </w:rPr>
            </w:pPr>
            <w:r>
              <w:rPr>
                <w:rFonts w:hint="eastAsia" w:ascii="仿宋" w:hAnsi="仿宋" w:eastAsia="仿宋" w:cs="仿宋"/>
                <w:b/>
                <w:bCs/>
                <w:color w:val="000000"/>
                <w:kern w:val="0"/>
                <w:sz w:val="28"/>
                <w:szCs w:val="28"/>
                <w:lang w:val="en-US" w:eastAsia="zh-CN" w:bidi="ar"/>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65" w:type="dxa"/>
          </w:tcPr>
          <w:p>
            <w:pPr>
              <w:keepNext w:val="0"/>
              <w:keepLines w:val="0"/>
              <w:widowControl/>
              <w:suppressLineNumbers w:val="0"/>
              <w:wordWrap/>
              <w:adjustRightInd w:val="0"/>
              <w:snapToGrid w:val="0"/>
              <w:spacing w:line="560" w:lineRule="exact"/>
              <w:ind w:right="0"/>
              <w:jc w:val="left"/>
              <w:textAlignment w:val="auto"/>
              <w:outlineLvl w:val="9"/>
              <w:rPr>
                <w:rFonts w:hint="eastAsia" w:ascii="仿宋" w:hAnsi="仿宋" w:eastAsia="仿宋"/>
                <w:b/>
                <w:bCs/>
                <w:sz w:val="32"/>
                <w:szCs w:val="32"/>
                <w:vertAlign w:val="baseline"/>
                <w:lang w:eastAsia="zh-CN"/>
              </w:rPr>
            </w:pPr>
            <w:r>
              <w:rPr>
                <w:rFonts w:ascii="仿宋" w:hAnsi="仿宋" w:eastAsia="仿宋" w:cs="仿宋"/>
                <w:color w:val="000000"/>
                <w:kern w:val="0"/>
                <w:sz w:val="28"/>
                <w:szCs w:val="28"/>
                <w:lang w:val="en-US" w:eastAsia="zh-CN" w:bidi="ar"/>
              </w:rPr>
              <w:t xml:space="preserve">1 </w:t>
            </w:r>
          </w:p>
        </w:tc>
        <w:tc>
          <w:tcPr>
            <w:tcW w:w="3365" w:type="dxa"/>
          </w:tcPr>
          <w:p>
            <w:pPr>
              <w:keepNext w:val="0"/>
              <w:keepLines w:val="0"/>
              <w:widowControl/>
              <w:suppressLineNumbers w:val="0"/>
              <w:wordWrap/>
              <w:adjustRightInd w:val="0"/>
              <w:snapToGrid w:val="0"/>
              <w:spacing w:line="560" w:lineRule="exact"/>
              <w:ind w:right="0"/>
              <w:jc w:val="left"/>
              <w:textAlignment w:val="auto"/>
              <w:outlineLvl w:val="9"/>
              <w:rPr>
                <w:rFonts w:hint="eastAsia" w:ascii="仿宋" w:hAnsi="仿宋" w:eastAsia="仿宋"/>
                <w:b/>
                <w:bCs/>
                <w:sz w:val="32"/>
                <w:szCs w:val="32"/>
                <w:vertAlign w:val="baseline"/>
                <w:lang w:eastAsia="zh-CN"/>
              </w:rPr>
            </w:pPr>
            <w:r>
              <w:rPr>
                <w:rFonts w:hint="eastAsia" w:ascii="仿宋" w:hAnsi="仿宋" w:eastAsia="仿宋" w:cs="仿宋"/>
                <w:color w:val="000000"/>
                <w:kern w:val="0"/>
                <w:sz w:val="28"/>
                <w:szCs w:val="28"/>
                <w:lang w:val="en-US" w:eastAsia="zh-CN" w:bidi="ar"/>
              </w:rPr>
              <w:t>石家庄市鹿泉区石井乡人民政府</w:t>
            </w:r>
          </w:p>
        </w:tc>
        <w:tc>
          <w:tcPr>
            <w:tcW w:w="2265" w:type="dxa"/>
          </w:tcPr>
          <w:p>
            <w:pPr>
              <w:keepNext w:val="0"/>
              <w:keepLines w:val="0"/>
              <w:widowControl/>
              <w:suppressLineNumbers w:val="0"/>
              <w:wordWrap/>
              <w:adjustRightInd w:val="0"/>
              <w:snapToGrid w:val="0"/>
              <w:spacing w:line="560" w:lineRule="exact"/>
              <w:ind w:right="0"/>
              <w:jc w:val="left"/>
              <w:textAlignment w:val="auto"/>
              <w:outlineLvl w:val="9"/>
              <w:rPr>
                <w:rFonts w:hint="eastAsia" w:ascii="仿宋" w:hAnsi="仿宋" w:eastAsia="仿宋"/>
                <w:b/>
                <w:bCs/>
                <w:sz w:val="32"/>
                <w:szCs w:val="32"/>
                <w:vertAlign w:val="baseline"/>
                <w:lang w:eastAsia="zh-CN"/>
              </w:rPr>
            </w:pPr>
            <w:r>
              <w:rPr>
                <w:rFonts w:hint="eastAsia" w:ascii="仿宋" w:hAnsi="仿宋" w:eastAsia="仿宋" w:cs="仿宋"/>
                <w:color w:val="000000"/>
                <w:kern w:val="0"/>
                <w:sz w:val="28"/>
                <w:szCs w:val="28"/>
                <w:lang w:val="en-US" w:eastAsia="zh-CN" w:bidi="ar"/>
              </w:rPr>
              <w:t>行政单位</w:t>
            </w:r>
          </w:p>
        </w:tc>
        <w:tc>
          <w:tcPr>
            <w:tcW w:w="2266" w:type="dxa"/>
          </w:tcPr>
          <w:p>
            <w:pPr>
              <w:keepNext w:val="0"/>
              <w:keepLines w:val="0"/>
              <w:widowControl/>
              <w:suppressLineNumbers w:val="0"/>
              <w:wordWrap/>
              <w:adjustRightInd w:val="0"/>
              <w:snapToGrid w:val="0"/>
              <w:spacing w:line="560" w:lineRule="exact"/>
              <w:ind w:right="0"/>
              <w:jc w:val="left"/>
              <w:textAlignment w:val="auto"/>
              <w:outlineLvl w:val="9"/>
              <w:rPr>
                <w:rFonts w:hint="eastAsia" w:ascii="仿宋" w:hAnsi="仿宋" w:eastAsia="仿宋"/>
                <w:b/>
                <w:bCs/>
                <w:sz w:val="32"/>
                <w:szCs w:val="32"/>
                <w:vertAlign w:val="baseline"/>
                <w:lang w:eastAsia="zh-CN"/>
              </w:rPr>
            </w:pPr>
            <w:r>
              <w:rPr>
                <w:rFonts w:hint="eastAsia" w:ascii="仿宋" w:hAnsi="仿宋" w:eastAsia="仿宋" w:cs="仿宋"/>
                <w:color w:val="000000"/>
                <w:kern w:val="0"/>
                <w:sz w:val="28"/>
                <w:szCs w:val="28"/>
                <w:lang w:val="en-US" w:eastAsia="zh-CN" w:bidi="ar"/>
              </w:rPr>
              <w:t>财政拨款</w:t>
            </w:r>
            <w:r>
              <w:rPr>
                <w:rFonts w:ascii="仿宋" w:hAnsi="仿宋" w:eastAsia="仿宋" w:cs="仿宋"/>
                <w:color w:val="000000"/>
                <w:kern w:val="0"/>
                <w:sz w:val="28"/>
                <w:szCs w:val="28"/>
                <w:lang w:val="en-US" w:eastAsia="zh-CN" w:bidi="ar"/>
              </w:rPr>
              <w:t xml:space="preserve"> </w:t>
            </w:r>
          </w:p>
        </w:tc>
      </w:tr>
    </w:tbl>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收入支出</w:t>
      </w:r>
      <w:r>
        <w:rPr>
          <w:rFonts w:hint="eastAsia" w:ascii="仿宋" w:hAnsi="仿宋" w:eastAsia="仿宋"/>
          <w:sz w:val="32"/>
          <w:szCs w:val="32"/>
          <w:lang w:val="en-US" w:eastAsia="zh-CN"/>
        </w:rPr>
        <w:t>预算</w:t>
      </w:r>
      <w:r>
        <w:rPr>
          <w:rFonts w:hint="eastAsia" w:ascii="仿宋" w:hAnsi="仿宋" w:eastAsia="仿宋"/>
          <w:sz w:val="32"/>
          <w:szCs w:val="32"/>
        </w:rPr>
        <w:t>总体情况说明</w:t>
      </w:r>
    </w:p>
    <w:p>
      <w:pPr>
        <w:widowControl w:val="0"/>
        <w:wordWrap/>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eastAsia="zh-CN"/>
        </w:rPr>
      </w:pPr>
      <w:r>
        <w:rPr>
          <w:rFonts w:hint="eastAsia" w:ascii="仿宋" w:hAnsi="仿宋" w:eastAsia="仿宋"/>
          <w:sz w:val="32"/>
          <w:szCs w:val="32"/>
        </w:rPr>
        <w:t>本部门2022年度</w:t>
      </w:r>
      <w:r>
        <w:rPr>
          <w:rFonts w:hint="default" w:ascii="仿宋" w:hAnsi="仿宋" w:eastAsia="仿宋"/>
          <w:sz w:val="32"/>
          <w:szCs w:val="32"/>
        </w:rPr>
        <w:t>预算收入</w:t>
      </w:r>
      <w:r>
        <w:rPr>
          <w:rFonts w:hint="eastAsia" w:ascii="仿宋" w:hAnsi="仿宋" w:eastAsia="仿宋"/>
          <w:sz w:val="32"/>
          <w:szCs w:val="32"/>
          <w:lang w:val="en-US" w:eastAsia="zh-CN"/>
        </w:rPr>
        <w:t>2357.02</w:t>
      </w:r>
      <w:r>
        <w:rPr>
          <w:rFonts w:hint="default" w:ascii="仿宋" w:hAnsi="仿宋" w:eastAsia="仿宋"/>
          <w:sz w:val="32"/>
          <w:szCs w:val="32"/>
        </w:rPr>
        <w:t>万元（含上年结转结余0.11万元），</w:t>
      </w:r>
      <w:r>
        <w:rPr>
          <w:rFonts w:hint="eastAsia" w:ascii="仿宋" w:hAnsi="仿宋" w:eastAsia="仿宋"/>
          <w:sz w:val="32"/>
          <w:szCs w:val="32"/>
          <w:lang w:val="en-US" w:eastAsia="zh-CN"/>
        </w:rPr>
        <w:t>预算</w:t>
      </w:r>
      <w:r>
        <w:rPr>
          <w:rFonts w:hint="default" w:ascii="仿宋" w:hAnsi="仿宋" w:eastAsia="仿宋"/>
          <w:sz w:val="32"/>
          <w:szCs w:val="32"/>
          <w:lang w:eastAsia="zh-CN"/>
        </w:rPr>
        <w:t>支出</w:t>
      </w:r>
      <w:r>
        <w:rPr>
          <w:rFonts w:hint="eastAsia" w:ascii="仿宋" w:hAnsi="仿宋" w:eastAsia="仿宋"/>
          <w:sz w:val="32"/>
          <w:szCs w:val="32"/>
          <w:lang w:val="en-US" w:eastAsia="zh-CN"/>
        </w:rPr>
        <w:t>2357.02万元</w:t>
      </w:r>
      <w:r>
        <w:rPr>
          <w:rFonts w:hint="default" w:ascii="仿宋" w:hAnsi="仿宋" w:eastAsia="仿宋"/>
          <w:sz w:val="32"/>
          <w:szCs w:val="32"/>
          <w:lang w:eastAsia="zh-CN"/>
        </w:rPr>
        <w:t>。</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收入支出决算总体情况说明</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本部门2022年度收、支（含结转和结余）</w:t>
      </w:r>
      <w:r>
        <w:rPr>
          <w:rFonts w:hint="eastAsia" w:ascii="仿宋" w:hAnsi="仿宋" w:eastAsia="仿宋"/>
          <w:sz w:val="32"/>
          <w:szCs w:val="32"/>
          <w:lang w:eastAsia="zh-CN"/>
        </w:rPr>
        <w:t>均为</w:t>
      </w:r>
      <w:r>
        <w:rPr>
          <w:rFonts w:hint="eastAsia" w:ascii="仿宋" w:hAnsi="仿宋" w:eastAsia="仿宋"/>
          <w:sz w:val="32"/>
          <w:szCs w:val="32"/>
          <w:lang w:val="en-US" w:eastAsia="zh-CN"/>
        </w:rPr>
        <w:t>2643.13</w:t>
      </w:r>
      <w:r>
        <w:rPr>
          <w:rFonts w:hint="eastAsia" w:ascii="仿宋" w:hAnsi="仿宋" w:eastAsia="仿宋"/>
          <w:sz w:val="32"/>
          <w:szCs w:val="32"/>
        </w:rPr>
        <w:t>万元。与2021年度决算相比，收、支</w:t>
      </w:r>
      <w:r>
        <w:rPr>
          <w:rFonts w:hint="eastAsia" w:ascii="仿宋" w:hAnsi="仿宋" w:eastAsia="仿宋"/>
          <w:sz w:val="32"/>
          <w:szCs w:val="32"/>
          <w:lang w:eastAsia="zh-CN"/>
        </w:rPr>
        <w:t>均</w:t>
      </w:r>
      <w:r>
        <w:rPr>
          <w:rFonts w:hint="eastAsia" w:ascii="仿宋" w:hAnsi="仿宋" w:eastAsia="仿宋"/>
          <w:sz w:val="32"/>
          <w:szCs w:val="32"/>
        </w:rPr>
        <w:t>增加333.58万元，</w:t>
      </w:r>
      <w:r>
        <w:rPr>
          <w:rFonts w:hint="eastAsia" w:ascii="仿宋" w:hAnsi="仿宋" w:eastAsia="仿宋"/>
          <w:sz w:val="32"/>
          <w:szCs w:val="32"/>
          <w:lang w:eastAsia="zh-CN"/>
        </w:rPr>
        <w:t>增长</w:t>
      </w:r>
      <w:r>
        <w:rPr>
          <w:rFonts w:hint="eastAsia" w:ascii="仿宋" w:hAnsi="仿宋" w:eastAsia="仿宋"/>
          <w:sz w:val="32"/>
          <w:szCs w:val="32"/>
          <w:lang w:val="en-US" w:eastAsia="zh-CN"/>
        </w:rPr>
        <w:t>14.4</w:t>
      </w:r>
      <w:r>
        <w:rPr>
          <w:rFonts w:hint="eastAsia" w:ascii="仿宋" w:hAnsi="仿宋" w:eastAsia="仿宋"/>
          <w:sz w:val="32"/>
          <w:szCs w:val="32"/>
        </w:rPr>
        <w:t>%。</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1、宣传贯彻党的路线方针政策上级党组织及本乡党员代表大会保持一致</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2、做好本乡经济建设、政治建设、文化建设、社会建设、生态文明建设和党的建设以及乡村振兴中的重大问题</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3、组织召开本级人民代表大会,充分行使重大事项决定权、监督权和任免权,做好人大代表工作,联系选民、反映群众意见和要求。</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4、执行本行政区域内的经济和社会发展计划、预算,管理本行政区域内的各项行政工作，落实本行政区域内</w:t>
      </w:r>
      <w:bookmarkStart w:id="0" w:name="_GoBack"/>
      <w:bookmarkEnd w:id="0"/>
      <w:r>
        <w:rPr>
          <w:rFonts w:hint="eastAsia" w:ascii="仿宋" w:hAnsi="仿宋" w:eastAsia="仿宋"/>
          <w:sz w:val="32"/>
          <w:szCs w:val="32"/>
          <w:lang w:eastAsia="zh-CN"/>
        </w:rPr>
        <w:t>发展规划、专项规划、区域规划、国土空间规划。</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5、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6、加强乡党委自身建设和村党组织建设,以及其他隶属乡党委的党组织建设,抓好发展党员工作,加强党员队伍建设。维护和执行党的纪律,监督党员干部和其他任何工作人员严格遵守国家法律法规。</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7、按照干部管理权限,负责对干部的教育、培训、选拔考核和监督工作。协助管理上级有关部门驻乡单位的干部。做好人才服务工作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8、领导本乡的基层治理工作加强社会主义民主法治和精神文明建设、加强社会治安管理，做好应急、民生、宗教、乡村振兴和脱贫等工作。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9、保护社会主义全民所有财产和劳动群众集体所有的财产，保护公民的私有合法财产，维护社会秩序，保障公民的人身权利和其他权利。</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10、承办上级党委、人大、政府交办的其他事项。</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widowControl w:val="0"/>
        <w:wordWrap/>
        <w:spacing w:line="560" w:lineRule="exact"/>
        <w:ind w:left="0" w:leftChars="0" w:right="0" w:firstLine="64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资料收集：各项目主管部门把项目完成情况及自评结果提交</w:t>
      </w:r>
    </w:p>
    <w:p>
      <w:pPr>
        <w:widowControl w:val="0"/>
        <w:wordWrap/>
        <w:spacing w:line="560" w:lineRule="exact"/>
        <w:ind w:left="0" w:leftChars="0" w:right="0" w:firstLine="64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评价过程：单位主要领导及各部门领导组成评价小组。实地考察结合工作资料，根据各个绩效目标逐个进行打分，最后取得平均分作为最后成绩。</w:t>
      </w:r>
    </w:p>
    <w:p>
      <w:pPr>
        <w:widowControl w:val="0"/>
        <w:wordWrap/>
        <w:spacing w:line="560" w:lineRule="exact"/>
        <w:ind w:left="0" w:leftChars="0" w:right="0" w:firstLine="64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评价工作管理组织：单位主要领导及各部门领导组成绩效评价小组。</w:t>
      </w:r>
    </w:p>
    <w:p>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widowControl w:val="0"/>
        <w:wordWrap/>
        <w:spacing w:line="560" w:lineRule="exact"/>
        <w:ind w:left="0" w:leftChars="0" w:right="0" w:firstLine="640" w:firstLineChars="200"/>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自评工作由绩效评价工作组牵头，根据项目实际情况，从产出指标、效果指标、满意度指标等方面进行客观评价，真实反映资金使用效益。逐项对照预算项目绩效表各指标进行打分，得出绩效自评结论，形成项目整体支出绩效自评报告。在自评过程中注意发现问题，分析原因，纠正偏差，为下一步工作夯实基础。</w:t>
      </w:r>
    </w:p>
    <w:p>
      <w:pPr>
        <w:widowControl w:val="0"/>
        <w:wordWrap/>
        <w:spacing w:line="560" w:lineRule="exact"/>
        <w:ind w:left="0" w:leftChars="0" w:right="0" w:firstLine="640" w:firstLineChars="200"/>
        <w:textAlignment w:val="auto"/>
        <w:outlineLvl w:val="9"/>
        <w:rPr>
          <w:rFonts w:hint="eastAsia" w:ascii="黑体" w:hAnsi="黑体" w:eastAsia="黑体"/>
          <w:b/>
          <w:bCs/>
          <w:sz w:val="32"/>
          <w:szCs w:val="32"/>
          <w:lang w:eastAsia="zh-CN"/>
        </w:rPr>
      </w:pP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3"/>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2022年，我乡</w:t>
      </w:r>
      <w:r>
        <w:rPr>
          <w:rFonts w:hint="eastAsia" w:ascii="仿宋" w:hAnsi="仿宋" w:eastAsia="仿宋"/>
          <w:sz w:val="32"/>
          <w:szCs w:val="32"/>
          <w:lang w:eastAsia="zh-CN"/>
        </w:rPr>
        <w:t>宣传贯彻党的路线方针政策上级党组织及本乡党员代表大会保持一致；做好了本乡经济建设、政治建设、文化建设、社会建设、生态文明建设和党的建设以及乡村振兴中的重大问题；组织了召开本级人民代表大会,充分行使重大事项决定权、监督权和任免权,做好人大代表工作,联系选民、反映群众意见和要求；执行本行政区域内的经济和社会发展计划、预算,管理本行政区域内的各项行政工作，落实本行政区域内发展规划、专项规划、区域规划、国土空间规划；乡党委领导乡政权机关、群团组织和其他各类组织,加强指导和规范,支持和保证这些机关和组织依照国家法律法规以及各自章程履行职责。坚持党管武装的根本原则和制度,协调各方力量,对乡人民武装工作实行统一领导；加强乡党委自身建设和村党组织建设,以及其他隶属乡党委的党组织建设,抓好发展党员工作,加强党员队伍建设。维护和执行党的纪律,监督党员干部和其他任何工作人员严格遵守国家法律法规；按照干部管理权限,负责对干部的教育、培训、选拔考核和监督工作。协助管理上级有关部门驻乡单位的干部。做好人才服务工作；领导本乡的基层治理工作加强社会主义民主法治和精神文明建设、加强社会治安管理，做好应急、民生、宗教、乡村振兴和脱贫等工作；保护社会主义全民所有财产和劳动群众集体所有的财产，保护公民私有合法财产，维护社会秩序，保障公民的人身权利和其他权利；承办上级党委、人大、政府交办的其他事项。</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2"/>
        <w:gridCol w:w="4483"/>
        <w:gridCol w:w="1623"/>
        <w:gridCol w:w="1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序号</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项目名称</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自评得分</w:t>
            </w:r>
          </w:p>
        </w:tc>
        <w:tc>
          <w:tcPr>
            <w:tcW w:w="184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自评等级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2022年涉军公益岗工资、保险</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99.7</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2022年区级石井乡会议室新建费用</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99.3</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3</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2022年区级栈道村外环路小麦及玉米赔偿</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4</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2022年区级省控点位周围大气环保污染治理费用</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b/>
                <w:bCs/>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5</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2022年区级石井乡张庄路和环抱北路绿化管护项目</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97.5</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6</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2022年区级北外环及西延公路和栈道路管护费</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7</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2022年区级栈道村通村公路工程</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8</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2022区级黄岩污水管网</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98.6</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9</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2022年区级封庄排水渠工程</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lang w:val="en-US"/>
              </w:rPr>
            </w:pPr>
            <w:r>
              <w:rPr>
                <w:rFonts w:hint="eastAsia" w:ascii="仿宋" w:hAnsi="仿宋" w:eastAsia="仿宋" w:cs="仿宋"/>
                <w:i w:val="0"/>
                <w:iCs w:val="0"/>
                <w:color w:val="000000"/>
                <w:kern w:val="0"/>
                <w:sz w:val="32"/>
                <w:szCs w:val="32"/>
                <w:u w:val="none"/>
                <w:lang w:val="en-US" w:eastAsia="zh-CN" w:bidi="ar"/>
              </w:rPr>
              <w:t>90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10</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2022年区级2021年汛期水毁工程</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11</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2022年区级谷家峪隧道工程</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90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12</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2022年区级环抱路谷家峪观景平台提升改造工程</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90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13</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]2022年区级北外环（石柏大街-石井乡政府）及西延（石井乡-谷家峪）排水工程</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14</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2022年区级会展南路工程</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lang w:val="en-US"/>
              </w:rPr>
            </w:pPr>
            <w:r>
              <w:rPr>
                <w:rFonts w:hint="eastAsia" w:ascii="仿宋" w:hAnsi="仿宋" w:eastAsia="仿宋" w:cs="仿宋"/>
                <w:i w:val="0"/>
                <w:iCs w:val="0"/>
                <w:color w:val="000000"/>
                <w:kern w:val="0"/>
                <w:sz w:val="32"/>
                <w:szCs w:val="32"/>
                <w:u w:val="none"/>
                <w:lang w:val="en-US" w:eastAsia="zh-CN" w:bidi="ar"/>
              </w:rPr>
              <w:t>90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15</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2022年区级石井乡北外环及西延公路建设项目</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98.7</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16</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2022年专项公用经费</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98.7</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17</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2022年区级花海项目租地补偿</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18</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2022年镇级代课教师工资</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97.4</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19</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2022年涉军公益岗工资、保险</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91</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20</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治理国、省干道沿线区域私搭乱建、违建专项经费</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21</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2022年追加镇级机关运转经费</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22</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2022年追加镇级大气污染防治经费</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23</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区级春季绿化经费</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99.9</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24</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区级智慧广场点位大气污染治理</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25</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2021-2022年2月大气污染防治奖励资金</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26</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追加石井辖区内垃圾清理费用</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27</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追加镇级机关运转经费</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28</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追加防火防汛工作经费</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98.9</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29</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石井乡私搭乱建、违章建筑专项整治资金</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99.9</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30</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2021年汛期水毁工程</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31</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黄岩村回迁楼项目</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92.8</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32</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2022年追加镇级机关运转经费项目</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lang w:val="en-US"/>
              </w:rPr>
            </w:pPr>
            <w:r>
              <w:rPr>
                <w:rFonts w:hint="eastAsia" w:ascii="仿宋" w:hAnsi="仿宋" w:eastAsia="仿宋" w:cs="仿宋"/>
                <w:i w:val="0"/>
                <w:iCs w:val="0"/>
                <w:color w:val="000000"/>
                <w:kern w:val="0"/>
                <w:sz w:val="32"/>
                <w:szCs w:val="32"/>
                <w:u w:val="none"/>
                <w:lang w:val="en-US" w:eastAsia="zh-CN" w:bidi="ar"/>
              </w:rPr>
              <w:t>99</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bl>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各项目评分及评价等级见三（二）中表格。我单位各项目评价等级均为优秀，项目执行状况优。</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widowControl w:val="0"/>
        <w:wordWrap/>
        <w:spacing w:line="560" w:lineRule="exact"/>
        <w:ind w:right="0" w:firstLine="640" w:firstLineChars="200"/>
        <w:textAlignment w:val="auto"/>
        <w:outlineLvl w:val="9"/>
        <w:rPr>
          <w:rFonts w:hint="eastAsia" w:ascii="仿宋" w:hAnsi="仿宋" w:eastAsia="仿宋"/>
          <w:b w:val="0"/>
          <w:bCs w:val="0"/>
          <w:sz w:val="32"/>
          <w:szCs w:val="32"/>
          <w:lang w:eastAsia="zh-CN"/>
        </w:rPr>
      </w:pPr>
      <w:r>
        <w:rPr>
          <w:rFonts w:hint="eastAsia" w:ascii="仿宋" w:hAnsi="仿宋" w:eastAsia="仿宋"/>
          <w:b w:val="0"/>
          <w:bCs w:val="0"/>
          <w:sz w:val="32"/>
          <w:szCs w:val="32"/>
          <w:lang w:eastAsia="zh-CN"/>
        </w:rPr>
        <w:t>资金安排不够细化</w:t>
      </w:r>
    </w:p>
    <w:p>
      <w:pPr>
        <w:widowControl w:val="0"/>
        <w:numPr>
          <w:ilvl w:val="0"/>
          <w:numId w:val="3"/>
        </w:numPr>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widowControl w:val="0"/>
        <w:numPr>
          <w:ilvl w:val="0"/>
          <w:numId w:val="0"/>
        </w:numPr>
        <w:wordWrap/>
        <w:spacing w:line="560" w:lineRule="exact"/>
        <w:ind w:right="0" w:rightChars="0" w:firstLine="640" w:firstLineChars="200"/>
        <w:textAlignment w:val="auto"/>
        <w:outlineLvl w:val="9"/>
        <w:rPr>
          <w:rFonts w:hint="eastAsia" w:ascii="仿宋" w:hAnsi="仿宋" w:eastAsia="仿宋"/>
          <w:b w:val="0"/>
          <w:bCs w:val="0"/>
          <w:sz w:val="32"/>
          <w:szCs w:val="32"/>
          <w:lang w:eastAsia="zh-CN"/>
        </w:rPr>
      </w:pPr>
      <w:r>
        <w:rPr>
          <w:rFonts w:hint="eastAsia" w:ascii="仿宋" w:hAnsi="仿宋" w:eastAsia="仿宋"/>
          <w:b w:val="0"/>
          <w:bCs w:val="0"/>
          <w:sz w:val="32"/>
          <w:szCs w:val="32"/>
          <w:lang w:eastAsia="zh-CN"/>
        </w:rPr>
        <w:t>下一步做预算要更加精细化</w:t>
      </w: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tbl>
      <w:tblPr>
        <w:tblStyle w:val="4"/>
        <w:tblpPr w:leftFromText="180" w:rightFromText="180" w:vertAnchor="text" w:horzAnchor="page" w:tblpXSpec="center" w:tblpY="480"/>
        <w:tblOverlap w:val="never"/>
        <w:tblW w:w="486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2113"/>
        <w:gridCol w:w="3399"/>
        <w:gridCol w:w="33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42" w:hRule="atLeast"/>
          <w:jc w:val="center"/>
        </w:trPr>
        <w:tc>
          <w:tcPr>
            <w:tcW w:w="1197" w:type="pct"/>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姓名</w:t>
            </w:r>
          </w:p>
        </w:tc>
        <w:tc>
          <w:tcPr>
            <w:tcW w:w="1925" w:type="pct"/>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工作单位</w:t>
            </w:r>
          </w:p>
        </w:tc>
        <w:tc>
          <w:tcPr>
            <w:tcW w:w="1876" w:type="pct"/>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1197" w:type="pct"/>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王淑平</w:t>
            </w:r>
          </w:p>
        </w:tc>
        <w:tc>
          <w:tcPr>
            <w:tcW w:w="1925" w:type="pct"/>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石井乡</w:t>
            </w:r>
            <w:r>
              <w:rPr>
                <w:rFonts w:hint="eastAsia" w:ascii="宋体" w:hAnsi="宋体" w:eastAsia="宋体" w:cs="宋体"/>
                <w:i w:val="0"/>
                <w:iCs w:val="0"/>
                <w:color w:val="000000"/>
                <w:kern w:val="0"/>
                <w:sz w:val="22"/>
                <w:szCs w:val="22"/>
                <w:u w:val="none"/>
                <w:lang w:val="en-US" w:eastAsia="zh-CN" w:bidi="ar"/>
              </w:rPr>
              <w:t>政府</w:t>
            </w:r>
          </w:p>
        </w:tc>
        <w:tc>
          <w:tcPr>
            <w:tcW w:w="1876" w:type="pct"/>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财政所所长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1197" w:type="pct"/>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葛怡然</w:t>
            </w:r>
          </w:p>
        </w:tc>
        <w:tc>
          <w:tcPr>
            <w:tcW w:w="1925" w:type="pct"/>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石井乡</w:t>
            </w:r>
            <w:r>
              <w:rPr>
                <w:rFonts w:hint="eastAsia" w:ascii="宋体" w:hAnsi="宋体" w:eastAsia="宋体" w:cs="宋体"/>
                <w:i w:val="0"/>
                <w:iCs w:val="0"/>
                <w:color w:val="000000"/>
                <w:kern w:val="0"/>
                <w:sz w:val="22"/>
                <w:szCs w:val="22"/>
                <w:u w:val="none"/>
                <w:lang w:val="en-US" w:eastAsia="zh-CN" w:bidi="ar"/>
              </w:rPr>
              <w:t>政府</w:t>
            </w:r>
          </w:p>
        </w:tc>
        <w:tc>
          <w:tcPr>
            <w:tcW w:w="1876" w:type="pct"/>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财政所职工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1197" w:type="pct"/>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钱园园</w:t>
            </w:r>
          </w:p>
        </w:tc>
        <w:tc>
          <w:tcPr>
            <w:tcW w:w="1925" w:type="pct"/>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石井乡</w:t>
            </w:r>
            <w:r>
              <w:rPr>
                <w:rFonts w:hint="eastAsia" w:ascii="宋体" w:hAnsi="宋体" w:eastAsia="宋体" w:cs="宋体"/>
                <w:i w:val="0"/>
                <w:iCs w:val="0"/>
                <w:color w:val="000000"/>
                <w:kern w:val="0"/>
                <w:sz w:val="22"/>
                <w:szCs w:val="22"/>
                <w:u w:val="none"/>
                <w:lang w:val="en-US" w:eastAsia="zh-CN" w:bidi="ar"/>
              </w:rPr>
              <w:t>政府</w:t>
            </w:r>
          </w:p>
        </w:tc>
        <w:tc>
          <w:tcPr>
            <w:tcW w:w="1876" w:type="pct"/>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财政所职工</w:t>
            </w:r>
          </w:p>
        </w:tc>
      </w:tr>
    </w:tbl>
    <w:p>
      <w:pPr>
        <w:widowControl w:val="0"/>
        <w:wordWrap/>
        <w:spacing w:line="560" w:lineRule="exact"/>
        <w:ind w:left="0" w:leftChars="0" w:right="0"/>
        <w:textAlignment w:val="auto"/>
        <w:outlineLvl w:val="9"/>
        <w:rPr>
          <w:rFonts w:ascii="仿宋" w:hAnsi="仿宋" w:eastAsia="仿宋"/>
        </w:rPr>
      </w:pPr>
    </w:p>
    <w:sectPr>
      <w:footerReference r:id="rId3" w:type="default"/>
      <w:pgSz w:w="11906" w:h="16838"/>
      <w:pgMar w:top="1440" w:right="1474" w:bottom="1440" w:left="1587" w:header="851" w:footer="992" w:gutter="0"/>
      <w:pgBorders>
        <w:top w:val="none" w:sz="0" w:space="0"/>
        <w:left w:val="none" w:sz="0" w:space="0"/>
        <w:bottom w:val="none" w:sz="0" w:space="0"/>
        <w:right w:val="none" w:sz="0" w:space="0"/>
      </w:pgBorders>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1">
    <w:nsid w:val="577C558F"/>
    <w:multiLevelType w:val="singleLevel"/>
    <w:tmpl w:val="577C558F"/>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Y5M2FjZTkzN2U1NGYzYjA3NzRkNDU2M2Y3MDQ4MzEifQ=="/>
  </w:docVars>
  <w:rsids>
    <w:rsidRoot w:val="0EBD2122"/>
    <w:rsid w:val="007E6C1F"/>
    <w:rsid w:val="00AF566A"/>
    <w:rsid w:val="00B6553A"/>
    <w:rsid w:val="01B104CA"/>
    <w:rsid w:val="02106AB0"/>
    <w:rsid w:val="02B43A28"/>
    <w:rsid w:val="046F331E"/>
    <w:rsid w:val="07956271"/>
    <w:rsid w:val="09721397"/>
    <w:rsid w:val="0A6271F3"/>
    <w:rsid w:val="0BB63BED"/>
    <w:rsid w:val="0C9F66CF"/>
    <w:rsid w:val="0EB97A43"/>
    <w:rsid w:val="0EBD2122"/>
    <w:rsid w:val="0F214EAE"/>
    <w:rsid w:val="11B71E6A"/>
    <w:rsid w:val="15716D69"/>
    <w:rsid w:val="18F54F4F"/>
    <w:rsid w:val="1AAF0063"/>
    <w:rsid w:val="1BE140DE"/>
    <w:rsid w:val="1ECE3F6B"/>
    <w:rsid w:val="1F0B3067"/>
    <w:rsid w:val="248C197D"/>
    <w:rsid w:val="252959AF"/>
    <w:rsid w:val="277A6671"/>
    <w:rsid w:val="28DB1189"/>
    <w:rsid w:val="292D35B7"/>
    <w:rsid w:val="2A594280"/>
    <w:rsid w:val="2F8D675B"/>
    <w:rsid w:val="33EB6CFF"/>
    <w:rsid w:val="35A12947"/>
    <w:rsid w:val="37387040"/>
    <w:rsid w:val="3B625C0A"/>
    <w:rsid w:val="3CEE1963"/>
    <w:rsid w:val="46956A67"/>
    <w:rsid w:val="4C9C27FE"/>
    <w:rsid w:val="4DD42590"/>
    <w:rsid w:val="512260B4"/>
    <w:rsid w:val="52BD6ACB"/>
    <w:rsid w:val="55537534"/>
    <w:rsid w:val="561A74F1"/>
    <w:rsid w:val="597244E8"/>
    <w:rsid w:val="5DD10AFB"/>
    <w:rsid w:val="5EB71C30"/>
    <w:rsid w:val="64BE0F59"/>
    <w:rsid w:val="64FF6BAD"/>
    <w:rsid w:val="66AF0CE5"/>
    <w:rsid w:val="6AC537CF"/>
    <w:rsid w:val="6DAA54AF"/>
    <w:rsid w:val="6E2F4DFC"/>
    <w:rsid w:val="6E5B14A6"/>
    <w:rsid w:val="6F166144"/>
    <w:rsid w:val="711B255E"/>
    <w:rsid w:val="71E07256"/>
    <w:rsid w:val="7317199D"/>
    <w:rsid w:val="75AD3A57"/>
    <w:rsid w:val="7BB51E06"/>
    <w:rsid w:val="7C387F7C"/>
    <w:rsid w:val="7D935F5F"/>
    <w:rsid w:val="7F4810D3"/>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3390</Words>
  <Characters>3630</Characters>
  <Lines>7</Lines>
  <Paragraphs>2</Paragraphs>
  <TotalTime>30</TotalTime>
  <ScaleCrop>false</ScaleCrop>
  <LinksUpToDate>false</LinksUpToDate>
  <CharactersWithSpaces>3646</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2022-01-19T07:24:00Z</cp:lastPrinted>
  <dcterms:modified xsi:type="dcterms:W3CDTF">2024-07-08T08:36:48Z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3DA100A2F6674C259045C65FAE52E700_12</vt:lpwstr>
  </property>
</Properties>
</file>