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鹿泉区公安局</w:t>
      </w:r>
      <w:r>
        <w:rPr>
          <w:rFonts w:ascii="Times New Roman" w:hAnsi="Times New Roman" w:eastAsia="方正小标宋_GBK" w:cs="Times New Roman"/>
          <w:sz w:val="44"/>
          <w:szCs w:val="44"/>
        </w:rPr>
        <w:t>201</w:t>
      </w:r>
      <w:r>
        <w:rPr>
          <w:rFonts w:hint="eastAsia" w:ascii="Times New Roman" w:hAnsi="Times New Roman" w:eastAsia="方正小标宋_GBK" w:cs="Times New Roman"/>
          <w:sz w:val="44"/>
          <w:szCs w:val="44"/>
        </w:rPr>
        <w:t>9</w:t>
      </w:r>
      <w:r>
        <w:rPr>
          <w:rFonts w:ascii="Times New Roman" w:hAnsi="Times New Roman" w:eastAsia="方正小标宋_GBK" w:cs="Times New Roman"/>
          <w:sz w:val="44"/>
          <w:szCs w:val="44"/>
        </w:rPr>
        <w:t>年部门预算信息公开</w:t>
      </w:r>
      <w:r>
        <w:rPr>
          <w:rFonts w:hint="eastAsia" w:ascii="Times New Roman" w:hAnsi="Times New Roman" w:eastAsia="方正小标宋_GBK" w:cs="Times New Roman"/>
          <w:sz w:val="44"/>
          <w:szCs w:val="44"/>
        </w:rPr>
        <w:t>情况说明</w:t>
      </w:r>
    </w:p>
    <w:p>
      <w:pPr>
        <w:ind w:firstLine="880" w:firstLineChars="200"/>
        <w:jc w:val="center"/>
        <w:rPr>
          <w:rFonts w:ascii="Times New Roman" w:hAnsi="Times New Roman" w:eastAsia="方正小标宋_GBK" w:cs="Times New Roman"/>
          <w:sz w:val="44"/>
          <w:szCs w:val="44"/>
        </w:rPr>
      </w:pPr>
    </w:p>
    <w:p>
      <w:pPr>
        <w:ind w:firstLine="640" w:firstLineChars="200"/>
        <w:rPr>
          <w:rFonts w:ascii="仿宋_GB2312" w:hAnsi="宋体" w:eastAsia="仿宋_GB2312"/>
          <w:sz w:val="32"/>
          <w:szCs w:val="32"/>
        </w:rPr>
      </w:pPr>
      <w:r>
        <w:rPr>
          <w:rFonts w:hint="eastAsia" w:ascii="仿宋_GB2312" w:hAnsi="宋体" w:eastAsia="仿宋_GB2312"/>
          <w:sz w:val="32"/>
          <w:szCs w:val="32"/>
        </w:rPr>
        <w:t>按照《</w:t>
      </w:r>
      <w:r>
        <w:rPr>
          <w:rFonts w:hint="eastAsia" w:ascii="仿宋_GB2312" w:hAnsi="宋体" w:eastAsia="仿宋_GB2312"/>
          <w:sz w:val="32"/>
          <w:szCs w:val="32"/>
          <w:lang w:eastAsia="zh-CN"/>
        </w:rPr>
        <w:t>中华人民共和国</w:t>
      </w:r>
      <w:bookmarkStart w:id="2" w:name="_GoBack"/>
      <w:r>
        <w:rPr>
          <w:rFonts w:hint="eastAsia" w:ascii="仿宋_GB2312" w:hAnsi="宋体" w:eastAsia="仿宋_GB2312"/>
          <w:sz w:val="32"/>
          <w:szCs w:val="32"/>
        </w:rPr>
        <w:t>预算法</w:t>
      </w:r>
      <w:bookmarkEnd w:id="2"/>
      <w:r>
        <w:rPr>
          <w:rFonts w:hint="eastAsia" w:ascii="仿宋_GB2312" w:hAnsi="宋体" w:eastAsia="仿宋_GB2312"/>
          <w:sz w:val="32"/>
          <w:szCs w:val="32"/>
        </w:rPr>
        <w:t>》、《地方预决算公开操作规程》和《河北省省级预算公开办法》规定，现将</w:t>
      </w:r>
      <w:r>
        <w:rPr>
          <w:rFonts w:hint="eastAsia" w:ascii="仿宋_GB2312" w:hAnsi="宋体" w:eastAsia="仿宋_GB2312"/>
          <w:sz w:val="32"/>
          <w:szCs w:val="32"/>
          <w:lang w:eastAsia="zh-CN"/>
        </w:rPr>
        <w:t>石家庄市</w:t>
      </w:r>
      <w:r>
        <w:rPr>
          <w:rFonts w:hint="eastAsia" w:ascii="仿宋_GB2312" w:hAnsi="宋体" w:eastAsia="仿宋_GB2312"/>
          <w:sz w:val="32"/>
          <w:szCs w:val="32"/>
        </w:rPr>
        <w:t>鹿泉区公安局2019年部门预算公开如下：</w:t>
      </w:r>
    </w:p>
    <w:p>
      <w:pPr>
        <w:ind w:firstLine="640"/>
        <w:rPr>
          <w:rFonts w:ascii="仿宋_GB2312" w:hAnsi="宋体" w:eastAsia="仿宋_GB2312"/>
          <w:sz w:val="32"/>
          <w:szCs w:val="32"/>
        </w:rPr>
      </w:pPr>
      <w:r>
        <w:rPr>
          <w:rFonts w:hint="eastAsia" w:ascii="仿宋_GB2312" w:hAnsi="宋体" w:eastAsia="仿宋_GB2312"/>
          <w:sz w:val="32"/>
          <w:szCs w:val="32"/>
        </w:rPr>
        <w:t>一、部门职责及机构设置情况</w:t>
      </w:r>
    </w:p>
    <w:p>
      <w:pPr>
        <w:ind w:firstLine="643"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部门</w:t>
      </w:r>
      <w:r>
        <w:rPr>
          <w:rFonts w:ascii="Times New Roman" w:hAnsi="Times New Roman" w:eastAsia="方正仿宋_GBK" w:cs="Times New Roman"/>
          <w:b/>
          <w:sz w:val="32"/>
          <w:szCs w:val="32"/>
        </w:rPr>
        <w:t>职责：</w:t>
      </w:r>
    </w:p>
    <w:p>
      <w:pPr>
        <w:ind w:firstLine="640" w:firstLineChars="200"/>
        <w:rPr>
          <w:rFonts w:hint="eastAsia" w:ascii="仿宋_GB2312" w:hAnsi="宋体" w:eastAsia="仿宋_GB2312"/>
          <w:sz w:val="32"/>
          <w:szCs w:val="32"/>
        </w:rPr>
      </w:pPr>
      <w:r>
        <w:rPr>
          <w:rFonts w:hint="eastAsia" w:ascii="仿宋_GB2312" w:hAnsi="宋体" w:eastAsia="仿宋_GB2312"/>
          <w:sz w:val="32"/>
          <w:szCs w:val="32"/>
        </w:rPr>
        <w:t>主要负责打击防范违法犯罪、大要案侦查、有组织犯罪侦查、专项犯罪侦查、社会面管控、巡逻防控、人口及户籍管理、治安管理、出入境及外国人管理、公安科学技术建设、刑事科学技术、公安信息化建设、协调维护社会稳定和国家安全、综合业务管理。</w:t>
      </w:r>
    </w:p>
    <w:p>
      <w:pPr>
        <w:autoSpaceDE w:val="0"/>
        <w:autoSpaceDN w:val="0"/>
        <w:adjustRightInd w:val="0"/>
        <w:ind w:firstLine="643" w:firstLineChars="200"/>
        <w:jc w:val="left"/>
        <w:rPr>
          <w:rFonts w:hint="eastAsia"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p>
      <w:pPr>
        <w:autoSpaceDE w:val="0"/>
        <w:autoSpaceDN w:val="0"/>
        <w:adjustRightInd w:val="0"/>
        <w:ind w:firstLine="643" w:firstLineChars="200"/>
        <w:jc w:val="left"/>
        <w:rPr>
          <w:rFonts w:hint="eastAsia" w:ascii="方正仿宋_GBK" w:hAnsi="Times New Roman" w:eastAsia="方正仿宋_GBK" w:cs="Times New Roman"/>
          <w:b/>
          <w:sz w:val="32"/>
          <w:szCs w:val="32"/>
        </w:rPr>
      </w:pP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p>
      <w:pPr>
        <w:ind w:firstLine="280" w:firstLineChars="100"/>
        <w:rPr>
          <w:rFonts w:ascii="宋体" w:hAnsi="宋体"/>
          <w:sz w:val="28"/>
          <w:szCs w:val="28"/>
        </w:rPr>
      </w:pPr>
      <w:r>
        <w:rPr>
          <w:rFonts w:hint="eastAsia" w:ascii="宋体" w:hAnsi="宋体"/>
          <w:sz w:val="28"/>
          <w:szCs w:val="28"/>
        </w:rPr>
        <w:t>石家庄市鹿泉区公安局属于正科级单位</w:t>
      </w:r>
    </w:p>
    <w:tbl>
      <w:tblPr>
        <w:tblStyle w:val="8"/>
        <w:tblW w:w="9468" w:type="dxa"/>
        <w:tblInd w:w="68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48"/>
        <w:gridCol w:w="1939"/>
        <w:gridCol w:w="596"/>
        <w:gridCol w:w="596"/>
        <w:gridCol w:w="596"/>
        <w:gridCol w:w="272"/>
        <w:gridCol w:w="323"/>
        <w:gridCol w:w="733"/>
        <w:gridCol w:w="525"/>
        <w:gridCol w:w="527"/>
        <w:gridCol w:w="595"/>
        <w:gridCol w:w="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blHeader/>
        </w:trPr>
        <w:tc>
          <w:tcPr>
            <w:tcW w:w="2748" w:type="dxa"/>
            <w:vAlign w:val="center"/>
          </w:tcPr>
          <w:p>
            <w:pPr>
              <w:jc w:val="center"/>
              <w:rPr>
                <w:rFonts w:ascii="黑体" w:hAnsi="黑体" w:eastAsia="黑体"/>
                <w:b/>
                <w:sz w:val="18"/>
              </w:rPr>
            </w:pPr>
            <w:r>
              <w:rPr>
                <w:rFonts w:hint="eastAsia" w:ascii="黑体" w:hAnsi="黑体" w:eastAsia="黑体"/>
                <w:b/>
                <w:sz w:val="18"/>
              </w:rPr>
              <w:t>单位名称</w:t>
            </w:r>
          </w:p>
        </w:tc>
        <w:tc>
          <w:tcPr>
            <w:tcW w:w="1939" w:type="dxa"/>
            <w:vAlign w:val="center"/>
          </w:tcPr>
          <w:p>
            <w:pPr>
              <w:jc w:val="center"/>
              <w:rPr>
                <w:rFonts w:ascii="黑体" w:hAnsi="黑体" w:eastAsia="黑体"/>
                <w:b/>
                <w:sz w:val="18"/>
              </w:rPr>
            </w:pPr>
            <w:r>
              <w:rPr>
                <w:rFonts w:hint="eastAsia" w:ascii="黑体" w:hAnsi="黑体" w:eastAsia="黑体"/>
                <w:b/>
                <w:sz w:val="18"/>
              </w:rPr>
              <w:t>单位性质</w:t>
            </w:r>
          </w:p>
        </w:tc>
        <w:tc>
          <w:tcPr>
            <w:tcW w:w="2060" w:type="dxa"/>
            <w:gridSpan w:val="4"/>
            <w:vAlign w:val="center"/>
          </w:tcPr>
          <w:p>
            <w:pPr>
              <w:jc w:val="center"/>
              <w:rPr>
                <w:rFonts w:hint="eastAsia" w:ascii="黑体" w:hAnsi="黑体" w:eastAsia="黑体"/>
                <w:b/>
                <w:sz w:val="18"/>
                <w:lang w:eastAsia="zh-CN"/>
              </w:rPr>
            </w:pPr>
            <w:r>
              <w:rPr>
                <w:rFonts w:hint="eastAsia" w:ascii="黑体" w:hAnsi="黑体" w:eastAsia="黑体"/>
                <w:b/>
                <w:sz w:val="18"/>
                <w:lang w:eastAsia="zh-CN"/>
              </w:rPr>
              <w:t>单位规格</w:t>
            </w:r>
          </w:p>
        </w:tc>
        <w:tc>
          <w:tcPr>
            <w:tcW w:w="2721" w:type="dxa"/>
            <w:gridSpan w:val="6"/>
            <w:vAlign w:val="center"/>
          </w:tcPr>
          <w:p>
            <w:pPr>
              <w:jc w:val="center"/>
              <w:rPr>
                <w:rFonts w:ascii="黑体" w:hAnsi="黑体" w:eastAsia="黑体"/>
                <w:b/>
                <w:sz w:val="18"/>
              </w:rPr>
            </w:pPr>
            <w:r>
              <w:rPr>
                <w:rFonts w:hint="eastAsia" w:ascii="黑体" w:hAnsi="黑体" w:eastAsia="黑体"/>
                <w:b/>
                <w:sz w:val="18"/>
              </w:rPr>
              <w:t>财政供给政策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2748" w:type="dxa"/>
            <w:vAlign w:val="top"/>
          </w:tcPr>
          <w:p>
            <w:pPr>
              <w:jc w:val="center"/>
              <w:rPr>
                <w:rFonts w:ascii="宋体" w:hAnsi="宋体"/>
                <w:sz w:val="18"/>
              </w:rPr>
            </w:pPr>
            <w:r>
              <w:rPr>
                <w:rFonts w:hint="eastAsia" w:ascii="宋体" w:hAnsi="宋体"/>
                <w:sz w:val="18"/>
              </w:rPr>
              <w:t>石家庄市鹿泉区公安局</w:t>
            </w:r>
          </w:p>
        </w:tc>
        <w:tc>
          <w:tcPr>
            <w:tcW w:w="1939" w:type="dxa"/>
            <w:vAlign w:val="top"/>
          </w:tcPr>
          <w:p>
            <w:pPr>
              <w:jc w:val="center"/>
              <w:rPr>
                <w:rFonts w:ascii="宋体" w:hAnsi="宋体"/>
                <w:sz w:val="18"/>
              </w:rPr>
            </w:pPr>
            <w:r>
              <w:rPr>
                <w:rFonts w:hint="eastAsia" w:ascii="宋体" w:hAnsi="宋体"/>
                <w:sz w:val="18"/>
              </w:rPr>
              <w:t>行政</w:t>
            </w:r>
          </w:p>
        </w:tc>
        <w:tc>
          <w:tcPr>
            <w:tcW w:w="2060" w:type="dxa"/>
            <w:gridSpan w:val="4"/>
            <w:vAlign w:val="center"/>
          </w:tcPr>
          <w:p>
            <w:pPr>
              <w:jc w:val="center"/>
              <w:rPr>
                <w:rFonts w:hint="eastAsia" w:ascii="宋体" w:hAnsi="宋体"/>
                <w:sz w:val="18"/>
              </w:rPr>
            </w:pPr>
            <w:r>
              <w:rPr>
                <w:rFonts w:hint="eastAsia" w:ascii="宋体" w:hAnsi="宋体"/>
                <w:sz w:val="18"/>
              </w:rPr>
              <w:t>正科级</w:t>
            </w:r>
          </w:p>
        </w:tc>
        <w:tc>
          <w:tcPr>
            <w:tcW w:w="2721" w:type="dxa"/>
            <w:gridSpan w:val="6"/>
          </w:tcPr>
          <w:p>
            <w:pPr>
              <w:jc w:val="left"/>
              <w:rPr>
                <w:rFonts w:hint="eastAsia" w:ascii="宋体" w:hAnsi="宋体" w:eastAsiaTheme="minorEastAsia"/>
                <w:sz w:val="18"/>
                <w:lang w:eastAsia="zh-CN"/>
              </w:rPr>
            </w:pPr>
            <w:r>
              <w:rPr>
                <w:rFonts w:hint="eastAsia" w:ascii="宋体" w:hAnsi="宋体"/>
                <w:sz w:val="18"/>
                <w:lang w:eastAsia="zh-CN"/>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2748" w:type="dxa"/>
            <w:vAlign w:val="top"/>
          </w:tcPr>
          <w:p>
            <w:pPr>
              <w:jc w:val="center"/>
              <w:rPr>
                <w:rFonts w:ascii="宋体" w:hAnsi="宋体"/>
                <w:sz w:val="18"/>
              </w:rPr>
            </w:pPr>
            <w:r>
              <w:rPr>
                <w:rFonts w:hint="eastAsia" w:ascii="宋体"/>
                <w:sz w:val="18"/>
                <w:szCs w:val="18"/>
              </w:rPr>
              <w:t>石家庄市鹿泉区消防队</w:t>
            </w:r>
          </w:p>
        </w:tc>
        <w:tc>
          <w:tcPr>
            <w:tcW w:w="1939" w:type="dxa"/>
            <w:vAlign w:val="top"/>
          </w:tcPr>
          <w:p>
            <w:pPr>
              <w:jc w:val="center"/>
              <w:rPr>
                <w:rFonts w:ascii="宋体"/>
                <w:sz w:val="18"/>
                <w:szCs w:val="18"/>
              </w:rPr>
            </w:pPr>
            <w:r>
              <w:rPr>
                <w:rFonts w:hint="eastAsia" w:ascii="宋体" w:hAnsi="宋体"/>
                <w:sz w:val="18"/>
              </w:rPr>
              <w:t>事业</w:t>
            </w:r>
          </w:p>
        </w:tc>
        <w:tc>
          <w:tcPr>
            <w:tcW w:w="2060" w:type="dxa"/>
            <w:gridSpan w:val="4"/>
            <w:vAlign w:val="center"/>
          </w:tcPr>
          <w:p>
            <w:pPr>
              <w:jc w:val="center"/>
              <w:rPr>
                <w:rFonts w:hint="eastAsia" w:ascii="宋体" w:hAnsi="宋体"/>
                <w:sz w:val="18"/>
              </w:rPr>
            </w:pPr>
            <w:r>
              <w:rPr>
                <w:rFonts w:hint="eastAsia" w:ascii="宋体" w:hAnsi="宋体"/>
                <w:sz w:val="18"/>
              </w:rPr>
              <w:t>正股级</w:t>
            </w:r>
          </w:p>
        </w:tc>
        <w:tc>
          <w:tcPr>
            <w:tcW w:w="2721" w:type="dxa"/>
            <w:gridSpan w:val="6"/>
          </w:tcPr>
          <w:p>
            <w:pPr>
              <w:jc w:val="left"/>
              <w:rPr>
                <w:rFonts w:ascii="宋体" w:hAnsi="宋体"/>
                <w:sz w:val="18"/>
              </w:rPr>
            </w:pPr>
            <w:r>
              <w:rPr>
                <w:rFonts w:hint="eastAsia" w:ascii="宋体" w:hAnsi="宋体"/>
                <w:sz w:val="18"/>
                <w:lang w:eastAsia="zh-CN"/>
              </w:rPr>
              <w:t>财政性资金基本保障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8" w:type="dxa"/>
          <w:trHeight w:val="283" w:hRule="atLeast"/>
          <w:tblHeader/>
        </w:trPr>
        <w:tc>
          <w:tcPr>
            <w:tcW w:w="7803" w:type="dxa"/>
            <w:gridSpan w:val="8"/>
            <w:tcBorders>
              <w:top w:val="single" w:color="FFFFFF" w:sz="6" w:space="0"/>
              <w:left w:val="single" w:color="FFFFFF" w:sz="6" w:space="0"/>
              <w:bottom w:val="single" w:color="000000" w:sz="6" w:space="0"/>
              <w:right w:val="single" w:color="FFFFFF" w:sz="6" w:space="0"/>
            </w:tcBorders>
            <w:vAlign w:val="center"/>
          </w:tcPr>
          <w:p>
            <w:pPr>
              <w:jc w:val="left"/>
              <w:rPr>
                <w:rFonts w:ascii="黑体" w:hAnsi="黑体" w:eastAsia="黑体"/>
                <w:b/>
                <w:sz w:val="18"/>
              </w:rPr>
            </w:pPr>
          </w:p>
        </w:tc>
        <w:tc>
          <w:tcPr>
            <w:tcW w:w="1647" w:type="dxa"/>
            <w:gridSpan w:val="3"/>
            <w:tcBorders>
              <w:top w:val="single" w:color="FFFFFF" w:sz="6" w:space="0"/>
              <w:left w:val="single" w:color="FFFFFF" w:sz="6" w:space="0"/>
              <w:bottom w:val="single" w:color="000000" w:sz="6" w:space="0"/>
              <w:right w:val="single" w:color="FFFFFF" w:sz="6" w:space="0"/>
            </w:tcBorders>
            <w:vAlign w:val="center"/>
          </w:tcPr>
          <w:p>
            <w:pPr>
              <w:jc w:val="right"/>
              <w:rPr>
                <w:rFonts w:hint="eastAsia" w:ascii="黑体" w:hAnsi="黑体" w:eastAsia="黑体"/>
                <w:b/>
                <w:sz w:val="18"/>
              </w:rPr>
            </w:pPr>
          </w:p>
          <w:p>
            <w:pPr>
              <w:jc w:val="right"/>
              <w:rPr>
                <w:rFonts w:hint="eastAsia" w:ascii="黑体" w:hAnsi="黑体" w:eastAsia="黑体"/>
                <w:b/>
                <w:sz w:val="18"/>
              </w:rPr>
            </w:pPr>
          </w:p>
          <w:p>
            <w:pPr>
              <w:jc w:val="right"/>
              <w:rPr>
                <w:rFonts w:ascii="黑体" w:hAnsi="黑体" w:eastAsia="黑体"/>
                <w:b/>
                <w:sz w:val="18"/>
              </w:rPr>
            </w:pPr>
            <w:r>
              <w:rPr>
                <w:rFonts w:hint="eastAsia" w:ascii="黑体" w:hAnsi="黑体" w:eastAsia="黑体"/>
                <w:b/>
                <w:sz w:val="18"/>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8" w:type="dxa"/>
          <w:trHeight w:val="282" w:hRule="atLeast"/>
          <w:tblHeader/>
        </w:trPr>
        <w:tc>
          <w:tcPr>
            <w:tcW w:w="4687" w:type="dxa"/>
            <w:gridSpan w:val="2"/>
            <w:vMerge w:val="restart"/>
            <w:tcBorders>
              <w:top w:val="single" w:color="000000" w:sz="6" w:space="0"/>
              <w:left w:val="single" w:color="000000" w:sz="6" w:space="0"/>
              <w:bottom w:val="single" w:color="000000" w:sz="6" w:space="0"/>
              <w:right w:val="single" w:color="000000" w:sz="6" w:space="0"/>
            </w:tcBorders>
            <w:vAlign w:val="center"/>
          </w:tcPr>
          <w:p>
            <w:pPr>
              <w:jc w:val="center"/>
              <w:rPr>
                <w:rFonts w:ascii="黑体" w:hAnsi="黑体" w:eastAsia="黑体"/>
                <w:b/>
                <w:sz w:val="18"/>
              </w:rPr>
            </w:pPr>
            <w:r>
              <w:rPr>
                <w:rFonts w:hint="eastAsia" w:ascii="黑体" w:hAnsi="黑体" w:eastAsia="黑体"/>
                <w:b/>
                <w:sz w:val="18"/>
              </w:rPr>
              <w:t>单位名称</w:t>
            </w:r>
          </w:p>
        </w:tc>
        <w:tc>
          <w:tcPr>
            <w:tcW w:w="1192" w:type="dxa"/>
            <w:gridSpan w:val="2"/>
            <w:tcBorders>
              <w:top w:val="single" w:color="000000" w:sz="6" w:space="0"/>
              <w:left w:val="single" w:color="000000" w:sz="6" w:space="0"/>
              <w:bottom w:val="single" w:color="000000" w:sz="6" w:space="0"/>
              <w:right w:val="single" w:color="000000" w:sz="6" w:space="0"/>
            </w:tcBorders>
            <w:vAlign w:val="center"/>
          </w:tcPr>
          <w:p>
            <w:pPr>
              <w:jc w:val="center"/>
              <w:rPr>
                <w:rFonts w:ascii="黑体" w:hAnsi="黑体" w:eastAsia="黑体"/>
                <w:b/>
                <w:sz w:val="18"/>
              </w:rPr>
            </w:pPr>
            <w:r>
              <w:rPr>
                <w:rFonts w:hint="eastAsia" w:ascii="黑体" w:hAnsi="黑体" w:eastAsia="黑体"/>
                <w:b/>
                <w:sz w:val="18"/>
              </w:rPr>
              <w:t>编制人数</w:t>
            </w:r>
          </w:p>
        </w:tc>
        <w:tc>
          <w:tcPr>
            <w:tcW w:w="1191" w:type="dxa"/>
            <w:gridSpan w:val="3"/>
            <w:tcBorders>
              <w:top w:val="single" w:color="000000" w:sz="6" w:space="0"/>
              <w:left w:val="single" w:color="000000" w:sz="6" w:space="0"/>
              <w:bottom w:val="single" w:color="000000" w:sz="6" w:space="0"/>
              <w:right w:val="single" w:color="000000" w:sz="6" w:space="0"/>
            </w:tcBorders>
            <w:vAlign w:val="center"/>
          </w:tcPr>
          <w:p>
            <w:pPr>
              <w:jc w:val="center"/>
              <w:rPr>
                <w:rFonts w:ascii="黑体" w:hAnsi="黑体" w:eastAsia="黑体"/>
                <w:b/>
                <w:sz w:val="18"/>
              </w:rPr>
            </w:pPr>
            <w:r>
              <w:rPr>
                <w:rFonts w:hint="eastAsia" w:ascii="黑体" w:hAnsi="黑体" w:eastAsia="黑体"/>
                <w:b/>
                <w:sz w:val="18"/>
              </w:rPr>
              <w:t>在职人数</w:t>
            </w:r>
          </w:p>
        </w:tc>
        <w:tc>
          <w:tcPr>
            <w:tcW w:w="733" w:type="dxa"/>
            <w:vMerge w:val="restart"/>
            <w:tcBorders>
              <w:top w:val="single" w:color="000000" w:sz="6" w:space="0"/>
              <w:left w:val="single" w:color="000000" w:sz="6" w:space="0"/>
              <w:bottom w:val="single" w:color="000000" w:sz="6" w:space="0"/>
              <w:right w:val="single" w:color="000000" w:sz="6" w:space="0"/>
            </w:tcBorders>
            <w:vAlign w:val="center"/>
          </w:tcPr>
          <w:p>
            <w:pPr>
              <w:jc w:val="center"/>
              <w:rPr>
                <w:rFonts w:ascii="黑体" w:hAnsi="黑体" w:eastAsia="黑体"/>
                <w:b/>
                <w:sz w:val="18"/>
              </w:rPr>
            </w:pPr>
            <w:r>
              <w:rPr>
                <w:rFonts w:hint="eastAsia" w:ascii="黑体" w:hAnsi="黑体" w:eastAsia="黑体"/>
                <w:b/>
                <w:sz w:val="18"/>
              </w:rPr>
              <w:t>非在职人数</w:t>
            </w:r>
          </w:p>
        </w:tc>
        <w:tc>
          <w:tcPr>
            <w:tcW w:w="1647" w:type="dxa"/>
            <w:gridSpan w:val="3"/>
            <w:tcBorders>
              <w:top w:val="single" w:color="000000" w:sz="6" w:space="0"/>
              <w:left w:val="single" w:color="000000" w:sz="6" w:space="0"/>
              <w:bottom w:val="single" w:color="000000" w:sz="6" w:space="0"/>
              <w:right w:val="single" w:color="000000" w:sz="6" w:space="0"/>
            </w:tcBorders>
            <w:vAlign w:val="center"/>
          </w:tcPr>
          <w:p>
            <w:pPr>
              <w:jc w:val="center"/>
              <w:rPr>
                <w:rFonts w:ascii="黑体" w:hAnsi="黑体" w:eastAsia="黑体"/>
                <w:b/>
                <w:sz w:val="18"/>
              </w:rPr>
            </w:pPr>
            <w:r>
              <w:rPr>
                <w:rFonts w:hint="eastAsia" w:ascii="黑体" w:hAnsi="黑体" w:eastAsia="黑体"/>
                <w:b/>
                <w:sz w:val="18"/>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8" w:type="dxa"/>
          <w:trHeight w:val="283" w:hRule="atLeast"/>
          <w:tblHeader/>
        </w:trPr>
        <w:tc>
          <w:tcPr>
            <w:tcW w:w="4687" w:type="dxa"/>
            <w:gridSpan w:val="2"/>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黑体" w:hAnsi="黑体" w:eastAsia="黑体"/>
                <w:b/>
                <w:sz w:val="18"/>
              </w:rPr>
            </w:pPr>
          </w:p>
        </w:tc>
        <w:tc>
          <w:tcPr>
            <w:tcW w:w="596" w:type="dxa"/>
            <w:tcBorders>
              <w:top w:val="single" w:color="000000" w:sz="6" w:space="0"/>
              <w:left w:val="single" w:color="000000" w:sz="6" w:space="0"/>
              <w:bottom w:val="single" w:color="000000" w:sz="6" w:space="0"/>
              <w:right w:val="single" w:color="000000" w:sz="6" w:space="0"/>
            </w:tcBorders>
            <w:vAlign w:val="center"/>
          </w:tcPr>
          <w:p>
            <w:pPr>
              <w:jc w:val="center"/>
              <w:rPr>
                <w:rFonts w:ascii="黑体" w:hAnsi="黑体" w:eastAsia="黑体"/>
                <w:b/>
                <w:sz w:val="18"/>
              </w:rPr>
            </w:pPr>
            <w:r>
              <w:rPr>
                <w:rFonts w:hint="eastAsia" w:ascii="黑体" w:hAnsi="黑体" w:eastAsia="黑体"/>
                <w:b/>
                <w:sz w:val="18"/>
              </w:rPr>
              <w:t>行政</w:t>
            </w:r>
          </w:p>
        </w:tc>
        <w:tc>
          <w:tcPr>
            <w:tcW w:w="596" w:type="dxa"/>
            <w:tcBorders>
              <w:top w:val="single" w:color="000000" w:sz="6" w:space="0"/>
              <w:left w:val="single" w:color="000000" w:sz="6" w:space="0"/>
              <w:bottom w:val="single" w:color="000000" w:sz="6" w:space="0"/>
              <w:right w:val="single" w:color="000000" w:sz="6" w:space="0"/>
            </w:tcBorders>
            <w:vAlign w:val="center"/>
          </w:tcPr>
          <w:p>
            <w:pPr>
              <w:jc w:val="center"/>
              <w:rPr>
                <w:rFonts w:ascii="黑体" w:hAnsi="黑体" w:eastAsia="黑体"/>
                <w:b/>
                <w:sz w:val="18"/>
              </w:rPr>
            </w:pPr>
            <w:r>
              <w:rPr>
                <w:rFonts w:hint="eastAsia" w:ascii="黑体" w:hAnsi="黑体" w:eastAsia="黑体"/>
                <w:b/>
                <w:sz w:val="18"/>
              </w:rPr>
              <w:t>事业</w:t>
            </w:r>
          </w:p>
        </w:tc>
        <w:tc>
          <w:tcPr>
            <w:tcW w:w="596" w:type="dxa"/>
            <w:tcBorders>
              <w:top w:val="single" w:color="000000" w:sz="6" w:space="0"/>
              <w:left w:val="single" w:color="000000" w:sz="6" w:space="0"/>
              <w:bottom w:val="single" w:color="000000" w:sz="6" w:space="0"/>
              <w:right w:val="single" w:color="000000" w:sz="6" w:space="0"/>
            </w:tcBorders>
            <w:vAlign w:val="center"/>
          </w:tcPr>
          <w:p>
            <w:pPr>
              <w:jc w:val="center"/>
              <w:rPr>
                <w:rFonts w:ascii="黑体" w:hAnsi="黑体" w:eastAsia="黑体"/>
                <w:b/>
                <w:sz w:val="18"/>
              </w:rPr>
            </w:pPr>
            <w:r>
              <w:rPr>
                <w:rFonts w:hint="eastAsia" w:ascii="黑体" w:hAnsi="黑体" w:eastAsia="黑体"/>
                <w:b/>
                <w:sz w:val="18"/>
              </w:rPr>
              <w:t>行政</w:t>
            </w:r>
          </w:p>
        </w:tc>
        <w:tc>
          <w:tcPr>
            <w:tcW w:w="595" w:type="dxa"/>
            <w:gridSpan w:val="2"/>
            <w:tcBorders>
              <w:top w:val="single" w:color="000000" w:sz="6" w:space="0"/>
              <w:left w:val="single" w:color="000000" w:sz="6" w:space="0"/>
              <w:bottom w:val="single" w:color="000000" w:sz="6" w:space="0"/>
              <w:right w:val="single" w:color="000000" w:sz="6" w:space="0"/>
            </w:tcBorders>
            <w:vAlign w:val="center"/>
          </w:tcPr>
          <w:p>
            <w:pPr>
              <w:jc w:val="center"/>
              <w:rPr>
                <w:rFonts w:ascii="黑体" w:hAnsi="黑体" w:eastAsia="黑体"/>
                <w:b/>
                <w:sz w:val="18"/>
              </w:rPr>
            </w:pPr>
            <w:r>
              <w:rPr>
                <w:rFonts w:hint="eastAsia" w:ascii="黑体" w:hAnsi="黑体" w:eastAsia="黑体"/>
                <w:b/>
                <w:sz w:val="18"/>
              </w:rPr>
              <w:t>事业</w:t>
            </w:r>
          </w:p>
        </w:tc>
        <w:tc>
          <w:tcPr>
            <w:tcW w:w="733"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黑体" w:hAnsi="黑体" w:eastAsia="黑体"/>
                <w:b/>
                <w:sz w:val="18"/>
              </w:rPr>
            </w:pPr>
          </w:p>
        </w:tc>
        <w:tc>
          <w:tcPr>
            <w:tcW w:w="525" w:type="dxa"/>
            <w:tcBorders>
              <w:top w:val="single" w:color="000000" w:sz="6" w:space="0"/>
              <w:left w:val="single" w:color="000000" w:sz="6" w:space="0"/>
              <w:bottom w:val="single" w:color="000000" w:sz="6" w:space="0"/>
              <w:right w:val="single" w:color="000000" w:sz="6" w:space="0"/>
            </w:tcBorders>
            <w:vAlign w:val="center"/>
          </w:tcPr>
          <w:p>
            <w:pPr>
              <w:jc w:val="center"/>
              <w:rPr>
                <w:rFonts w:ascii="黑体" w:hAnsi="黑体" w:eastAsia="黑体"/>
                <w:b/>
                <w:sz w:val="18"/>
              </w:rPr>
            </w:pPr>
            <w:r>
              <w:rPr>
                <w:rFonts w:hint="eastAsia" w:ascii="黑体" w:hAnsi="黑体" w:eastAsia="黑体"/>
                <w:b/>
                <w:sz w:val="18"/>
              </w:rPr>
              <w:t>离休</w:t>
            </w:r>
          </w:p>
        </w:tc>
        <w:tc>
          <w:tcPr>
            <w:tcW w:w="527" w:type="dxa"/>
            <w:tcBorders>
              <w:top w:val="single" w:color="000000" w:sz="6" w:space="0"/>
              <w:left w:val="single" w:color="000000" w:sz="6" w:space="0"/>
              <w:bottom w:val="single" w:color="000000" w:sz="6" w:space="0"/>
              <w:right w:val="single" w:color="000000" w:sz="6" w:space="0"/>
            </w:tcBorders>
            <w:vAlign w:val="center"/>
          </w:tcPr>
          <w:p>
            <w:pPr>
              <w:jc w:val="center"/>
              <w:rPr>
                <w:rFonts w:ascii="黑体" w:hAnsi="黑体" w:eastAsia="黑体"/>
                <w:b/>
                <w:sz w:val="18"/>
              </w:rPr>
            </w:pPr>
            <w:r>
              <w:rPr>
                <w:rFonts w:hint="eastAsia" w:ascii="黑体" w:hAnsi="黑体" w:eastAsia="黑体"/>
                <w:b/>
                <w:sz w:val="18"/>
              </w:rPr>
              <w:t>退休</w:t>
            </w:r>
          </w:p>
        </w:tc>
        <w:tc>
          <w:tcPr>
            <w:tcW w:w="595" w:type="dxa"/>
            <w:tcBorders>
              <w:top w:val="single" w:color="000000" w:sz="6" w:space="0"/>
              <w:left w:val="single" w:color="000000" w:sz="6" w:space="0"/>
              <w:bottom w:val="single" w:color="000000" w:sz="6" w:space="0"/>
              <w:right w:val="single" w:color="000000" w:sz="6" w:space="0"/>
            </w:tcBorders>
            <w:vAlign w:val="center"/>
          </w:tcPr>
          <w:p>
            <w:pPr>
              <w:jc w:val="center"/>
              <w:rPr>
                <w:rFonts w:ascii="黑体" w:hAnsi="黑体" w:eastAsia="黑体"/>
                <w:b/>
                <w:sz w:val="18"/>
              </w:rPr>
            </w:pPr>
            <w:r>
              <w:rPr>
                <w:rFonts w:hint="eastAsia" w:ascii="黑体" w:hAnsi="黑体" w:eastAsia="黑体"/>
                <w:b/>
                <w:sz w:val="18"/>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8" w:type="dxa"/>
          <w:trHeight w:val="283" w:hRule="atLeast"/>
        </w:trPr>
        <w:tc>
          <w:tcPr>
            <w:tcW w:w="4687" w:type="dxa"/>
            <w:gridSpan w:val="2"/>
            <w:tcBorders>
              <w:top w:val="single" w:color="000000" w:sz="6" w:space="0"/>
              <w:left w:val="single" w:color="000000" w:sz="6" w:space="0"/>
              <w:bottom w:val="single" w:color="000000" w:sz="6" w:space="0"/>
              <w:right w:val="single" w:color="000000" w:sz="6" w:space="0"/>
            </w:tcBorders>
          </w:tcPr>
          <w:p>
            <w:pPr>
              <w:jc w:val="center"/>
              <w:rPr>
                <w:rFonts w:ascii="宋体" w:hAnsi="宋体"/>
                <w:b/>
                <w:sz w:val="18"/>
              </w:rPr>
            </w:pPr>
            <w:r>
              <w:rPr>
                <w:rFonts w:hint="eastAsia" w:ascii="宋体" w:hAnsi="宋体"/>
                <w:b/>
                <w:sz w:val="18"/>
              </w:rPr>
              <w:t>合 计</w:t>
            </w:r>
          </w:p>
        </w:tc>
        <w:tc>
          <w:tcPr>
            <w:tcW w:w="596" w:type="dxa"/>
            <w:tcBorders>
              <w:top w:val="single" w:color="000000" w:sz="6" w:space="0"/>
              <w:left w:val="single" w:color="000000" w:sz="6" w:space="0"/>
              <w:bottom w:val="single" w:color="000000" w:sz="6" w:space="0"/>
              <w:right w:val="single" w:color="000000" w:sz="6" w:space="0"/>
            </w:tcBorders>
          </w:tcPr>
          <w:p>
            <w:pPr>
              <w:jc w:val="right"/>
              <w:rPr>
                <w:rFonts w:ascii="宋体" w:hAnsi="宋体"/>
                <w:b/>
                <w:sz w:val="18"/>
              </w:rPr>
            </w:pPr>
          </w:p>
        </w:tc>
        <w:tc>
          <w:tcPr>
            <w:tcW w:w="596" w:type="dxa"/>
            <w:tcBorders>
              <w:top w:val="single" w:color="000000" w:sz="6" w:space="0"/>
              <w:left w:val="single" w:color="000000" w:sz="6" w:space="0"/>
              <w:bottom w:val="single" w:color="000000" w:sz="6" w:space="0"/>
              <w:right w:val="single" w:color="000000" w:sz="6" w:space="0"/>
            </w:tcBorders>
          </w:tcPr>
          <w:p>
            <w:pPr>
              <w:jc w:val="right"/>
              <w:rPr>
                <w:rFonts w:ascii="宋体" w:hAnsi="宋体"/>
                <w:b/>
                <w:sz w:val="18"/>
              </w:rPr>
            </w:pPr>
          </w:p>
        </w:tc>
        <w:tc>
          <w:tcPr>
            <w:tcW w:w="596" w:type="dxa"/>
            <w:tcBorders>
              <w:top w:val="single" w:color="000000" w:sz="6" w:space="0"/>
              <w:left w:val="single" w:color="000000" w:sz="6" w:space="0"/>
              <w:bottom w:val="single" w:color="000000" w:sz="6" w:space="0"/>
              <w:right w:val="single" w:color="000000" w:sz="6" w:space="0"/>
            </w:tcBorders>
          </w:tcPr>
          <w:p>
            <w:pPr>
              <w:jc w:val="right"/>
              <w:rPr>
                <w:rFonts w:ascii="宋体" w:hAnsi="宋体"/>
                <w:b/>
                <w:sz w:val="18"/>
              </w:rPr>
            </w:pPr>
          </w:p>
        </w:tc>
        <w:tc>
          <w:tcPr>
            <w:tcW w:w="595" w:type="dxa"/>
            <w:gridSpan w:val="2"/>
            <w:tcBorders>
              <w:top w:val="single" w:color="000000" w:sz="6" w:space="0"/>
              <w:left w:val="single" w:color="000000" w:sz="6" w:space="0"/>
              <w:bottom w:val="single" w:color="000000" w:sz="6" w:space="0"/>
              <w:right w:val="single" w:color="000000" w:sz="6" w:space="0"/>
            </w:tcBorders>
          </w:tcPr>
          <w:p>
            <w:pPr>
              <w:jc w:val="right"/>
              <w:rPr>
                <w:rFonts w:ascii="宋体" w:hAnsi="宋体"/>
                <w:b/>
                <w:sz w:val="18"/>
              </w:rPr>
            </w:pPr>
          </w:p>
        </w:tc>
        <w:tc>
          <w:tcPr>
            <w:tcW w:w="733" w:type="dxa"/>
            <w:tcBorders>
              <w:top w:val="single" w:color="000000" w:sz="6" w:space="0"/>
              <w:left w:val="single" w:color="000000" w:sz="6" w:space="0"/>
              <w:bottom w:val="single" w:color="000000" w:sz="6" w:space="0"/>
              <w:right w:val="single" w:color="000000" w:sz="6" w:space="0"/>
            </w:tcBorders>
          </w:tcPr>
          <w:p>
            <w:pPr>
              <w:jc w:val="right"/>
              <w:rPr>
                <w:rFonts w:ascii="宋体" w:hAnsi="宋体"/>
                <w:b/>
                <w:sz w:val="18"/>
              </w:rPr>
            </w:pPr>
          </w:p>
        </w:tc>
        <w:tc>
          <w:tcPr>
            <w:tcW w:w="525" w:type="dxa"/>
            <w:tcBorders>
              <w:top w:val="single" w:color="000000" w:sz="6" w:space="0"/>
              <w:left w:val="single" w:color="000000" w:sz="6" w:space="0"/>
              <w:bottom w:val="single" w:color="000000" w:sz="6" w:space="0"/>
              <w:right w:val="single" w:color="000000" w:sz="6" w:space="0"/>
            </w:tcBorders>
          </w:tcPr>
          <w:p>
            <w:pPr>
              <w:jc w:val="right"/>
              <w:rPr>
                <w:rFonts w:ascii="宋体" w:hAnsi="宋体"/>
                <w:b/>
                <w:sz w:val="18"/>
              </w:rPr>
            </w:pPr>
          </w:p>
        </w:tc>
        <w:tc>
          <w:tcPr>
            <w:tcW w:w="527" w:type="dxa"/>
            <w:tcBorders>
              <w:top w:val="single" w:color="000000" w:sz="6" w:space="0"/>
              <w:left w:val="single" w:color="000000" w:sz="6" w:space="0"/>
              <w:bottom w:val="single" w:color="000000" w:sz="6" w:space="0"/>
              <w:right w:val="single" w:color="000000" w:sz="6" w:space="0"/>
            </w:tcBorders>
          </w:tcPr>
          <w:p>
            <w:pPr>
              <w:jc w:val="right"/>
              <w:rPr>
                <w:rFonts w:ascii="宋体" w:hAnsi="宋体"/>
                <w:b/>
                <w:sz w:val="18"/>
              </w:rPr>
            </w:pPr>
          </w:p>
        </w:tc>
        <w:tc>
          <w:tcPr>
            <w:tcW w:w="595" w:type="dxa"/>
            <w:tcBorders>
              <w:top w:val="single" w:color="000000" w:sz="6" w:space="0"/>
              <w:left w:val="single" w:color="000000" w:sz="6" w:space="0"/>
              <w:bottom w:val="single" w:color="000000" w:sz="6" w:space="0"/>
              <w:right w:val="single" w:color="000000" w:sz="6" w:space="0"/>
            </w:tcBorders>
          </w:tcPr>
          <w:p>
            <w:pPr>
              <w:jc w:val="right"/>
              <w:rPr>
                <w:rFonts w:ascii="宋体" w:hAnsi="宋体"/>
                <w:b/>
                <w:sz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8" w:type="dxa"/>
          <w:trHeight w:val="283" w:hRule="atLeast"/>
        </w:trPr>
        <w:tc>
          <w:tcPr>
            <w:tcW w:w="4687" w:type="dxa"/>
            <w:gridSpan w:val="2"/>
            <w:tcBorders>
              <w:top w:val="single" w:color="000000" w:sz="6" w:space="0"/>
              <w:left w:val="single" w:color="000000" w:sz="6" w:space="0"/>
              <w:bottom w:val="single" w:color="000000" w:sz="6" w:space="0"/>
              <w:right w:val="single" w:color="000000" w:sz="6" w:space="0"/>
            </w:tcBorders>
          </w:tcPr>
          <w:p>
            <w:pPr>
              <w:jc w:val="left"/>
              <w:rPr>
                <w:rFonts w:ascii="宋体" w:hAnsi="宋体"/>
                <w:sz w:val="18"/>
              </w:rPr>
            </w:pPr>
            <w:r>
              <w:rPr>
                <w:rFonts w:hint="eastAsia" w:ascii="宋体" w:hAnsi="宋体"/>
                <w:sz w:val="18"/>
              </w:rPr>
              <w:t>石家庄市鹿泉区公安局</w:t>
            </w:r>
          </w:p>
        </w:tc>
        <w:tc>
          <w:tcPr>
            <w:tcW w:w="596" w:type="dxa"/>
            <w:tcBorders>
              <w:top w:val="single" w:color="000000" w:sz="6" w:space="0"/>
              <w:left w:val="single" w:color="000000" w:sz="6" w:space="0"/>
              <w:bottom w:val="single" w:color="000000" w:sz="6" w:space="0"/>
              <w:right w:val="single" w:color="000000" w:sz="6" w:space="0"/>
            </w:tcBorders>
          </w:tcPr>
          <w:p>
            <w:pPr>
              <w:jc w:val="right"/>
              <w:rPr>
                <w:rFonts w:ascii="宋体" w:hAnsi="宋体"/>
                <w:sz w:val="18"/>
              </w:rPr>
            </w:pPr>
            <w:r>
              <w:rPr>
                <w:rFonts w:hint="eastAsia" w:ascii="宋体" w:hAnsi="宋体"/>
                <w:sz w:val="18"/>
              </w:rPr>
              <w:t>200</w:t>
            </w:r>
          </w:p>
        </w:tc>
        <w:tc>
          <w:tcPr>
            <w:tcW w:w="596" w:type="dxa"/>
            <w:tcBorders>
              <w:top w:val="single" w:color="000000" w:sz="6" w:space="0"/>
              <w:left w:val="single" w:color="000000" w:sz="6" w:space="0"/>
              <w:bottom w:val="single" w:color="000000" w:sz="6" w:space="0"/>
              <w:right w:val="single" w:color="000000" w:sz="6" w:space="0"/>
            </w:tcBorders>
          </w:tcPr>
          <w:p>
            <w:pPr>
              <w:jc w:val="right"/>
              <w:rPr>
                <w:rFonts w:ascii="宋体" w:hAnsi="宋体"/>
                <w:sz w:val="18"/>
              </w:rPr>
            </w:pPr>
          </w:p>
        </w:tc>
        <w:tc>
          <w:tcPr>
            <w:tcW w:w="596" w:type="dxa"/>
            <w:tcBorders>
              <w:top w:val="single" w:color="000000" w:sz="6" w:space="0"/>
              <w:left w:val="single" w:color="000000" w:sz="6" w:space="0"/>
              <w:bottom w:val="single" w:color="000000" w:sz="6" w:space="0"/>
              <w:right w:val="single" w:color="000000" w:sz="6" w:space="0"/>
            </w:tcBorders>
          </w:tcPr>
          <w:p>
            <w:pPr>
              <w:jc w:val="right"/>
              <w:rPr>
                <w:rFonts w:ascii="宋体" w:hAnsi="宋体"/>
                <w:sz w:val="18"/>
              </w:rPr>
            </w:pPr>
            <w:r>
              <w:rPr>
                <w:rFonts w:hint="eastAsia" w:ascii="宋体" w:hAnsi="宋体"/>
                <w:sz w:val="18"/>
              </w:rPr>
              <w:t>269</w:t>
            </w:r>
          </w:p>
        </w:tc>
        <w:tc>
          <w:tcPr>
            <w:tcW w:w="595" w:type="dxa"/>
            <w:gridSpan w:val="2"/>
            <w:tcBorders>
              <w:top w:val="single" w:color="000000" w:sz="6" w:space="0"/>
              <w:left w:val="single" w:color="000000" w:sz="6" w:space="0"/>
              <w:bottom w:val="single" w:color="000000" w:sz="6" w:space="0"/>
              <w:right w:val="single" w:color="000000" w:sz="6" w:space="0"/>
            </w:tcBorders>
          </w:tcPr>
          <w:p>
            <w:pPr>
              <w:jc w:val="right"/>
              <w:rPr>
                <w:rFonts w:ascii="宋体" w:hAnsi="宋体"/>
                <w:sz w:val="18"/>
              </w:rPr>
            </w:pPr>
          </w:p>
        </w:tc>
        <w:tc>
          <w:tcPr>
            <w:tcW w:w="733" w:type="dxa"/>
            <w:tcBorders>
              <w:top w:val="single" w:color="000000" w:sz="6" w:space="0"/>
              <w:left w:val="single" w:color="000000" w:sz="6" w:space="0"/>
              <w:bottom w:val="single" w:color="000000" w:sz="6" w:space="0"/>
              <w:right w:val="single" w:color="000000" w:sz="6" w:space="0"/>
            </w:tcBorders>
          </w:tcPr>
          <w:p>
            <w:pPr>
              <w:jc w:val="right"/>
              <w:rPr>
                <w:rFonts w:ascii="宋体" w:hAnsi="宋体"/>
                <w:sz w:val="18"/>
              </w:rPr>
            </w:pPr>
          </w:p>
        </w:tc>
        <w:tc>
          <w:tcPr>
            <w:tcW w:w="525" w:type="dxa"/>
            <w:tcBorders>
              <w:top w:val="single" w:color="000000" w:sz="6" w:space="0"/>
              <w:left w:val="single" w:color="000000" w:sz="6" w:space="0"/>
              <w:bottom w:val="single" w:color="000000" w:sz="6" w:space="0"/>
              <w:right w:val="single" w:color="000000" w:sz="6" w:space="0"/>
            </w:tcBorders>
          </w:tcPr>
          <w:p>
            <w:pPr>
              <w:jc w:val="right"/>
              <w:rPr>
                <w:rFonts w:ascii="宋体" w:hAnsi="宋体"/>
                <w:sz w:val="18"/>
              </w:rPr>
            </w:pPr>
            <w:r>
              <w:rPr>
                <w:rFonts w:hint="eastAsia" w:ascii="宋体" w:hAnsi="宋体"/>
                <w:sz w:val="18"/>
              </w:rPr>
              <w:t>1</w:t>
            </w:r>
          </w:p>
        </w:tc>
        <w:tc>
          <w:tcPr>
            <w:tcW w:w="527" w:type="dxa"/>
            <w:tcBorders>
              <w:top w:val="single" w:color="000000" w:sz="6" w:space="0"/>
              <w:left w:val="single" w:color="000000" w:sz="6" w:space="0"/>
              <w:bottom w:val="single" w:color="000000" w:sz="6" w:space="0"/>
              <w:right w:val="single" w:color="000000" w:sz="6" w:space="0"/>
            </w:tcBorders>
          </w:tcPr>
          <w:p>
            <w:pPr>
              <w:jc w:val="right"/>
              <w:rPr>
                <w:rFonts w:ascii="宋体" w:hAnsi="宋体"/>
                <w:sz w:val="18"/>
              </w:rPr>
            </w:pPr>
            <w:r>
              <w:rPr>
                <w:rFonts w:hint="eastAsia" w:ascii="宋体" w:hAnsi="宋体"/>
                <w:sz w:val="18"/>
              </w:rPr>
              <w:t>68</w:t>
            </w:r>
          </w:p>
        </w:tc>
        <w:tc>
          <w:tcPr>
            <w:tcW w:w="595" w:type="dxa"/>
            <w:tcBorders>
              <w:top w:val="single" w:color="000000" w:sz="6" w:space="0"/>
              <w:left w:val="single" w:color="000000" w:sz="6" w:space="0"/>
              <w:bottom w:val="single" w:color="000000" w:sz="6" w:space="0"/>
              <w:right w:val="single" w:color="000000" w:sz="6" w:space="0"/>
            </w:tcBorders>
          </w:tcPr>
          <w:p>
            <w:pPr>
              <w:jc w:val="right"/>
              <w:rPr>
                <w:rFonts w:ascii="宋体" w:hAnsi="宋体"/>
                <w:sz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8" w:type="dxa"/>
          <w:trHeight w:val="283" w:hRule="atLeast"/>
        </w:trPr>
        <w:tc>
          <w:tcPr>
            <w:tcW w:w="4687" w:type="dxa"/>
            <w:gridSpan w:val="2"/>
            <w:tcBorders>
              <w:top w:val="single" w:color="000000" w:sz="6" w:space="0"/>
              <w:left w:val="single" w:color="000000" w:sz="6" w:space="0"/>
              <w:bottom w:val="single" w:color="000000" w:sz="6" w:space="0"/>
              <w:right w:val="single" w:color="000000" w:sz="6" w:space="0"/>
            </w:tcBorders>
          </w:tcPr>
          <w:p>
            <w:pPr>
              <w:jc w:val="left"/>
              <w:rPr>
                <w:rFonts w:ascii="宋体" w:hAnsi="宋体"/>
                <w:sz w:val="18"/>
              </w:rPr>
            </w:pPr>
            <w:r>
              <w:rPr>
                <w:rFonts w:hint="eastAsia" w:ascii="宋体" w:hAnsi="宋体"/>
                <w:sz w:val="18"/>
              </w:rPr>
              <w:t>石家庄市鹿泉区消防队</w:t>
            </w:r>
          </w:p>
        </w:tc>
        <w:tc>
          <w:tcPr>
            <w:tcW w:w="596" w:type="dxa"/>
            <w:tcBorders>
              <w:top w:val="single" w:color="000000" w:sz="6" w:space="0"/>
              <w:left w:val="single" w:color="000000" w:sz="6" w:space="0"/>
              <w:bottom w:val="single" w:color="000000" w:sz="6" w:space="0"/>
              <w:right w:val="single" w:color="000000" w:sz="6" w:space="0"/>
            </w:tcBorders>
          </w:tcPr>
          <w:p>
            <w:pPr>
              <w:jc w:val="right"/>
              <w:rPr>
                <w:rFonts w:ascii="宋体" w:hAnsi="宋体"/>
                <w:sz w:val="18"/>
              </w:rPr>
            </w:pPr>
          </w:p>
        </w:tc>
        <w:tc>
          <w:tcPr>
            <w:tcW w:w="596" w:type="dxa"/>
            <w:tcBorders>
              <w:top w:val="single" w:color="000000" w:sz="6" w:space="0"/>
              <w:left w:val="single" w:color="000000" w:sz="6" w:space="0"/>
              <w:bottom w:val="single" w:color="000000" w:sz="6" w:space="0"/>
              <w:right w:val="single" w:color="000000" w:sz="6" w:space="0"/>
            </w:tcBorders>
          </w:tcPr>
          <w:p>
            <w:pPr>
              <w:jc w:val="right"/>
              <w:rPr>
                <w:rFonts w:ascii="宋体" w:hAnsi="宋体"/>
                <w:sz w:val="18"/>
              </w:rPr>
            </w:pPr>
            <w:r>
              <w:rPr>
                <w:rFonts w:hint="eastAsia" w:ascii="宋体" w:hAnsi="宋体"/>
                <w:sz w:val="18"/>
              </w:rPr>
              <w:t>22</w:t>
            </w:r>
          </w:p>
        </w:tc>
        <w:tc>
          <w:tcPr>
            <w:tcW w:w="596" w:type="dxa"/>
            <w:tcBorders>
              <w:top w:val="single" w:color="000000" w:sz="6" w:space="0"/>
              <w:left w:val="single" w:color="000000" w:sz="6" w:space="0"/>
              <w:bottom w:val="single" w:color="000000" w:sz="6" w:space="0"/>
              <w:right w:val="single" w:color="000000" w:sz="6" w:space="0"/>
            </w:tcBorders>
          </w:tcPr>
          <w:p>
            <w:pPr>
              <w:jc w:val="right"/>
              <w:rPr>
                <w:rFonts w:ascii="宋体" w:hAnsi="宋体"/>
                <w:sz w:val="18"/>
              </w:rPr>
            </w:pPr>
          </w:p>
        </w:tc>
        <w:tc>
          <w:tcPr>
            <w:tcW w:w="595" w:type="dxa"/>
            <w:gridSpan w:val="2"/>
            <w:tcBorders>
              <w:top w:val="single" w:color="000000" w:sz="6" w:space="0"/>
              <w:left w:val="single" w:color="000000" w:sz="6" w:space="0"/>
              <w:bottom w:val="single" w:color="000000" w:sz="6" w:space="0"/>
              <w:right w:val="single" w:color="000000" w:sz="6" w:space="0"/>
            </w:tcBorders>
          </w:tcPr>
          <w:p>
            <w:pPr>
              <w:jc w:val="right"/>
              <w:rPr>
                <w:rFonts w:ascii="宋体" w:hAnsi="宋体"/>
                <w:sz w:val="18"/>
              </w:rPr>
            </w:pPr>
            <w:r>
              <w:rPr>
                <w:rFonts w:hint="eastAsia" w:ascii="宋体" w:hAnsi="宋体"/>
                <w:sz w:val="18"/>
              </w:rPr>
              <w:t>34</w:t>
            </w:r>
          </w:p>
        </w:tc>
        <w:tc>
          <w:tcPr>
            <w:tcW w:w="733" w:type="dxa"/>
            <w:tcBorders>
              <w:top w:val="single" w:color="000000" w:sz="6" w:space="0"/>
              <w:left w:val="single" w:color="000000" w:sz="6" w:space="0"/>
              <w:bottom w:val="single" w:color="000000" w:sz="6" w:space="0"/>
              <w:right w:val="single" w:color="000000" w:sz="6" w:space="0"/>
            </w:tcBorders>
          </w:tcPr>
          <w:p>
            <w:pPr>
              <w:jc w:val="right"/>
              <w:rPr>
                <w:rFonts w:ascii="宋体" w:hAnsi="宋体"/>
                <w:sz w:val="18"/>
              </w:rPr>
            </w:pPr>
          </w:p>
        </w:tc>
        <w:tc>
          <w:tcPr>
            <w:tcW w:w="525" w:type="dxa"/>
            <w:tcBorders>
              <w:top w:val="single" w:color="000000" w:sz="6" w:space="0"/>
              <w:left w:val="single" w:color="000000" w:sz="6" w:space="0"/>
              <w:bottom w:val="single" w:color="000000" w:sz="6" w:space="0"/>
              <w:right w:val="single" w:color="000000" w:sz="6" w:space="0"/>
            </w:tcBorders>
          </w:tcPr>
          <w:p>
            <w:pPr>
              <w:jc w:val="right"/>
              <w:rPr>
                <w:rFonts w:ascii="宋体" w:hAnsi="宋体"/>
                <w:sz w:val="18"/>
              </w:rPr>
            </w:pPr>
          </w:p>
        </w:tc>
        <w:tc>
          <w:tcPr>
            <w:tcW w:w="527" w:type="dxa"/>
            <w:tcBorders>
              <w:top w:val="single" w:color="000000" w:sz="6" w:space="0"/>
              <w:left w:val="single" w:color="000000" w:sz="6" w:space="0"/>
              <w:bottom w:val="single" w:color="000000" w:sz="6" w:space="0"/>
              <w:right w:val="single" w:color="000000" w:sz="6" w:space="0"/>
            </w:tcBorders>
          </w:tcPr>
          <w:p>
            <w:pPr>
              <w:jc w:val="right"/>
              <w:rPr>
                <w:rFonts w:ascii="宋体" w:hAnsi="宋体"/>
                <w:sz w:val="18"/>
              </w:rPr>
            </w:pPr>
          </w:p>
        </w:tc>
        <w:tc>
          <w:tcPr>
            <w:tcW w:w="595" w:type="dxa"/>
            <w:tcBorders>
              <w:top w:val="single" w:color="000000" w:sz="6" w:space="0"/>
              <w:left w:val="single" w:color="000000" w:sz="6" w:space="0"/>
              <w:bottom w:val="single" w:color="000000" w:sz="6" w:space="0"/>
              <w:right w:val="single" w:color="000000" w:sz="6" w:space="0"/>
            </w:tcBorders>
          </w:tcPr>
          <w:p>
            <w:pPr>
              <w:jc w:val="right"/>
              <w:rPr>
                <w:rFonts w:ascii="宋体" w:hAnsi="宋体"/>
                <w:sz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8" w:type="dxa"/>
          <w:trHeight w:val="283" w:hRule="atLeast"/>
        </w:trPr>
        <w:tc>
          <w:tcPr>
            <w:tcW w:w="4687" w:type="dxa"/>
            <w:gridSpan w:val="2"/>
            <w:tcBorders>
              <w:top w:val="single" w:color="000000" w:sz="6" w:space="0"/>
              <w:left w:val="single" w:color="000000" w:sz="6" w:space="0"/>
              <w:bottom w:val="single" w:color="000000" w:sz="6" w:space="0"/>
              <w:right w:val="single" w:color="000000" w:sz="6" w:space="0"/>
            </w:tcBorders>
          </w:tcPr>
          <w:p>
            <w:pPr>
              <w:jc w:val="left"/>
              <w:rPr>
                <w:rFonts w:ascii="宋体" w:hAnsi="宋体"/>
                <w:sz w:val="18"/>
              </w:rPr>
            </w:pPr>
          </w:p>
        </w:tc>
        <w:tc>
          <w:tcPr>
            <w:tcW w:w="596" w:type="dxa"/>
            <w:tcBorders>
              <w:top w:val="single" w:color="000000" w:sz="6" w:space="0"/>
              <w:left w:val="single" w:color="000000" w:sz="6" w:space="0"/>
              <w:bottom w:val="single" w:color="000000" w:sz="6" w:space="0"/>
              <w:right w:val="single" w:color="000000" w:sz="6" w:space="0"/>
            </w:tcBorders>
          </w:tcPr>
          <w:p>
            <w:pPr>
              <w:jc w:val="right"/>
              <w:rPr>
                <w:rFonts w:ascii="宋体" w:hAnsi="宋体"/>
                <w:sz w:val="18"/>
              </w:rPr>
            </w:pPr>
          </w:p>
        </w:tc>
        <w:tc>
          <w:tcPr>
            <w:tcW w:w="596" w:type="dxa"/>
            <w:tcBorders>
              <w:top w:val="single" w:color="000000" w:sz="6" w:space="0"/>
              <w:left w:val="single" w:color="000000" w:sz="6" w:space="0"/>
              <w:bottom w:val="single" w:color="000000" w:sz="6" w:space="0"/>
              <w:right w:val="single" w:color="000000" w:sz="6" w:space="0"/>
            </w:tcBorders>
          </w:tcPr>
          <w:p>
            <w:pPr>
              <w:jc w:val="right"/>
              <w:rPr>
                <w:rFonts w:ascii="宋体" w:hAnsi="宋体"/>
                <w:sz w:val="18"/>
              </w:rPr>
            </w:pPr>
          </w:p>
        </w:tc>
        <w:tc>
          <w:tcPr>
            <w:tcW w:w="596" w:type="dxa"/>
            <w:tcBorders>
              <w:top w:val="single" w:color="000000" w:sz="6" w:space="0"/>
              <w:left w:val="single" w:color="000000" w:sz="6" w:space="0"/>
              <w:bottom w:val="single" w:color="000000" w:sz="6" w:space="0"/>
              <w:right w:val="single" w:color="000000" w:sz="6" w:space="0"/>
            </w:tcBorders>
          </w:tcPr>
          <w:p>
            <w:pPr>
              <w:jc w:val="right"/>
              <w:rPr>
                <w:rFonts w:ascii="宋体" w:hAnsi="宋体"/>
                <w:sz w:val="18"/>
              </w:rPr>
            </w:pPr>
          </w:p>
        </w:tc>
        <w:tc>
          <w:tcPr>
            <w:tcW w:w="595" w:type="dxa"/>
            <w:gridSpan w:val="2"/>
            <w:tcBorders>
              <w:top w:val="single" w:color="000000" w:sz="6" w:space="0"/>
              <w:left w:val="single" w:color="000000" w:sz="6" w:space="0"/>
              <w:bottom w:val="single" w:color="000000" w:sz="6" w:space="0"/>
              <w:right w:val="single" w:color="000000" w:sz="6" w:space="0"/>
            </w:tcBorders>
          </w:tcPr>
          <w:p>
            <w:pPr>
              <w:jc w:val="right"/>
              <w:rPr>
                <w:rFonts w:ascii="宋体" w:hAnsi="宋体"/>
                <w:sz w:val="18"/>
              </w:rPr>
            </w:pPr>
          </w:p>
        </w:tc>
        <w:tc>
          <w:tcPr>
            <w:tcW w:w="733" w:type="dxa"/>
            <w:tcBorders>
              <w:top w:val="single" w:color="000000" w:sz="6" w:space="0"/>
              <w:left w:val="single" w:color="000000" w:sz="6" w:space="0"/>
              <w:bottom w:val="single" w:color="000000" w:sz="6" w:space="0"/>
              <w:right w:val="single" w:color="000000" w:sz="6" w:space="0"/>
            </w:tcBorders>
          </w:tcPr>
          <w:p>
            <w:pPr>
              <w:jc w:val="right"/>
              <w:rPr>
                <w:rFonts w:ascii="宋体" w:hAnsi="宋体"/>
                <w:sz w:val="18"/>
              </w:rPr>
            </w:pPr>
          </w:p>
        </w:tc>
        <w:tc>
          <w:tcPr>
            <w:tcW w:w="525" w:type="dxa"/>
            <w:tcBorders>
              <w:top w:val="single" w:color="000000" w:sz="6" w:space="0"/>
              <w:left w:val="single" w:color="000000" w:sz="6" w:space="0"/>
              <w:bottom w:val="single" w:color="000000" w:sz="6" w:space="0"/>
              <w:right w:val="single" w:color="000000" w:sz="6" w:space="0"/>
            </w:tcBorders>
          </w:tcPr>
          <w:p>
            <w:pPr>
              <w:jc w:val="right"/>
              <w:rPr>
                <w:rFonts w:ascii="宋体" w:hAnsi="宋体"/>
                <w:sz w:val="18"/>
              </w:rPr>
            </w:pPr>
          </w:p>
        </w:tc>
        <w:tc>
          <w:tcPr>
            <w:tcW w:w="527" w:type="dxa"/>
            <w:tcBorders>
              <w:top w:val="single" w:color="000000" w:sz="6" w:space="0"/>
              <w:left w:val="single" w:color="000000" w:sz="6" w:space="0"/>
              <w:bottom w:val="single" w:color="000000" w:sz="6" w:space="0"/>
              <w:right w:val="single" w:color="000000" w:sz="6" w:space="0"/>
            </w:tcBorders>
          </w:tcPr>
          <w:p>
            <w:pPr>
              <w:jc w:val="right"/>
              <w:rPr>
                <w:rFonts w:ascii="宋体" w:hAnsi="宋体"/>
                <w:sz w:val="18"/>
              </w:rPr>
            </w:pPr>
          </w:p>
        </w:tc>
        <w:tc>
          <w:tcPr>
            <w:tcW w:w="595" w:type="dxa"/>
            <w:tcBorders>
              <w:top w:val="single" w:color="000000" w:sz="6" w:space="0"/>
              <w:left w:val="single" w:color="000000" w:sz="6" w:space="0"/>
              <w:bottom w:val="single" w:color="000000" w:sz="6" w:space="0"/>
              <w:right w:val="single" w:color="000000" w:sz="6" w:space="0"/>
            </w:tcBorders>
          </w:tcPr>
          <w:p>
            <w:pPr>
              <w:jc w:val="right"/>
              <w:rPr>
                <w:rFonts w:ascii="宋体" w:hAnsi="宋体"/>
                <w:sz w:val="18"/>
              </w:rPr>
            </w:pPr>
          </w:p>
        </w:tc>
      </w:tr>
    </w:tbl>
    <w:p>
      <w:pPr>
        <w:ind w:firstLine="640" w:firstLineChars="200"/>
        <w:rPr>
          <w:rFonts w:hint="eastAsia" w:ascii="仿宋_GB2312" w:hAnsi="宋体" w:eastAsia="仿宋_GB2312"/>
          <w:sz w:val="32"/>
          <w:szCs w:val="32"/>
          <w:lang w:eastAsia="zh-CN"/>
        </w:rPr>
      </w:pPr>
      <w:r>
        <w:rPr>
          <w:rFonts w:hint="eastAsia" w:ascii="仿宋_GB2312" w:hAnsi="宋体" w:eastAsia="仿宋_GB2312"/>
          <w:sz w:val="32"/>
          <w:szCs w:val="32"/>
          <w:lang w:eastAsia="zh-CN"/>
        </w:rPr>
        <w:t>二</w:t>
      </w:r>
      <w:r>
        <w:rPr>
          <w:rFonts w:hint="eastAsia" w:ascii="仿宋_GB2312" w:hAnsi="宋体" w:eastAsia="仿宋_GB2312"/>
          <w:sz w:val="32"/>
          <w:szCs w:val="32"/>
        </w:rPr>
        <w:t>、部门</w:t>
      </w:r>
      <w:r>
        <w:rPr>
          <w:rFonts w:hint="eastAsia" w:ascii="仿宋_GB2312" w:hAnsi="宋体" w:eastAsia="仿宋_GB2312"/>
          <w:sz w:val="32"/>
          <w:szCs w:val="32"/>
          <w:lang w:eastAsia="zh-CN"/>
        </w:rPr>
        <w:t>预算安排的总体情况</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按照预算管理有关规定，目前我</w:t>
      </w:r>
      <w:r>
        <w:rPr>
          <w:rFonts w:hint="eastAsia" w:ascii="仿宋_GB2312" w:hAnsi="仿宋" w:eastAsia="仿宋_GB2312" w:cs="仿宋"/>
          <w:sz w:val="32"/>
          <w:szCs w:val="32"/>
          <w:lang w:eastAsia="zh-CN"/>
        </w:rPr>
        <w:t>区</w:t>
      </w:r>
      <w:r>
        <w:rPr>
          <w:rFonts w:hint="eastAsia" w:ascii="仿宋_GB2312" w:hAnsi="仿宋" w:eastAsia="仿宋_GB2312" w:cs="仿宋"/>
          <w:sz w:val="32"/>
          <w:szCs w:val="32"/>
        </w:rPr>
        <w:t>部门预算的编制实行综合预算管理，即全部收入和支出都反映在预算中。</w:t>
      </w:r>
      <w:r>
        <w:rPr>
          <w:rFonts w:hint="eastAsia" w:ascii="仿宋_GB2312" w:hAnsi="仿宋" w:eastAsia="仿宋_GB2312" w:cs="仿宋"/>
          <w:sz w:val="32"/>
          <w:szCs w:val="32"/>
          <w:lang w:eastAsia="zh-CN"/>
        </w:rPr>
        <w:t>石家庄市鹿泉区公安局</w:t>
      </w:r>
      <w:r>
        <w:rPr>
          <w:rFonts w:hint="eastAsia" w:ascii="仿宋_GB2312" w:hAnsi="仿宋" w:eastAsia="仿宋_GB2312" w:cs="仿宋"/>
          <w:sz w:val="32"/>
          <w:szCs w:val="32"/>
        </w:rPr>
        <w:t>及所属事业单位的收支包含在部门预算中。</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1、收入说明</w:t>
      </w:r>
    </w:p>
    <w:p>
      <w:pPr>
        <w:ind w:firstLine="640" w:firstLineChars="200"/>
        <w:rPr>
          <w:rFonts w:ascii="仿宋_GB2312" w:hAnsi="宋体" w:eastAsia="仿宋_GB2312" w:cs="宋体"/>
          <w:kern w:val="0"/>
          <w:sz w:val="18"/>
          <w:szCs w:val="18"/>
        </w:rPr>
      </w:pPr>
      <w:r>
        <w:rPr>
          <w:rFonts w:hint="eastAsia" w:ascii="仿宋_GB2312" w:hAnsi="仿宋" w:eastAsia="仿宋_GB2312" w:cs="仿宋"/>
          <w:sz w:val="32"/>
          <w:szCs w:val="32"/>
        </w:rPr>
        <w:t>反映本部门当年全部收入。2019年预算收入15310.31万元，其中：一般公共预算收入15310.31万万元，基金预算收入0万元，财政专户核拨收入0万元，其他来源收入</w:t>
      </w:r>
      <w:r>
        <w:rPr>
          <w:rFonts w:hint="eastAsia" w:ascii="仿宋_GB2312" w:hAnsi="仿宋" w:eastAsia="仿宋_GB2312" w:cs="仿宋"/>
          <w:sz w:val="32"/>
          <w:szCs w:val="32"/>
          <w:lang w:val="en-US" w:eastAsia="zh-CN"/>
        </w:rPr>
        <w:t>0</w:t>
      </w:r>
      <w:r>
        <w:rPr>
          <w:rFonts w:hint="eastAsia" w:ascii="仿宋_GB2312" w:hAnsi="仿宋" w:eastAsia="仿宋_GB2312" w:cs="仿宋"/>
          <w:sz w:val="32"/>
          <w:szCs w:val="32"/>
        </w:rPr>
        <w:t>万元。</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2、支出说明</w:t>
      </w:r>
    </w:p>
    <w:p>
      <w:pPr>
        <w:ind w:firstLine="640" w:firstLineChars="200"/>
        <w:rPr>
          <w:rFonts w:ascii="仿宋_GB2312" w:hAnsi="宋体" w:eastAsia="仿宋_GB2312" w:cs="宋体"/>
          <w:kern w:val="0"/>
          <w:sz w:val="18"/>
          <w:szCs w:val="18"/>
        </w:rPr>
      </w:pPr>
      <w:r>
        <w:rPr>
          <w:rFonts w:hint="eastAsia" w:ascii="仿宋_GB2312" w:hAnsi="仿宋" w:eastAsia="仿宋_GB2312" w:cs="仿宋"/>
          <w:sz w:val="32"/>
          <w:szCs w:val="32"/>
        </w:rPr>
        <w:t>收支预算总表支出栏、基本支出表、项目支出表按经济分类和支出功能分类科目编制，反映鹿泉区公安局门预算中支出预算的总体情况。2019年支出预算15310.31万万元，其中基本支出11154.81</w:t>
      </w:r>
    </w:p>
    <w:p>
      <w:pPr>
        <w:rPr>
          <w:rFonts w:hint="eastAsia" w:ascii="仿宋_GB2312" w:hAnsi="仿宋" w:eastAsia="仿宋_GB2312" w:cs="仿宋"/>
          <w:sz w:val="32"/>
          <w:szCs w:val="32"/>
          <w:lang w:eastAsia="zh-CN"/>
        </w:rPr>
      </w:pPr>
      <w:r>
        <w:rPr>
          <w:rFonts w:hint="eastAsia" w:ascii="仿宋_GB2312" w:hAnsi="仿宋" w:eastAsia="仿宋_GB2312" w:cs="仿宋"/>
          <w:sz w:val="32"/>
          <w:szCs w:val="32"/>
        </w:rPr>
        <w:t>万元，包括人员经费7816.77万元和日常公用经费3338.04万元；项目支出4155.5万元</w:t>
      </w:r>
      <w:r>
        <w:rPr>
          <w:rFonts w:hint="eastAsia" w:ascii="仿宋_GB2312" w:hAnsi="仿宋" w:eastAsia="仿宋_GB2312" w:cs="仿宋"/>
          <w:sz w:val="32"/>
          <w:szCs w:val="32"/>
          <w:lang w:eastAsia="zh-CN"/>
        </w:rPr>
        <w:t>。</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3、比上年增减情况</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2019年预算收支安排15310.31万元，较2018年预算增加3617.58万元，其中：基本支出增加4530.8万元；项目支出减少913.22万元。</w:t>
      </w:r>
    </w:p>
    <w:p>
      <w:pPr>
        <w:autoSpaceDE w:val="0"/>
        <w:autoSpaceDN w:val="0"/>
        <w:adjustRightInd w:val="0"/>
        <w:ind w:left="198" w:firstLine="640" w:firstLineChars="200"/>
        <w:jc w:val="left"/>
        <w:rPr>
          <w:rFonts w:ascii="仿宋_GB2312" w:hAnsi="黑体" w:eastAsia="仿宋_GB2312" w:cs="Times New Roman"/>
          <w:sz w:val="32"/>
          <w:szCs w:val="32"/>
        </w:rPr>
      </w:pPr>
      <w:r>
        <w:rPr>
          <w:rFonts w:hint="eastAsia" w:ascii="仿宋_GB2312" w:hAnsi="黑体" w:eastAsia="仿宋_GB2312" w:cs="Times New Roman"/>
          <w:sz w:val="32"/>
          <w:szCs w:val="32"/>
        </w:rPr>
        <w:t>三、机关运行经费安排情况</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2019年，我</w:t>
      </w:r>
      <w:r>
        <w:rPr>
          <w:rFonts w:hint="eastAsia" w:ascii="仿宋_GB2312" w:hAnsi="仿宋" w:eastAsia="仿宋_GB2312" w:cs="仿宋"/>
          <w:sz w:val="32"/>
          <w:szCs w:val="32"/>
          <w:lang w:eastAsia="zh-CN"/>
        </w:rPr>
        <w:t>部门</w:t>
      </w:r>
      <w:r>
        <w:rPr>
          <w:rFonts w:hint="eastAsia" w:ascii="仿宋_GB2312" w:hAnsi="仿宋" w:eastAsia="仿宋_GB2312" w:cs="仿宋"/>
          <w:sz w:val="32"/>
          <w:szCs w:val="32"/>
        </w:rPr>
        <w:t>机关运行经费共计安排176.47万元，主要用于两个办公区的日常维修、办公用房水电费、办公用房取暖费、办公用房物业管理费等日常运行支出。</w:t>
      </w:r>
    </w:p>
    <w:p>
      <w:pPr>
        <w:autoSpaceDE w:val="0"/>
        <w:autoSpaceDN w:val="0"/>
        <w:adjustRightInd w:val="0"/>
        <w:ind w:left="198" w:firstLine="640" w:firstLineChars="200"/>
        <w:jc w:val="left"/>
        <w:rPr>
          <w:rFonts w:ascii="仿宋_GB2312" w:hAnsi="黑体" w:eastAsia="仿宋_GB2312" w:cs="Times New Roman"/>
          <w:sz w:val="32"/>
          <w:szCs w:val="32"/>
        </w:rPr>
      </w:pPr>
      <w:r>
        <w:rPr>
          <w:rFonts w:hint="eastAsia" w:ascii="仿宋_GB2312" w:hAnsi="黑体" w:eastAsia="仿宋_GB2312" w:cs="Times New Roman"/>
          <w:sz w:val="32"/>
          <w:szCs w:val="32"/>
        </w:rPr>
        <w:t>四、财政拨款“三公”经费预算情况及增减变化原因</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2019年，我</w:t>
      </w:r>
      <w:r>
        <w:rPr>
          <w:rFonts w:hint="eastAsia" w:ascii="仿宋_GB2312" w:hAnsi="仿宋" w:eastAsia="仿宋_GB2312" w:cs="仿宋"/>
          <w:sz w:val="32"/>
          <w:szCs w:val="32"/>
          <w:lang w:eastAsia="zh-CN"/>
        </w:rPr>
        <w:t>部门</w:t>
      </w:r>
      <w:r>
        <w:rPr>
          <w:rFonts w:hint="eastAsia" w:ascii="仿宋_GB2312" w:hAnsi="仿宋" w:eastAsia="仿宋_GB2312" w:cs="仿宋"/>
          <w:sz w:val="32"/>
          <w:szCs w:val="32"/>
        </w:rPr>
        <w:t>财政拨款“三公”经费预算安排363.9万元，其中因公出国（境）费0万元；公务用车购置及运维费360.9万元（其中：公务用车购置费为72万元，公务用车运维费288.9万元)；公务接待费3万元。与2018年相比增加228.6</w:t>
      </w:r>
      <w:r>
        <w:rPr>
          <w:rFonts w:hint="eastAsia" w:ascii="仿宋_GB2312" w:hAnsi="仿宋" w:eastAsia="仿宋_GB2312" w:cs="仿宋"/>
          <w:sz w:val="32"/>
          <w:szCs w:val="32"/>
          <w:lang w:eastAsia="zh-CN"/>
        </w:rPr>
        <w:t>万元</w:t>
      </w:r>
      <w:r>
        <w:rPr>
          <w:rFonts w:hint="eastAsia" w:ascii="仿宋_GB2312" w:hAnsi="仿宋" w:eastAsia="仿宋_GB2312" w:cs="仿宋"/>
          <w:sz w:val="32"/>
          <w:szCs w:val="32"/>
        </w:rPr>
        <w:t>。增加</w:t>
      </w:r>
      <w:r>
        <w:rPr>
          <w:rFonts w:hint="eastAsia" w:ascii="仿宋_GB2312" w:hAnsi="仿宋" w:eastAsia="仿宋_GB2312" w:cs="仿宋"/>
          <w:sz w:val="32"/>
          <w:szCs w:val="32"/>
          <w:lang w:eastAsia="zh-CN"/>
        </w:rPr>
        <w:t>的主要</w:t>
      </w:r>
      <w:r>
        <w:rPr>
          <w:rFonts w:hint="eastAsia" w:ascii="仿宋_GB2312" w:hAnsi="仿宋" w:eastAsia="仿宋_GB2312" w:cs="仿宋"/>
          <w:sz w:val="32"/>
          <w:szCs w:val="32"/>
        </w:rPr>
        <w:t>原因为公务用车运维费标准提高，增加公务用车购置费。</w:t>
      </w:r>
    </w:p>
    <w:p>
      <w:pPr>
        <w:numPr>
          <w:ilvl w:val="0"/>
          <w:numId w:val="1"/>
        </w:numPr>
        <w:ind w:firstLine="320" w:firstLineChars="100"/>
        <w:rPr>
          <w:rFonts w:hint="eastAsia" w:ascii="仿宋_GB2312" w:hAnsi="黑体" w:eastAsia="仿宋_GB2312" w:cs="Times New Roman"/>
          <w:b w:val="0"/>
          <w:bCs w:val="0"/>
          <w:sz w:val="32"/>
          <w:szCs w:val="32"/>
        </w:rPr>
      </w:pPr>
      <w:r>
        <w:rPr>
          <w:rFonts w:hint="eastAsia" w:ascii="仿宋_GB2312" w:hAnsi="黑体" w:eastAsia="仿宋_GB2312" w:cs="Times New Roman"/>
          <w:b w:val="0"/>
          <w:bCs w:val="0"/>
          <w:sz w:val="32"/>
          <w:szCs w:val="32"/>
        </w:rPr>
        <w:t>绩效预算信息</w:t>
      </w:r>
    </w:p>
    <w:p>
      <w:pPr>
        <w:jc w:val="center"/>
        <w:outlineLvl w:val="0"/>
        <w:rPr>
          <w:rFonts w:hint="eastAsia" w:ascii="仿宋_GB2312" w:hAnsi="黑体" w:eastAsia="仿宋_GB2312" w:cs="Times New Roman"/>
          <w:b w:val="0"/>
          <w:bCs w:val="0"/>
          <w:sz w:val="32"/>
          <w:szCs w:val="32"/>
        </w:rPr>
      </w:pPr>
      <w:r>
        <w:rPr>
          <w:rFonts w:hint="eastAsia" w:ascii="方正小标宋_GBK" w:eastAsia="方正小标宋_GBK"/>
          <w:sz w:val="44"/>
          <w:lang w:eastAsia="zh-CN"/>
        </w:rPr>
        <w:t>第一部分</w:t>
      </w:r>
      <w:r>
        <w:rPr>
          <w:rFonts w:hint="eastAsia" w:ascii="方正小标宋_GBK" w:eastAsia="方正小标宋_GBK"/>
          <w:sz w:val="44"/>
          <w:lang w:val="en-US" w:eastAsia="zh-CN"/>
        </w:rPr>
        <w:t xml:space="preserve"> </w:t>
      </w:r>
      <w:r>
        <w:rPr>
          <w:rFonts w:hint="eastAsia" w:ascii="方正小标宋_GBK" w:eastAsia="方正小标宋_GBK"/>
          <w:sz w:val="44"/>
        </w:rPr>
        <w:t>部门整体绩效目标</w:t>
      </w:r>
    </w:p>
    <w:p>
      <w:pPr>
        <w:ind w:firstLine="643" w:firstLineChars="200"/>
        <w:jc w:val="left"/>
        <w:rPr>
          <w:rFonts w:ascii="仿宋_GB2312" w:hAnsi="Times New Roman" w:eastAsia="仿宋_GB2312" w:cs="Times New Roman"/>
          <w:b/>
          <w:sz w:val="32"/>
          <w:szCs w:val="32"/>
        </w:rPr>
      </w:pPr>
      <w:bookmarkStart w:id="0" w:name="_Toc471398463"/>
      <w:r>
        <w:rPr>
          <w:rFonts w:hint="eastAsia" w:ascii="仿宋_GB2312" w:hAnsi="Times New Roman" w:eastAsia="仿宋_GB2312" w:cs="Times New Roman"/>
          <w:b/>
          <w:sz w:val="32"/>
          <w:szCs w:val="32"/>
        </w:rPr>
        <w:t>总体绩效目标：</w:t>
      </w:r>
    </w:p>
    <w:p>
      <w:pPr>
        <w:ind w:firstLine="640" w:firstLineChars="200"/>
        <w:jc w:val="left"/>
        <w:rPr>
          <w:rFonts w:ascii="仿宋_GB2312" w:eastAsia="仿宋_GB2312" w:hAnsiTheme="minorEastAsia"/>
          <w:sz w:val="32"/>
          <w:szCs w:val="32"/>
        </w:rPr>
      </w:pPr>
      <w:r>
        <w:rPr>
          <w:rFonts w:hint="eastAsia" w:ascii="仿宋_GB2312" w:eastAsia="仿宋_GB2312" w:hAnsiTheme="minorEastAsia"/>
          <w:sz w:val="32"/>
          <w:szCs w:val="32"/>
        </w:rPr>
        <w:t>1、负责维护国家安全，预防打击危害国家安全和全省社会稳定的案件及事件。</w:t>
      </w:r>
    </w:p>
    <w:p>
      <w:pPr>
        <w:ind w:firstLine="640" w:firstLineChars="200"/>
        <w:jc w:val="left"/>
        <w:rPr>
          <w:rFonts w:hint="eastAsia" w:ascii="仿宋_GB2312" w:eastAsia="仿宋_GB2312" w:hAnsiTheme="minorEastAsia"/>
          <w:sz w:val="32"/>
          <w:szCs w:val="32"/>
          <w:lang w:eastAsia="zh-CN"/>
        </w:rPr>
      </w:pPr>
      <w:r>
        <w:rPr>
          <w:rFonts w:hint="eastAsia" w:ascii="仿宋_GB2312" w:eastAsia="仿宋_GB2312" w:hAnsiTheme="minorEastAsia"/>
          <w:sz w:val="32"/>
          <w:szCs w:val="32"/>
        </w:rPr>
        <w:t>2、负责打击防范违法犯罪，负责各类刑事案件、经济犯罪案件、毒品犯罪案件、网络犯罪案件的侦查工作，协助侦办重特大案件；负责食品药品安全、环境安全保卫工作。降低案件发案率，提高案件侦破率</w:t>
      </w:r>
      <w:r>
        <w:rPr>
          <w:rFonts w:hint="eastAsia" w:ascii="仿宋_GB2312" w:eastAsia="仿宋_GB2312" w:hAnsiTheme="minorEastAsia"/>
          <w:sz w:val="32"/>
          <w:szCs w:val="32"/>
          <w:lang w:eastAsia="zh-CN"/>
        </w:rPr>
        <w:t>。</w:t>
      </w:r>
    </w:p>
    <w:p>
      <w:pPr>
        <w:ind w:firstLine="640" w:firstLineChars="200"/>
        <w:jc w:val="left"/>
        <w:rPr>
          <w:rFonts w:ascii="仿宋_GB2312" w:eastAsia="仿宋_GB2312" w:hAnsiTheme="minorEastAsia"/>
          <w:sz w:val="32"/>
          <w:szCs w:val="32"/>
        </w:rPr>
      </w:pPr>
      <w:r>
        <w:rPr>
          <w:rFonts w:hint="eastAsia" w:ascii="仿宋_GB2312" w:eastAsia="仿宋_GB2312" w:hAnsiTheme="minorEastAsia"/>
          <w:sz w:val="32"/>
          <w:szCs w:val="32"/>
        </w:rPr>
        <w:t>3、负责社会面防控，维护社会稳定，提高群众安全感和满意度。强化人口及户籍管理；掌握全</w:t>
      </w:r>
      <w:r>
        <w:rPr>
          <w:rFonts w:hint="eastAsia" w:ascii="仿宋_GB2312" w:eastAsia="仿宋_GB2312" w:hAnsiTheme="minorEastAsia"/>
          <w:sz w:val="32"/>
          <w:szCs w:val="32"/>
          <w:lang w:eastAsia="zh-CN"/>
        </w:rPr>
        <w:t>区</w:t>
      </w:r>
      <w:r>
        <w:rPr>
          <w:rFonts w:hint="eastAsia" w:ascii="仿宋_GB2312" w:eastAsia="仿宋_GB2312" w:hAnsiTheme="minorEastAsia"/>
          <w:sz w:val="32"/>
          <w:szCs w:val="32"/>
        </w:rPr>
        <w:t>治安形势，指导、协调重大突发事件处置和大型活动安保；管理全</w:t>
      </w:r>
      <w:r>
        <w:rPr>
          <w:rFonts w:hint="eastAsia" w:ascii="仿宋_GB2312" w:eastAsia="仿宋_GB2312" w:hAnsiTheme="minorEastAsia"/>
          <w:sz w:val="32"/>
          <w:szCs w:val="32"/>
          <w:lang w:eastAsia="zh-CN"/>
        </w:rPr>
        <w:t>区</w:t>
      </w:r>
      <w:r>
        <w:rPr>
          <w:rFonts w:hint="eastAsia" w:ascii="仿宋_GB2312" w:eastAsia="仿宋_GB2312" w:hAnsiTheme="minorEastAsia"/>
          <w:sz w:val="32"/>
          <w:szCs w:val="32"/>
        </w:rPr>
        <w:t>出入境管理工作。</w:t>
      </w:r>
    </w:p>
    <w:p>
      <w:pPr>
        <w:ind w:firstLine="643" w:firstLineChars="200"/>
        <w:jc w:val="left"/>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职责分类绩效目标：</w:t>
      </w:r>
    </w:p>
    <w:p>
      <w:pPr>
        <w:ind w:firstLine="640" w:firstLineChars="200"/>
        <w:jc w:val="left"/>
        <w:rPr>
          <w:rFonts w:ascii="仿宋_GB2312" w:hAnsi="宋体" w:eastAsia="仿宋_GB2312"/>
          <w:sz w:val="32"/>
          <w:szCs w:val="32"/>
        </w:rPr>
      </w:pPr>
      <w:r>
        <w:rPr>
          <w:rFonts w:hint="eastAsia" w:ascii="仿宋_GB2312" w:hAnsi="宋体" w:eastAsia="仿宋_GB2312"/>
          <w:sz w:val="32"/>
          <w:szCs w:val="32"/>
          <w:lang w:val="en-US" w:eastAsia="zh-CN"/>
        </w:rPr>
        <w:t>1</w:t>
      </w:r>
      <w:r>
        <w:rPr>
          <w:rFonts w:hint="eastAsia" w:ascii="仿宋_GB2312" w:hAnsi="宋体" w:eastAsia="仿宋_GB2312"/>
          <w:sz w:val="32"/>
          <w:szCs w:val="32"/>
        </w:rPr>
        <w:t>、负责实施公安信息技术、刑事科学技术手段建设。提高科学技术水平，为公安机关开展业务工作提供技术支持。</w:t>
      </w:r>
    </w:p>
    <w:p>
      <w:pPr>
        <w:ind w:firstLine="640" w:firstLineChars="200"/>
        <w:jc w:val="left"/>
        <w:outlineLvl w:val="0"/>
        <w:rPr>
          <w:rFonts w:hint="eastAsia" w:ascii="仿宋_GB2312" w:hAnsi="宋体" w:eastAsia="仿宋_GB2312"/>
          <w:sz w:val="32"/>
          <w:szCs w:val="32"/>
          <w:lang w:eastAsia="zh-CN"/>
        </w:rPr>
      </w:pPr>
      <w:r>
        <w:rPr>
          <w:rFonts w:hint="eastAsia" w:ascii="仿宋_GB2312" w:hAnsi="宋体" w:eastAsia="仿宋_GB2312"/>
          <w:sz w:val="32"/>
          <w:szCs w:val="32"/>
          <w:lang w:val="en-US" w:eastAsia="zh-CN"/>
        </w:rPr>
        <w:t>2</w:t>
      </w:r>
      <w:r>
        <w:rPr>
          <w:rFonts w:hint="eastAsia" w:ascii="仿宋_GB2312" w:hAnsi="宋体" w:eastAsia="仿宋_GB2312"/>
          <w:sz w:val="32"/>
          <w:szCs w:val="32"/>
        </w:rPr>
        <w:t>、负责承担系统综合业务管理和机关综合事务管理。确保机关正常运转，各项业务顺利推进</w:t>
      </w:r>
      <w:r>
        <w:rPr>
          <w:rFonts w:hint="eastAsia" w:ascii="仿宋_GB2312" w:hAnsi="宋体" w:eastAsia="仿宋_GB2312"/>
          <w:sz w:val="32"/>
          <w:szCs w:val="32"/>
          <w:lang w:eastAsia="zh-CN"/>
        </w:rPr>
        <w:t>。</w:t>
      </w:r>
    </w:p>
    <w:p>
      <w:pPr>
        <w:spacing w:line="500" w:lineRule="exact"/>
        <w:ind w:firstLine="904" w:firstLineChars="300"/>
        <w:jc w:val="left"/>
        <w:rPr>
          <w:rFonts w:hint="eastAsia" w:ascii="仿宋" w:hAnsi="仿宋" w:eastAsia="仿宋" w:cs="仿宋"/>
          <w:b/>
          <w:bCs/>
          <w:sz w:val="30"/>
          <w:szCs w:val="30"/>
          <w:lang w:eastAsia="zh-CN"/>
        </w:rPr>
      </w:pPr>
      <w:r>
        <w:rPr>
          <w:rFonts w:hint="eastAsia" w:ascii="仿宋" w:hAnsi="仿宋" w:eastAsia="仿宋" w:cs="仿宋"/>
          <w:b/>
          <w:bCs/>
          <w:sz w:val="30"/>
          <w:szCs w:val="30"/>
        </w:rPr>
        <w:t>工作保障措施</w:t>
      </w:r>
      <w:r>
        <w:rPr>
          <w:rFonts w:hint="eastAsia" w:ascii="仿宋" w:hAnsi="仿宋" w:eastAsia="仿宋" w:cs="仿宋"/>
          <w:b/>
          <w:bCs/>
          <w:sz w:val="30"/>
          <w:szCs w:val="30"/>
          <w:lang w:eastAsia="zh-CN"/>
        </w:rPr>
        <w:t>：</w:t>
      </w:r>
    </w:p>
    <w:p>
      <w:pPr>
        <w:ind w:firstLine="640" w:firstLineChars="200"/>
        <w:jc w:val="left"/>
        <w:rPr>
          <w:rFonts w:hint="eastAsia" w:ascii="仿宋_GB2312" w:hAnsi="宋体" w:eastAsia="仿宋_GB2312"/>
          <w:sz w:val="32"/>
          <w:szCs w:val="32"/>
        </w:rPr>
      </w:pPr>
      <w:r>
        <w:rPr>
          <w:rFonts w:hint="eastAsia" w:ascii="仿宋_GB2312" w:hAnsi="宋体" w:eastAsia="仿宋_GB2312"/>
          <w:sz w:val="32"/>
          <w:szCs w:val="32"/>
        </w:rPr>
        <w:t>实现本年度发展规划目标的保障措施</w:t>
      </w:r>
    </w:p>
    <w:p>
      <w:pPr>
        <w:ind w:firstLine="640" w:firstLineChars="200"/>
        <w:jc w:val="left"/>
        <w:rPr>
          <w:rFonts w:hint="eastAsia" w:ascii="方正小标宋_GBK" w:eastAsia="方正小标宋_GBK"/>
          <w:sz w:val="44"/>
          <w:lang w:eastAsia="zh-CN"/>
        </w:rPr>
      </w:pPr>
      <w:r>
        <w:rPr>
          <w:rFonts w:hint="eastAsia" w:ascii="仿宋_GB2312" w:hAnsi="宋体" w:eastAsia="仿宋_GB2312"/>
          <w:sz w:val="32"/>
          <w:szCs w:val="32"/>
        </w:rPr>
        <w:t>建立情报引领、防患未然的维稳工作体系，维护全区社会稳定；建立痞霸必惩、民怨必清的严打整治体系，把握人民群众对公安工作的新期待和新要求；建立点面结合、网格覆盖的立体防控体系，进一步提升人民群众的安全感；建立公平公正、科学有序的规范化执法体系，提升保障公共安全和危机管控能力；建立教育入心、监督有力的公安队伍管理体系，始终保持健康向上的队伍活力。</w:t>
      </w:r>
    </w:p>
    <w:p>
      <w:pPr>
        <w:jc w:val="both"/>
        <w:outlineLvl w:val="0"/>
        <w:rPr>
          <w:rFonts w:hint="eastAsia" w:ascii="方正小标宋_GBK" w:eastAsia="方正小标宋_GBK"/>
          <w:sz w:val="44"/>
          <w:lang w:eastAsia="zh-CN"/>
        </w:rPr>
      </w:pPr>
    </w:p>
    <w:p>
      <w:pPr>
        <w:jc w:val="both"/>
        <w:outlineLvl w:val="0"/>
        <w:rPr>
          <w:rFonts w:hint="eastAsia" w:ascii="方正小标宋_GBK" w:eastAsia="方正小标宋_GBK"/>
          <w:sz w:val="44"/>
          <w:lang w:eastAsia="zh-CN"/>
        </w:rPr>
      </w:pPr>
    </w:p>
    <w:p>
      <w:pPr>
        <w:numPr>
          <w:ilvl w:val="0"/>
          <w:numId w:val="0"/>
        </w:numPr>
        <w:jc w:val="center"/>
        <w:outlineLvl w:val="0"/>
        <w:rPr>
          <w:rFonts w:hint="eastAsia" w:ascii="方正小标宋_GBK" w:eastAsia="方正小标宋_GBK"/>
          <w:sz w:val="32"/>
        </w:rPr>
      </w:pPr>
      <w:r>
        <w:rPr>
          <w:rFonts w:hint="eastAsia" w:ascii="方正小标宋_GBK" w:eastAsia="方正小标宋_GBK"/>
          <w:sz w:val="44"/>
          <w:lang w:eastAsia="zh-CN"/>
        </w:rPr>
        <w:t>第二部分</w:t>
      </w:r>
      <w:r>
        <w:rPr>
          <w:rFonts w:hint="eastAsia" w:ascii="方正小标宋_GBK" w:eastAsia="方正小标宋_GBK"/>
          <w:sz w:val="44"/>
          <w:lang w:val="en-US" w:eastAsia="zh-CN"/>
        </w:rPr>
        <w:t xml:space="preserve"> </w:t>
      </w:r>
      <w:r>
        <w:rPr>
          <w:rFonts w:hint="eastAsia" w:ascii="方正小标宋_GBK" w:eastAsia="方正小标宋_GBK"/>
          <w:sz w:val="44"/>
        </w:rPr>
        <w:t>部门</w:t>
      </w:r>
      <w:r>
        <w:rPr>
          <w:rFonts w:hint="eastAsia" w:ascii="方正小标宋_GBK" w:eastAsia="方正小标宋_GBK"/>
          <w:sz w:val="44"/>
          <w:lang w:eastAsia="zh-CN"/>
        </w:rPr>
        <w:t>职责</w:t>
      </w:r>
      <w:r>
        <w:rPr>
          <w:rFonts w:hint="eastAsia" w:ascii="方正小标宋_GBK" w:eastAsia="方正小标宋_GBK"/>
          <w:sz w:val="44"/>
          <w:lang w:val="en-US" w:eastAsia="zh-CN"/>
        </w:rPr>
        <w:t>-工作活动</w:t>
      </w:r>
      <w:r>
        <w:rPr>
          <w:rFonts w:hint="eastAsia" w:ascii="方正小标宋_GBK" w:eastAsia="方正小标宋_GBK"/>
          <w:sz w:val="44"/>
        </w:rPr>
        <w:t>绩效目标</w:t>
      </w:r>
      <w:bookmarkEnd w:id="0"/>
      <w:bookmarkStart w:id="1" w:name="_Toc2503307"/>
    </w:p>
    <w:p>
      <w:pPr>
        <w:jc w:val="center"/>
        <w:outlineLvl w:val="0"/>
        <w:rPr>
          <w:rFonts w:hint="eastAsia" w:ascii="方正小标宋_GBK" w:eastAsia="方正小标宋_GBK"/>
          <w:sz w:val="32"/>
        </w:rPr>
      </w:pPr>
    </w:p>
    <w:p>
      <w:pPr>
        <w:jc w:val="center"/>
        <w:outlineLvl w:val="0"/>
        <w:rPr>
          <w:rFonts w:ascii="方正小标宋_GBK" w:eastAsia="方正小标宋_GBK"/>
          <w:color w:val="FFFFFF"/>
          <w:sz w:val="32"/>
        </w:rPr>
      </w:pPr>
      <w:r>
        <w:rPr>
          <w:rFonts w:hint="eastAsia" w:ascii="方正小标宋_GBK" w:eastAsia="方正小标宋_GBK"/>
          <w:sz w:val="32"/>
        </w:rPr>
        <w:t>部门职责-工作活动绩效目标</w:t>
      </w:r>
      <w:r>
        <w:rPr>
          <w:rStyle w:val="12"/>
          <w:rFonts w:ascii="方正小标宋_GBK" w:eastAsia="方正小标宋_GBK"/>
          <w:color w:val="FFFFFF"/>
          <w:sz w:val="32"/>
        </w:rPr>
        <w:footnoteReference w:id="0" w:customMarkFollows="1"/>
        <w:sym w:font="Symbol" w:char="F020"/>
      </w:r>
    </w:p>
    <w:tbl>
      <w:tblPr>
        <w:tblStyle w:val="8"/>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312</w:t>
            </w:r>
            <w:r>
              <w:rPr>
                <w:rFonts w:hint="eastAsia" w:ascii="方正小标宋_GBK" w:eastAsia="方正小标宋_GBK"/>
                <w:sz w:val="24"/>
              </w:rPr>
              <w:t>石家庄市鹿泉区公安局</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一、维护国家安全</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预防打击危害国家安全和全区社会稳定的案件及事件。</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维护国家安全</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二、打击防范违法犯罪</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负责各类刑事案件、经济犯罪案件、毒品犯罪案件、网络犯罪案件的侦查工作，协助侦办重特大案件；负责食品药品安全、环境安全保卫工作。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降低案件发案率，提高案件侦破率。</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、大要案侦查</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协助开展暴力犯罪案件、文物走私案件、多发性侵财案件和其他刑事案件的侦破。</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提高重特大案件组织、指挥力度，提高破案率</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重特大命案协助率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重特大暴力犯罪案件协助率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重特大侵财案件协助率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重特大涉枪犯罪案件协助率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信息化破案率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重特大拐卖犯罪案件协助率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、有组织犯罪侦查</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负责全区</w:t>
            </w:r>
            <w:r>
              <w:rPr>
                <w:rFonts w:hint="eastAsia" w:ascii="方正书宋_GBK" w:eastAsia="方正书宋_GBK"/>
                <w:lang w:eastAsia="zh-CN"/>
              </w:rPr>
              <w:t>扫</w:t>
            </w:r>
            <w:r>
              <w:rPr>
                <w:rFonts w:hint="eastAsia" w:ascii="方正书宋_GBK" w:eastAsia="方正书宋_GBK"/>
              </w:rPr>
              <w:t>黑除恶工作，侦办黑社会性质组织案件和恶势力团伙案件；侦办新型犯罪案件。</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黑恶犯罪及新型犯罪得到有效打击</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上级公安机关批办及部督、省督新型犯罪线索、案件结案（破案）率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上级公安机关批办及部督、省督禁毒案件犯罪线索、案件结案（破案）率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上级公安机关批办及部督、省督黑恶线索、案件结案（破案）率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、专项犯罪侦查</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负责全区重大经济犯罪案、毒品违法犯罪案、网络违法犯罪案、食品药品安全犯罪案、环境安全犯罪案的侦查工作，协助侦办重特大案件。</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各类犯罪得到有效防范和控制。</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吸毒人员管控比率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吸毒人员查处率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一案缴获涉案毒品数量</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克</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克</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克</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w:t>
            </w:r>
            <w:r>
              <w:rPr>
                <w:rFonts w:hint="eastAsia" w:ascii="方正书宋_GBK" w:eastAsia="方正书宋_GBK"/>
              </w:rPr>
              <w:t>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一案抓获犯罪嫌疑人数量</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人</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人</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人</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&lt;1</w:t>
            </w:r>
            <w:r>
              <w:rPr>
                <w:rFonts w:hint="eastAsia" w:ascii="方正书宋_GBK" w:eastAsia="方正书宋_GBK"/>
              </w:rPr>
              <w:t>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上级公安机关批办和部督、省督案件结（破）案率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食品药品企业满意度</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三、社会面防控</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2550.58</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维护社会稳定，提高群众安全感和满意度。</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强化人口及户籍管理；掌握全区治安形势，指导、协调重大突发事件处置和大型活动安保；管理全区出入境管理工作。</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、人口及户籍管理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16.00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对常住、暂住、重点人口和出租房屋进行治安管理；全区居民提供身份证、</w:t>
            </w:r>
            <w:r>
              <w:rPr>
                <w:rFonts w:hint="eastAsia" w:ascii="方正书宋_GBK" w:eastAsia="方正书宋_GBK"/>
                <w:lang w:eastAsia="zh-CN"/>
              </w:rPr>
              <w:t>户口簿</w:t>
            </w:r>
            <w:r>
              <w:rPr>
                <w:rFonts w:hint="eastAsia" w:ascii="方正书宋_GBK" w:eastAsia="方正书宋_GBK"/>
              </w:rPr>
              <w:t>、准迁证、迁移证等特种证件的发放、存储等管理工作。</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通过信息采集、登记等手段，加强对常住、暂住、重点人口和出租房屋的管理，掌握底数和变化情况；有效保障全县居民对居民身份证等证件业务办理和持有需求。</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重点人口管控率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居民持证率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96%</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暂住人口登记信息准确率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户口登记项目准确率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、治安管理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2534.58</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全区派出所规范化建设，对全区内部单位、行业场所、金融、保安、枪械、危爆物品等进行管理，负责全区治安案件查处。对区内集会、游行、示威实施审批；不断完善各类防暴处突应急预案；组织、指导、协调、参与重大突发事件处置和大型活动安保工作</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治安管理的科技化、信息化水平和查控能力；提高内部单位整体防控能力，确保全县民生基础设施平稳运行；规范全县保安服务市场；掌握全县治安形势，指导治安防范和管理，实现平安创建工作目标；减少涉及枪械及危险、爆炸物品的案事件发生，保障合法行业生产经营；突发事件得到及时处置，大型活动成功举办。</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群众安全感满意度</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枪爆案件的破案率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黄赌、盗采、制假售假等犯罪破案率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枪支弹药、民用爆炸物品管控率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群体性事件成功处置率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大型群众性活动安全举办率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、出入境及外国人管理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负责全区公安机关出入境管理工作，管理全区公民非公务活动出境和来我区境外人员，依法侦办和查处涉外案（事）件；负责全区出入境证件的管理工作。</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认真执行公安部相关规定部署，避免发生骗领证件、限制出境人员漏控、中介机构超范围经营等问题；为来县境外人员提供必要的服务工作，不发生因服务不到位而引发的投诉、炒作等问题；对来县的境外人员进行日常管理，做到</w:t>
            </w:r>
            <w:r>
              <w:rPr>
                <w:rFonts w:hint="cs" w:ascii="方正书宋_GBK" w:eastAsia="方正书宋_GBK"/>
              </w:rPr>
              <w:t>“</w:t>
            </w:r>
            <w:r>
              <w:rPr>
                <w:rFonts w:hint="eastAsia" w:ascii="方正书宋_GBK" w:eastAsia="方正书宋_GBK"/>
              </w:rPr>
              <w:t>底数清、情况明</w:t>
            </w:r>
            <w:r>
              <w:rPr>
                <w:rFonts w:hint="cs" w:ascii="方正书宋_GBK" w:eastAsia="方正书宋_GBK"/>
              </w:rPr>
              <w:t>”</w:t>
            </w:r>
            <w:r>
              <w:rPr>
                <w:rFonts w:hint="eastAsia" w:ascii="方正书宋_GBK" w:eastAsia="方正书宋_GBK"/>
              </w:rPr>
              <w:t>；按照上级公安机关的管理规范要求管理证件。</w:t>
            </w:r>
          </w:p>
        </w:tc>
        <w:tc>
          <w:tcPr>
            <w:tcW w:w="1417" w:type="dxa"/>
            <w:shd w:val="clear" w:color="auto" w:fill="auto"/>
            <w:vAlign w:val="center"/>
          </w:tcPr>
          <w:p>
            <w:pPr>
              <w:spacing w:line="300" w:lineRule="exact"/>
              <w:jc w:val="left"/>
              <w:rPr>
                <w:rFonts w:hint="eastAsia" w:ascii="方正书宋_GBK" w:eastAsia="方正书宋_GBK"/>
              </w:rPr>
            </w:pPr>
            <w:r>
              <w:rPr>
                <w:rFonts w:hint="cs" w:ascii="方正书宋_GBK" w:eastAsia="方正书宋_GBK"/>
              </w:rPr>
              <w:t>“</w:t>
            </w:r>
            <w:r>
              <w:rPr>
                <w:rFonts w:hint="eastAsia" w:ascii="方正书宋_GBK" w:eastAsia="方正书宋_GBK"/>
              </w:rPr>
              <w:t>三非</w:t>
            </w:r>
            <w:r>
              <w:rPr>
                <w:rFonts w:hint="cs" w:ascii="方正书宋_GBK" w:eastAsia="方正书宋_GBK"/>
              </w:rPr>
              <w:t>”</w:t>
            </w:r>
            <w:r>
              <w:rPr>
                <w:rFonts w:hint="eastAsia" w:ascii="方正书宋_GBK" w:eastAsia="方正书宋_GBK"/>
              </w:rPr>
              <w:t>外国人查办率</w:t>
            </w:r>
            <w:r>
              <w:rPr>
                <w:rFonts w:ascii="方正书宋_GBK" w:eastAsia="方正书宋_GBK"/>
              </w:rPr>
              <w:t>(%)</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cs" w:ascii="方正书宋_GBK" w:eastAsia="方正书宋_GBK"/>
              </w:rPr>
            </w:pPr>
            <w:r>
              <w:rPr>
                <w:rFonts w:hint="eastAsia" w:ascii="方正书宋_GBK" w:eastAsia="方正书宋_GBK"/>
              </w:rPr>
              <w:t>出国（境）人员身份核查准确率</w:t>
            </w:r>
            <w:r>
              <w:rPr>
                <w:rFonts w:ascii="方正书宋_GBK" w:eastAsia="方正书宋_GBK"/>
              </w:rPr>
              <w:t>(%)</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骗取出国（境）证件查办率</w:t>
            </w:r>
            <w:r>
              <w:rPr>
                <w:rFonts w:ascii="方正书宋_GBK" w:eastAsia="方正书宋_GBK"/>
              </w:rPr>
              <w:t>(%)</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lang w:eastAsia="zh-CN"/>
              </w:rPr>
              <w:t>四</w:t>
            </w:r>
            <w:r>
              <w:rPr>
                <w:rFonts w:hint="eastAsia" w:ascii="方正书宋_GBK" w:eastAsia="方正书宋_GBK"/>
                <w:b/>
              </w:rPr>
              <w:t>、公安科学技术建设</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负责实施公安信息技术、刑事科学技术手段建设。</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提高科学技术水平，为公安机关开展业务工作提供技术支持。</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、公安信息化建设</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实施全区公安科学技术、信息化建设，实施全区公安科技管理、安全技术防范管理及公共安全视频监控管理；负责全区公安信息通信网络运行维护、安全监测和管理；实施重大警务活动和处置突发事件信通保障。</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提高公安科技信息化建设水平，为公安工作提供科技支撑和信息技术保障。</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公安业务信息化保障程度</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路面动态防控工作计划完成率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通信系统正常率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lang w:eastAsia="zh-CN"/>
              </w:rPr>
              <w:t>五</w:t>
            </w:r>
            <w:r>
              <w:rPr>
                <w:rFonts w:hint="eastAsia" w:ascii="方正书宋_GBK" w:eastAsia="方正书宋_GBK"/>
                <w:b/>
              </w:rPr>
              <w:t>、公安政务管理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承担系统综合业务管理和机关综合事务管理。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确保机关正常运转，各项业务顺利推进，适应发展需要。</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指导、监督全区公安机关执法活动；制定规范性文件；开展到上级非正常访的情报收集、现场处置、固定证据、教育训诫和依法打击工作；协助各级领导指挥、处置突发事件和重大案事件；接报、掌握、处理重大信息；管理、指导全区公安情报信息工作；情报信息收集、研判；情报信息研判成果的交流互通；情报平台建设；公安系统业务统计。</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法规范化水平不断提高；健全扁平化指挥机制，提高紧急警务的处置和日常办公的工作效率；我县到上级非访总量下降，不发生重大政治事件；为推进情报主导警务战略，实施精确打击，提供支持；提升资金使用的合法性、规范性和效益型。</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重大紧急信息收集、报送率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信访案件办结率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公安机关治安防范控制和社会管理服务能力提升率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公安指挥中心辅助领导决策能力提升率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平台红色预警抓获逃犯率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指挥调度手段参与率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到上级非正常上访处置数量</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随长作战参与率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有价值情报提升率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全区公安队伍和政法干警正规化、职业化建设以及公安宣传、教育训练等思想政治工作；按照规定权限管理公安干部；开展优抚表彰；指导全区公安机关财务及经费等保障工作；负责全区公安机关装备、被装配备管理；负责公安业务用房建设及维护，信息化运维、公安通信勤务保障、档案管理、科研等。</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安队伍正规化、职业化水平不断提高；装备、被装配备符合上级公安机关标准，业务用房建设符合上级公安机关要求并通过验收，保证业务用房正常运行，保证其他公安业务顺利进行；全县公安队伍整体战斗力得到有效提升，有力支撑公安工作和队伍建设科学发展。</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综合事务工作完成率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bl>
    <w:p>
      <w:pPr>
        <w:spacing w:line="300" w:lineRule="exact"/>
        <w:jc w:val="left"/>
        <w:outlineLvl w:val="0"/>
        <w:sectPr>
          <w:pgSz w:w="16839" w:h="11907" w:orient="landscape"/>
          <w:pgMar w:top="1020" w:right="1361" w:bottom="1020" w:left="1361" w:header="851" w:footer="992" w:gutter="0"/>
          <w:cols w:space="425" w:num="1"/>
          <w:docGrid w:type="lines" w:linePitch="312" w:charSpace="0"/>
        </w:sectPr>
      </w:pPr>
    </w:p>
    <w:bookmarkEnd w:id="1"/>
    <w:p>
      <w:pPr>
        <w:jc w:val="left"/>
        <w:outlineLvl w:val="0"/>
        <w:rPr>
          <w:rFonts w:hint="eastAsia" w:ascii="仿宋_GB2312" w:hAnsi="宋体" w:eastAsia="仿宋_GB2312"/>
          <w:sz w:val="32"/>
          <w:szCs w:val="32"/>
        </w:rPr>
      </w:pPr>
      <w:r>
        <w:rPr>
          <w:rFonts w:hint="eastAsia" w:ascii="仿宋_GB2312" w:hAnsi="宋体" w:eastAsia="仿宋_GB2312"/>
          <w:sz w:val="32"/>
          <w:szCs w:val="32"/>
          <w:lang w:eastAsia="zh-CN"/>
        </w:rPr>
        <w:t>六、</w:t>
      </w:r>
      <w:r>
        <w:rPr>
          <w:rFonts w:hint="eastAsia" w:ascii="仿宋_GB2312" w:hAnsi="宋体" w:eastAsia="仿宋_GB2312"/>
          <w:sz w:val="32"/>
          <w:szCs w:val="32"/>
        </w:rPr>
        <w:t>政府采购预算情况</w:t>
      </w:r>
    </w:p>
    <w:p>
      <w:pPr>
        <w:numPr>
          <w:ilvl w:val="0"/>
          <w:numId w:val="0"/>
        </w:numPr>
        <w:autoSpaceDE w:val="0"/>
        <w:autoSpaceDN w:val="0"/>
        <w:adjustRightInd w:val="0"/>
        <w:ind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2019年，我部门安排政府采购预算0万元，无政府采购相关计划，空表列示。</w:t>
      </w:r>
    </w:p>
    <w:tbl>
      <w:tblPr>
        <w:tblStyle w:val="8"/>
        <w:tblW w:w="13868" w:type="dxa"/>
        <w:tblInd w:w="0" w:type="dxa"/>
        <w:tblLayout w:type="fixed"/>
        <w:tblCellMar>
          <w:top w:w="15" w:type="dxa"/>
          <w:left w:w="15" w:type="dxa"/>
          <w:bottom w:w="15" w:type="dxa"/>
          <w:right w:w="15" w:type="dxa"/>
        </w:tblCellMar>
      </w:tblPr>
      <w:tblGrid>
        <w:gridCol w:w="1282"/>
        <w:gridCol w:w="1279"/>
        <w:gridCol w:w="1057"/>
        <w:gridCol w:w="1071"/>
        <w:gridCol w:w="736"/>
        <w:gridCol w:w="530"/>
        <w:gridCol w:w="665"/>
        <w:gridCol w:w="879"/>
        <w:gridCol w:w="1069"/>
        <w:gridCol w:w="1060"/>
        <w:gridCol w:w="1069"/>
        <w:gridCol w:w="1057"/>
        <w:gridCol w:w="1057"/>
        <w:gridCol w:w="1057"/>
      </w:tblGrid>
      <w:tr>
        <w:tblPrEx>
          <w:tblCellMar>
            <w:top w:w="15" w:type="dxa"/>
            <w:left w:w="15" w:type="dxa"/>
            <w:bottom w:w="15" w:type="dxa"/>
            <w:right w:w="15" w:type="dxa"/>
          </w:tblCellMar>
        </w:tblPrEx>
        <w:trPr>
          <w:trHeight w:val="285" w:hRule="atLeast"/>
        </w:trPr>
        <w:tc>
          <w:tcPr>
            <w:tcW w:w="256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政府采购项目来源</w:t>
            </w:r>
          </w:p>
        </w:tc>
        <w:tc>
          <w:tcPr>
            <w:tcW w:w="1057"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采购物品名称</w:t>
            </w:r>
          </w:p>
        </w:tc>
        <w:tc>
          <w:tcPr>
            <w:tcW w:w="1071"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政府采购目录序号</w:t>
            </w:r>
          </w:p>
        </w:tc>
        <w:tc>
          <w:tcPr>
            <w:tcW w:w="736"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数量  单位</w:t>
            </w:r>
          </w:p>
        </w:tc>
        <w:tc>
          <w:tcPr>
            <w:tcW w:w="530"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数量</w:t>
            </w:r>
          </w:p>
        </w:tc>
        <w:tc>
          <w:tcPr>
            <w:tcW w:w="665"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单价</w:t>
            </w:r>
          </w:p>
        </w:tc>
        <w:tc>
          <w:tcPr>
            <w:tcW w:w="7248" w:type="dxa"/>
            <w:gridSpan w:val="7"/>
            <w:tcBorders>
              <w:top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政府采购金额</w:t>
            </w:r>
          </w:p>
        </w:tc>
      </w:tr>
      <w:tr>
        <w:tblPrEx>
          <w:tblCellMar>
            <w:top w:w="15" w:type="dxa"/>
            <w:left w:w="15" w:type="dxa"/>
            <w:bottom w:w="15" w:type="dxa"/>
            <w:right w:w="15" w:type="dxa"/>
          </w:tblCellMar>
        </w:tblPrEx>
        <w:trPr>
          <w:trHeight w:val="285" w:hRule="atLeast"/>
        </w:trPr>
        <w:tc>
          <w:tcPr>
            <w:tcW w:w="1282" w:type="dxa"/>
            <w:vMerge w:val="restart"/>
            <w:tcBorders>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项目名称</w:t>
            </w:r>
          </w:p>
        </w:tc>
        <w:tc>
          <w:tcPr>
            <w:tcW w:w="1279" w:type="dxa"/>
            <w:vMerge w:val="restart"/>
            <w:tcBorders>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预算资金</w:t>
            </w:r>
          </w:p>
        </w:tc>
        <w:tc>
          <w:tcPr>
            <w:tcW w:w="1057"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71"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736"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530"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665"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879"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总计</w:t>
            </w:r>
          </w:p>
        </w:tc>
        <w:tc>
          <w:tcPr>
            <w:tcW w:w="5312" w:type="dxa"/>
            <w:gridSpan w:val="5"/>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当年部门预算安排资金</w:t>
            </w:r>
          </w:p>
        </w:tc>
        <w:tc>
          <w:tcPr>
            <w:tcW w:w="1057"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其他渠道资金</w:t>
            </w:r>
          </w:p>
        </w:tc>
      </w:tr>
      <w:tr>
        <w:tblPrEx>
          <w:tblCellMar>
            <w:top w:w="15" w:type="dxa"/>
            <w:left w:w="15" w:type="dxa"/>
            <w:bottom w:w="15" w:type="dxa"/>
            <w:right w:w="15" w:type="dxa"/>
          </w:tblCellMar>
        </w:tblPrEx>
        <w:trPr>
          <w:trHeight w:val="510" w:hRule="atLeast"/>
        </w:trPr>
        <w:tc>
          <w:tcPr>
            <w:tcW w:w="1282" w:type="dxa"/>
            <w:vMerge w:val="continue"/>
            <w:tcBorders>
              <w:left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279" w:type="dxa"/>
            <w:vMerge w:val="continue"/>
            <w:tcBorders>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57"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71"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736"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530"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665"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879"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69" w:type="dxa"/>
            <w:tcBorders>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合计</w:t>
            </w:r>
          </w:p>
        </w:tc>
        <w:tc>
          <w:tcPr>
            <w:tcW w:w="1060" w:type="dxa"/>
            <w:tcBorders>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一般公共预算拨款</w:t>
            </w:r>
          </w:p>
        </w:tc>
        <w:tc>
          <w:tcPr>
            <w:tcW w:w="1069" w:type="dxa"/>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基金预算拨款</w:t>
            </w:r>
          </w:p>
        </w:tc>
        <w:tc>
          <w:tcPr>
            <w:tcW w:w="1057" w:type="dxa"/>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财政专户核拨</w:t>
            </w:r>
          </w:p>
        </w:tc>
        <w:tc>
          <w:tcPr>
            <w:tcW w:w="1057" w:type="dxa"/>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其他来源收入</w:t>
            </w:r>
          </w:p>
        </w:tc>
        <w:tc>
          <w:tcPr>
            <w:tcW w:w="1057"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r>
      <w:tr>
        <w:tblPrEx>
          <w:tblCellMar>
            <w:top w:w="15" w:type="dxa"/>
            <w:left w:w="15" w:type="dxa"/>
            <w:bottom w:w="15" w:type="dxa"/>
            <w:right w:w="15" w:type="dxa"/>
          </w:tblCellMar>
        </w:tblPrEx>
        <w:trPr>
          <w:trHeight w:val="285" w:hRule="atLeast"/>
        </w:trPr>
        <w:tc>
          <w:tcPr>
            <w:tcW w:w="128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合　计</w:t>
            </w:r>
          </w:p>
        </w:tc>
        <w:tc>
          <w:tcPr>
            <w:tcW w:w="1279"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1071" w:type="dxa"/>
            <w:tcBorders>
              <w:top w:val="single" w:color="000000" w:sz="4" w:space="0"/>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736" w:type="dxa"/>
            <w:tcBorders>
              <w:top w:val="single" w:color="000000" w:sz="4" w:space="0"/>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530"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665"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879"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9"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0"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9"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p>
        </w:tc>
        <w:tc>
          <w:tcPr>
            <w:tcW w:w="1279"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1071" w:type="dxa"/>
            <w:tcBorders>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736" w:type="dxa"/>
            <w:tcBorders>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530"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665"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9"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pPr>
              <w:rPr>
                <w:rFonts w:ascii="宋体" w:hAnsi="宋体" w:cs="宋体"/>
                <w:color w:val="000000"/>
                <w:sz w:val="24"/>
                <w:szCs w:val="24"/>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pPr>
              <w:widowControl/>
              <w:jc w:val="left"/>
              <w:textAlignment w:val="center"/>
              <w:rPr>
                <w:rFonts w:ascii="方正书宋_GBK" w:hAnsi="方正书宋_GBK" w:eastAsia="方正书宋_GBK" w:cs="方正书宋_GBK"/>
                <w:color w:val="000000"/>
                <w:szCs w:val="21"/>
              </w:rPr>
            </w:pPr>
          </w:p>
        </w:tc>
        <w:tc>
          <w:tcPr>
            <w:tcW w:w="1279" w:type="dxa"/>
            <w:tcBorders>
              <w:bottom w:val="single" w:color="000000" w:sz="4" w:space="0"/>
              <w:right w:val="single" w:color="000000" w:sz="4" w:space="0"/>
            </w:tcBorders>
            <w:vAlign w:val="center"/>
          </w:tcPr>
          <w:p>
            <w:pPr>
              <w:widowControl/>
              <w:ind w:right="105"/>
              <w:jc w:val="right"/>
              <w:textAlignment w:val="center"/>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widowControl/>
              <w:jc w:val="left"/>
              <w:textAlignment w:val="center"/>
              <w:rPr>
                <w:rFonts w:ascii="方正书宋_GBK" w:hAnsi="方正书宋_GBK" w:eastAsia="方正书宋_GBK" w:cs="方正书宋_GBK"/>
                <w:color w:val="000000"/>
                <w:szCs w:val="21"/>
              </w:rPr>
            </w:pPr>
          </w:p>
        </w:tc>
        <w:tc>
          <w:tcPr>
            <w:tcW w:w="1071" w:type="dxa"/>
            <w:tcBorders>
              <w:bottom w:val="single" w:color="000000" w:sz="4" w:space="0"/>
              <w:right w:val="single" w:color="000000" w:sz="4" w:space="0"/>
            </w:tcBorders>
            <w:vAlign w:val="center"/>
          </w:tcPr>
          <w:p>
            <w:pPr>
              <w:widowControl/>
              <w:jc w:val="left"/>
              <w:textAlignment w:val="center"/>
              <w:rPr>
                <w:rFonts w:ascii="方正书宋_GBK" w:hAnsi="方正书宋_GBK" w:cs="方正书宋_GBK"/>
                <w:color w:val="000000"/>
                <w:szCs w:val="21"/>
              </w:rPr>
            </w:pPr>
          </w:p>
        </w:tc>
        <w:tc>
          <w:tcPr>
            <w:tcW w:w="736" w:type="dxa"/>
            <w:tcBorders>
              <w:bottom w:val="single" w:color="000000" w:sz="4" w:space="0"/>
              <w:right w:val="single" w:color="000000" w:sz="4" w:space="0"/>
            </w:tcBorders>
            <w:vAlign w:val="center"/>
          </w:tcPr>
          <w:p>
            <w:pPr>
              <w:widowControl/>
              <w:jc w:val="left"/>
              <w:textAlignment w:val="center"/>
              <w:rPr>
                <w:rFonts w:ascii="方正书宋_GBK" w:hAnsi="方正书宋_GBK" w:cs="方正书宋_GBK"/>
                <w:color w:val="000000"/>
                <w:szCs w:val="21"/>
              </w:rPr>
            </w:pPr>
          </w:p>
        </w:tc>
        <w:tc>
          <w:tcPr>
            <w:tcW w:w="53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665"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pPr>
              <w:widowControl/>
              <w:jc w:val="left"/>
              <w:textAlignment w:val="center"/>
              <w:rPr>
                <w:rFonts w:ascii="方正书宋_GBK" w:hAnsi="方正书宋_GBK" w:eastAsia="方正书宋_GBK" w:cs="方正书宋_GBK"/>
                <w:color w:val="000000"/>
                <w:szCs w:val="21"/>
              </w:rPr>
            </w:pPr>
          </w:p>
        </w:tc>
        <w:tc>
          <w:tcPr>
            <w:tcW w:w="12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widowControl/>
              <w:jc w:val="left"/>
              <w:textAlignment w:val="center"/>
              <w:rPr>
                <w:rFonts w:ascii="方正书宋_GBK" w:hAnsi="方正书宋_GBK" w:eastAsia="方正书宋_GBK" w:cs="方正书宋_GBK"/>
                <w:color w:val="000000"/>
                <w:szCs w:val="21"/>
              </w:rPr>
            </w:pPr>
          </w:p>
        </w:tc>
        <w:tc>
          <w:tcPr>
            <w:tcW w:w="1071" w:type="dxa"/>
            <w:tcBorders>
              <w:bottom w:val="single" w:color="000000" w:sz="4" w:space="0"/>
              <w:right w:val="single" w:color="000000" w:sz="4" w:space="0"/>
            </w:tcBorders>
            <w:vAlign w:val="center"/>
          </w:tcPr>
          <w:p>
            <w:pPr>
              <w:widowControl/>
              <w:jc w:val="left"/>
              <w:textAlignment w:val="center"/>
              <w:rPr>
                <w:rFonts w:ascii="方正书宋_GBK" w:hAnsi="方正书宋_GBK" w:cs="方正书宋_GBK"/>
                <w:color w:val="000000"/>
                <w:szCs w:val="21"/>
              </w:rPr>
            </w:pPr>
          </w:p>
        </w:tc>
        <w:tc>
          <w:tcPr>
            <w:tcW w:w="736" w:type="dxa"/>
            <w:tcBorders>
              <w:bottom w:val="single" w:color="000000" w:sz="4" w:space="0"/>
              <w:right w:val="single" w:color="000000" w:sz="4" w:space="0"/>
            </w:tcBorders>
            <w:vAlign w:val="center"/>
          </w:tcPr>
          <w:p>
            <w:pPr>
              <w:widowControl/>
              <w:jc w:val="left"/>
              <w:textAlignment w:val="center"/>
              <w:rPr>
                <w:rFonts w:ascii="方正书宋_GBK" w:hAnsi="方正书宋_GBK" w:cs="方正书宋_GBK"/>
                <w:color w:val="000000"/>
                <w:szCs w:val="21"/>
              </w:rPr>
            </w:pPr>
          </w:p>
        </w:tc>
        <w:tc>
          <w:tcPr>
            <w:tcW w:w="53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665"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r>
      <w:tr>
        <w:tblPrEx>
          <w:tblCellMar>
            <w:top w:w="15" w:type="dxa"/>
            <w:left w:w="15" w:type="dxa"/>
            <w:bottom w:w="15" w:type="dxa"/>
            <w:right w:w="15" w:type="dxa"/>
          </w:tblCellMar>
        </w:tblPrEx>
        <w:trPr>
          <w:trHeight w:val="510" w:hRule="atLeast"/>
        </w:trPr>
        <w:tc>
          <w:tcPr>
            <w:tcW w:w="1282" w:type="dxa"/>
            <w:tcBorders>
              <w:left w:val="single" w:color="000000" w:sz="4" w:space="0"/>
              <w:bottom w:val="single" w:color="000000" w:sz="4" w:space="0"/>
              <w:right w:val="single" w:color="000000" w:sz="4" w:space="0"/>
            </w:tcBorders>
            <w:vAlign w:val="center"/>
          </w:tcPr>
          <w:p>
            <w:pPr>
              <w:widowControl/>
              <w:jc w:val="left"/>
              <w:textAlignment w:val="center"/>
              <w:rPr>
                <w:rFonts w:ascii="方正书宋_GBK" w:hAnsi="方正书宋_GBK" w:cs="方正书宋_GBK"/>
                <w:color w:val="000000"/>
                <w:szCs w:val="21"/>
              </w:rPr>
            </w:pPr>
          </w:p>
        </w:tc>
        <w:tc>
          <w:tcPr>
            <w:tcW w:w="12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widowControl/>
              <w:jc w:val="left"/>
              <w:textAlignment w:val="center"/>
              <w:rPr>
                <w:rFonts w:ascii="方正书宋_GBK" w:hAnsi="方正书宋_GBK" w:eastAsia="方正书宋_GBK" w:cs="方正书宋_GBK"/>
                <w:color w:val="000000"/>
                <w:szCs w:val="21"/>
              </w:rPr>
            </w:pPr>
          </w:p>
        </w:tc>
        <w:tc>
          <w:tcPr>
            <w:tcW w:w="1071" w:type="dxa"/>
            <w:tcBorders>
              <w:bottom w:val="single" w:color="000000" w:sz="4" w:space="0"/>
              <w:right w:val="single" w:color="000000" w:sz="4" w:space="0"/>
            </w:tcBorders>
            <w:vAlign w:val="center"/>
          </w:tcPr>
          <w:p>
            <w:pPr>
              <w:widowControl/>
              <w:jc w:val="left"/>
              <w:textAlignment w:val="center"/>
              <w:rPr>
                <w:rFonts w:ascii="方正书宋_GBK" w:hAnsi="方正书宋_GBK" w:cs="方正书宋_GBK"/>
                <w:color w:val="000000"/>
                <w:szCs w:val="21"/>
              </w:rPr>
            </w:pPr>
          </w:p>
        </w:tc>
        <w:tc>
          <w:tcPr>
            <w:tcW w:w="736" w:type="dxa"/>
            <w:tcBorders>
              <w:bottom w:val="single" w:color="000000" w:sz="4" w:space="0"/>
              <w:right w:val="single" w:color="000000" w:sz="4" w:space="0"/>
            </w:tcBorders>
            <w:vAlign w:val="center"/>
          </w:tcPr>
          <w:p>
            <w:pPr>
              <w:widowControl/>
              <w:jc w:val="left"/>
              <w:textAlignment w:val="center"/>
              <w:rPr>
                <w:rFonts w:ascii="方正书宋_GBK" w:hAnsi="方正书宋_GBK" w:cs="方正书宋_GBK"/>
                <w:color w:val="000000"/>
                <w:szCs w:val="21"/>
              </w:rPr>
            </w:pPr>
          </w:p>
        </w:tc>
        <w:tc>
          <w:tcPr>
            <w:tcW w:w="53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665"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r>
    </w:tbl>
    <w:p>
      <w:pPr>
        <w:ind w:firstLine="640" w:firstLineChars="200"/>
        <w:jc w:val="left"/>
        <w:outlineLvl w:val="0"/>
        <w:rPr>
          <w:rFonts w:ascii="仿宋_GB2312" w:hAnsi="宋体" w:eastAsia="仿宋_GB2312"/>
          <w:sz w:val="32"/>
          <w:szCs w:val="32"/>
        </w:rPr>
      </w:pPr>
      <w:r>
        <w:rPr>
          <w:rFonts w:hint="eastAsia" w:ascii="仿宋_GB2312" w:hAnsi="宋体" w:eastAsia="仿宋_GB2312"/>
          <w:sz w:val="32"/>
          <w:szCs w:val="32"/>
        </w:rPr>
        <w:t>七、国有资产信息</w:t>
      </w:r>
    </w:p>
    <w:p>
      <w:pPr>
        <w:ind w:firstLine="640" w:firstLineChars="200"/>
        <w:rPr>
          <w:rFonts w:ascii="仿宋" w:hAnsi="仿宋" w:eastAsia="仿宋" w:cs="仿宋"/>
          <w:sz w:val="32"/>
          <w:szCs w:val="32"/>
        </w:rPr>
      </w:pPr>
      <w:r>
        <w:rPr>
          <w:rFonts w:hint="eastAsia" w:ascii="仿宋" w:hAnsi="仿宋" w:eastAsia="仿宋" w:cs="仿宋"/>
          <w:sz w:val="32"/>
          <w:szCs w:val="32"/>
          <w:lang w:eastAsia="zh-CN"/>
        </w:rPr>
        <w:t>石家庄市</w:t>
      </w:r>
      <w:r>
        <w:rPr>
          <w:rFonts w:hint="eastAsia" w:ascii="仿宋" w:hAnsi="仿宋" w:eastAsia="仿宋" w:cs="仿宋"/>
          <w:sz w:val="32"/>
          <w:szCs w:val="32"/>
        </w:rPr>
        <w:t>鹿泉区公安局上年末固定资产金额为</w:t>
      </w:r>
      <w:r>
        <w:rPr>
          <w:rFonts w:hint="eastAsia" w:ascii="仿宋" w:hAnsi="仿宋" w:eastAsia="仿宋" w:cs="仿宋"/>
          <w:sz w:val="32"/>
          <w:szCs w:val="32"/>
          <w:lang w:val="en-US" w:eastAsia="zh-CN"/>
        </w:rPr>
        <w:t>6845.05</w:t>
      </w:r>
      <w:r>
        <w:rPr>
          <w:rFonts w:hint="eastAsia" w:ascii="仿宋" w:hAnsi="仿宋" w:eastAsia="仿宋" w:cs="仿宋"/>
          <w:sz w:val="32"/>
          <w:szCs w:val="32"/>
        </w:rPr>
        <w:t>万元（详见下表），本年度各单位拟购置固定资产总额为</w:t>
      </w:r>
      <w:r>
        <w:rPr>
          <w:rFonts w:hint="eastAsia" w:ascii="仿宋" w:hAnsi="仿宋" w:eastAsia="仿宋" w:cs="仿宋"/>
          <w:sz w:val="32"/>
          <w:szCs w:val="32"/>
          <w:lang w:val="en-US" w:eastAsia="zh-CN"/>
        </w:rPr>
        <w:t>1020.6</w:t>
      </w:r>
      <w:r>
        <w:rPr>
          <w:rFonts w:hint="eastAsia" w:ascii="仿宋" w:hAnsi="仿宋" w:eastAsia="仿宋" w:cs="仿宋"/>
          <w:sz w:val="32"/>
          <w:szCs w:val="32"/>
        </w:rPr>
        <w:t>万元，主要为主要为计算机设备、打印设备、空调、办公家具等，已列入政府采购预算，详见政府采购预算表。</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shd w:val="clear" w:color="auto" w:fill="auto"/>
            <w:vAlign w:val="center"/>
          </w:tcPr>
          <w:p>
            <w:pPr>
              <w:widowControl/>
              <w:jc w:val="center"/>
              <w:rPr>
                <w:rFonts w:ascii="宋体" w:hAnsi="宋体" w:eastAsia="宋体" w:cs="宋体"/>
                <w:b/>
                <w:bCs/>
                <w:kern w:val="0"/>
                <w:sz w:val="32"/>
                <w:szCs w:val="32"/>
              </w:rPr>
            </w:pPr>
            <w:r>
              <w:rPr>
                <w:rFonts w:hint="eastAsia" w:ascii="宋体" w:hAnsi="宋体" w:eastAsia="宋体" w:cs="宋体"/>
                <w:b/>
                <w:bCs/>
                <w:kern w:val="0"/>
                <w:sz w:val="32"/>
                <w:szCs w:val="32"/>
              </w:rPr>
              <w:t>河北省省直部门固定资产占用情况表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shd w:val="clear" w:color="auto" w:fill="auto"/>
            <w:vAlign w:val="center"/>
          </w:tcPr>
          <w:p>
            <w:pPr>
              <w:widowControl/>
              <w:jc w:val="left"/>
              <w:rPr>
                <w:rFonts w:hint="eastAsia" w:ascii="宋体" w:hAnsi="宋体" w:eastAsia="宋体" w:cs="宋体"/>
                <w:kern w:val="0"/>
                <w:sz w:val="22"/>
                <w:lang w:eastAsia="zh-CN"/>
              </w:rPr>
            </w:pPr>
            <w:r>
              <w:rPr>
                <w:rFonts w:hint="eastAsia" w:ascii="宋体" w:hAnsi="宋体" w:eastAsia="宋体" w:cs="宋体"/>
                <w:kern w:val="0"/>
                <w:sz w:val="22"/>
              </w:rPr>
              <w:t>编制部门：</w:t>
            </w:r>
            <w:r>
              <w:rPr>
                <w:rFonts w:hint="eastAsia" w:ascii="宋体" w:hAnsi="宋体" w:eastAsia="宋体" w:cs="宋体"/>
                <w:kern w:val="0"/>
                <w:sz w:val="22"/>
                <w:lang w:eastAsia="zh-CN"/>
              </w:rPr>
              <w:t>石家庄市鹿泉区公安局</w:t>
            </w:r>
          </w:p>
        </w:tc>
        <w:tc>
          <w:tcPr>
            <w:tcW w:w="5103" w:type="dxa"/>
            <w:tcBorders>
              <w:top w:val="nil"/>
              <w:left w:val="nil"/>
              <w:bottom w:val="nil"/>
              <w:right w:val="nil"/>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 xml:space="preserve">截止时间：2018年12月31日  </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项   目</w:t>
            </w:r>
          </w:p>
        </w:tc>
        <w:tc>
          <w:tcPr>
            <w:tcW w:w="315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数量</w:t>
            </w:r>
          </w:p>
        </w:tc>
        <w:tc>
          <w:tcPr>
            <w:tcW w:w="5103"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2"/>
              </w:rPr>
            </w:pPr>
            <w:r>
              <w:rPr>
                <w:rFonts w:hint="eastAsia" w:ascii="宋体" w:hAnsi="宋体" w:eastAsia="宋体" w:cs="宋体"/>
                <w:kern w:val="0"/>
                <w:sz w:val="22"/>
              </w:rPr>
              <w:t>资产总额</w:t>
            </w:r>
          </w:p>
        </w:tc>
        <w:tc>
          <w:tcPr>
            <w:tcW w:w="3155"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宋体" w:cs="Times New Roman"/>
                <w:kern w:val="0"/>
                <w:sz w:val="22"/>
              </w:rPr>
            </w:pPr>
            <w:r>
              <w:rPr>
                <w:rFonts w:ascii="Times New Roman" w:hAnsi="Times New Roman" w:eastAsia="宋体" w:cs="Times New Roman"/>
                <w:kern w:val="0"/>
                <w:sz w:val="22"/>
              </w:rPr>
              <w:t>——</w:t>
            </w:r>
          </w:p>
        </w:tc>
        <w:tc>
          <w:tcPr>
            <w:tcW w:w="5103" w:type="dxa"/>
            <w:tcBorders>
              <w:top w:val="nil"/>
              <w:left w:val="nil"/>
              <w:bottom w:val="single" w:color="auto" w:sz="4" w:space="0"/>
              <w:right w:val="single" w:color="auto" w:sz="4" w:space="0"/>
            </w:tcBorders>
            <w:shd w:val="clear" w:color="auto" w:fill="auto"/>
            <w:vAlign w:val="center"/>
          </w:tcPr>
          <w:p>
            <w:pPr>
              <w:widowControl/>
              <w:jc w:val="center"/>
              <w:rPr>
                <w:rFonts w:hint="default" w:ascii="Times New Roman" w:hAnsi="Times New Roman" w:eastAsia="宋体" w:cs="Times New Roman"/>
                <w:kern w:val="0"/>
                <w:sz w:val="22"/>
                <w:lang w:val="en-US" w:eastAsia="zh-CN"/>
              </w:rPr>
            </w:pPr>
            <w:r>
              <w:rPr>
                <w:rFonts w:hint="eastAsia" w:ascii="Times New Roman" w:hAnsi="Times New Roman" w:eastAsia="宋体" w:cs="Times New Roman"/>
                <w:kern w:val="0"/>
                <w:sz w:val="22"/>
                <w:lang w:val="en-US" w:eastAsia="zh-CN"/>
              </w:rPr>
              <w:t>6845.05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1、房屋（平方米）</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5368.5</w:t>
            </w: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149.73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2、车辆（台、辆）</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74</w:t>
            </w: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1261.31</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3、单价在20万元以上的设备</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6</w:t>
            </w: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408.37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4、其他固定资产</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c>
          <w:tcPr>
            <w:tcW w:w="5103" w:type="dxa"/>
            <w:tcBorders>
              <w:top w:val="nil"/>
              <w:left w:val="nil"/>
              <w:bottom w:val="single" w:color="auto" w:sz="4" w:space="0"/>
              <w:right w:val="single" w:color="auto" w:sz="4" w:space="0"/>
            </w:tcBorders>
            <w:shd w:val="clear" w:color="auto" w:fill="auto"/>
            <w:vAlign w:val="center"/>
          </w:tcPr>
          <w:p>
            <w:pPr>
              <w:jc w:val="center"/>
              <w:rPr>
                <w:rFonts w:hint="default"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5025.64</w:t>
            </w:r>
          </w:p>
        </w:tc>
      </w:tr>
    </w:tbl>
    <w:p>
      <w:pPr>
        <w:autoSpaceDE w:val="0"/>
        <w:autoSpaceDN w:val="0"/>
        <w:adjustRightInd w:val="0"/>
        <w:jc w:val="left"/>
        <w:rPr>
          <w:rFonts w:ascii="黑体" w:hAnsi="黑体" w:eastAsia="黑体" w:cs="Times New Roman"/>
          <w:sz w:val="32"/>
          <w:szCs w:val="32"/>
        </w:rPr>
      </w:pP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仿宋" w:hAnsi="仿宋" w:eastAsia="仿宋" w:cs="仿宋"/>
          <w:sz w:val="32"/>
          <w:szCs w:val="32"/>
        </w:rPr>
      </w:pPr>
      <w:r>
        <w:rPr>
          <w:rFonts w:hint="eastAsia" w:ascii="仿宋" w:hAnsi="仿宋" w:eastAsia="仿宋" w:cs="仿宋"/>
          <w:sz w:val="32"/>
          <w:szCs w:val="32"/>
        </w:rPr>
        <w:t>1、一般公共预算拨款收入：指区级财政当年拨付的资金。</w:t>
      </w:r>
    </w:p>
    <w:p>
      <w:pPr>
        <w:ind w:firstLine="640" w:firstLineChars="200"/>
        <w:rPr>
          <w:rFonts w:ascii="仿宋" w:hAnsi="仿宋" w:eastAsia="仿宋" w:cs="仿宋"/>
          <w:sz w:val="32"/>
          <w:szCs w:val="32"/>
        </w:rPr>
      </w:pPr>
      <w:r>
        <w:rPr>
          <w:rFonts w:hint="eastAsia" w:ascii="仿宋" w:hAnsi="仿宋" w:eastAsia="仿宋" w:cs="仿宋"/>
          <w:sz w:val="32"/>
          <w:szCs w:val="32"/>
        </w:rPr>
        <w:t>2、事业收入：指事业单位开展专业业务活动及辅助活动所取得的收入。</w:t>
      </w:r>
    </w:p>
    <w:p>
      <w:pPr>
        <w:ind w:firstLine="640" w:firstLineChars="200"/>
        <w:rPr>
          <w:rFonts w:ascii="仿宋" w:hAnsi="仿宋" w:eastAsia="仿宋" w:cs="仿宋"/>
          <w:sz w:val="32"/>
          <w:szCs w:val="32"/>
        </w:rPr>
      </w:pPr>
      <w:r>
        <w:rPr>
          <w:rFonts w:hint="eastAsia" w:ascii="仿宋" w:hAnsi="仿宋" w:eastAsia="仿宋" w:cs="仿宋"/>
          <w:sz w:val="32"/>
          <w:szCs w:val="32"/>
        </w:rPr>
        <w:t>3、其他收入：指除“一般公共预算拨款收入”、“事业收入”等以外的收入。主要是按规定动用的租房收入、存款利息收入等。</w:t>
      </w:r>
    </w:p>
    <w:p>
      <w:pPr>
        <w:ind w:firstLine="640" w:firstLineChars="200"/>
        <w:rPr>
          <w:rFonts w:ascii="仿宋" w:hAnsi="仿宋" w:eastAsia="仿宋" w:cs="仿宋"/>
          <w:sz w:val="32"/>
          <w:szCs w:val="32"/>
        </w:rPr>
      </w:pPr>
      <w:r>
        <w:rPr>
          <w:rFonts w:hint="eastAsia" w:ascii="仿宋" w:hAnsi="仿宋" w:eastAsia="仿宋" w:cs="仿宋"/>
          <w:sz w:val="32"/>
          <w:szCs w:val="32"/>
        </w:rPr>
        <w:t>4、基本支出：指为保障机构正常运转、完成日常工作任务而发生的人员支出和公用支出。</w:t>
      </w:r>
    </w:p>
    <w:p>
      <w:pPr>
        <w:ind w:firstLine="640" w:firstLineChars="200"/>
        <w:rPr>
          <w:rFonts w:ascii="仿宋" w:hAnsi="仿宋" w:eastAsia="仿宋" w:cs="仿宋"/>
          <w:sz w:val="32"/>
          <w:szCs w:val="32"/>
        </w:rPr>
      </w:pPr>
      <w:r>
        <w:rPr>
          <w:rFonts w:hint="eastAsia" w:ascii="仿宋" w:hAnsi="仿宋" w:eastAsia="仿宋" w:cs="仿宋"/>
          <w:sz w:val="32"/>
          <w:szCs w:val="32"/>
        </w:rPr>
        <w:t>5、项目支出：指在基本支出之外为完成特定行政任务和事业发展目标所发生的支出。</w:t>
      </w:r>
    </w:p>
    <w:p>
      <w:pPr>
        <w:ind w:firstLine="640" w:firstLineChars="200"/>
        <w:rPr>
          <w:rFonts w:ascii="仿宋" w:hAnsi="仿宋" w:eastAsia="仿宋" w:cs="仿宋"/>
          <w:sz w:val="32"/>
          <w:szCs w:val="32"/>
        </w:rPr>
      </w:pPr>
      <w:r>
        <w:rPr>
          <w:rFonts w:hint="eastAsia" w:ascii="仿宋" w:hAnsi="仿宋" w:eastAsia="仿宋" w:cs="仿宋"/>
          <w:sz w:val="32"/>
          <w:szCs w:val="32"/>
        </w:rPr>
        <w:t>6、上缴上级支出：指下级单位上缴上级的支出。</w:t>
      </w:r>
    </w:p>
    <w:p>
      <w:pPr>
        <w:ind w:firstLine="640" w:firstLineChars="200"/>
        <w:rPr>
          <w:rFonts w:ascii="仿宋" w:hAnsi="仿宋" w:eastAsia="仿宋" w:cs="仿宋"/>
          <w:sz w:val="32"/>
          <w:szCs w:val="32"/>
        </w:rPr>
      </w:pPr>
      <w:r>
        <w:rPr>
          <w:rFonts w:hint="eastAsia" w:ascii="仿宋" w:hAnsi="仿宋" w:eastAsia="仿宋" w:cs="仿宋"/>
          <w:sz w:val="32"/>
          <w:szCs w:val="32"/>
        </w:rPr>
        <w:t>7、“三公”经费：纳入区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 w:hAnsi="仿宋" w:eastAsia="仿宋" w:cs="仿宋"/>
          <w:sz w:val="32"/>
          <w:szCs w:val="32"/>
        </w:rPr>
      </w:pPr>
      <w:r>
        <w:rPr>
          <w:rFonts w:hint="eastAsia" w:ascii="仿宋" w:hAnsi="仿宋" w:eastAsia="仿宋" w:cs="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 w:hAnsi="仿宋" w:eastAsia="仿宋" w:cs="仿宋"/>
          <w:sz w:val="32"/>
          <w:szCs w:val="32"/>
        </w:rPr>
      </w:pPr>
      <w:r>
        <w:rPr>
          <w:rFonts w:hint="eastAsia" w:ascii="仿宋" w:hAnsi="仿宋" w:eastAsia="仿宋" w:cs="仿宋"/>
          <w:sz w:val="32"/>
          <w:szCs w:val="32"/>
        </w:rPr>
        <w:t>9、上年结转：指以前年度尚未完成、结转到本年仍按原规定用途继续使用的资金。</w:t>
      </w:r>
    </w:p>
    <w:p>
      <w:pPr>
        <w:ind w:firstLine="640" w:firstLineChars="200"/>
        <w:rPr>
          <w:rFonts w:ascii="仿宋" w:hAnsi="仿宋" w:eastAsia="仿宋" w:cs="仿宋"/>
          <w:sz w:val="32"/>
          <w:szCs w:val="32"/>
        </w:rPr>
      </w:pPr>
      <w:r>
        <w:rPr>
          <w:rFonts w:hint="eastAsia" w:ascii="仿宋" w:hAnsi="仿宋" w:eastAsia="仿宋" w:cs="仿宋"/>
          <w:sz w:val="32"/>
          <w:szCs w:val="32"/>
        </w:rPr>
        <w:t>10、事业单位经营支出：指事业单位在专业业务活动及其辅助活动之外开展非独立核算经营活动发生的支出。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pPr>
        <w:ind w:firstLine="640" w:firstLineChars="200"/>
        <w:rPr>
          <w:rFonts w:ascii="仿宋" w:hAnsi="仿宋" w:eastAsia="仿宋" w:cs="仿宋"/>
          <w:sz w:val="32"/>
          <w:szCs w:val="32"/>
        </w:rPr>
      </w:pPr>
      <w:r>
        <w:rPr>
          <w:rFonts w:hint="eastAsia" w:ascii="仿宋" w:hAnsi="仿宋" w:eastAsia="仿宋" w:cs="仿宋"/>
          <w:sz w:val="32"/>
          <w:szCs w:val="32"/>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仿宋"/>
    <w:panose1 w:val="00000000000000000000"/>
    <w:charset w:val="86"/>
    <w:family w:val="script"/>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方正仿宋_GBK">
    <w:altName w:val="宋体"/>
    <w:panose1 w:val="00000000000000000000"/>
    <w:charset w:val="86"/>
    <w:family w:val="roman"/>
    <w:pitch w:val="default"/>
    <w:sig w:usb0="00000000" w:usb1="00000000" w:usb2="00000000" w:usb3="00000000" w:csb0="00040001" w:csb1="00000000"/>
  </w:font>
  <w:font w:name="仿宋">
    <w:panose1 w:val="02010609060101010101"/>
    <w:charset w:val="86"/>
    <w:family w:val="auto"/>
    <w:pitch w:val="default"/>
    <w:sig w:usb0="800002BF" w:usb1="38CF7CFA" w:usb2="00000016" w:usb3="00000000" w:csb0="00040001" w:csb1="00000000"/>
  </w:font>
  <w:font w:name="方正楷体_GBK">
    <w:altName w:val="宋体"/>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pPr>
        <w:pStyle w:val="6"/>
        <w:rPr>
          <w:rFonts w:hint="eastAsia"/>
        </w:rPr>
      </w:pPr>
      <w:r>
        <w:rPr>
          <w:rStyle w:val="12"/>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7100CF1"/>
    <w:multiLevelType w:val="singleLevel"/>
    <w:tmpl w:val="17100CF1"/>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RhZDkyNmU3OTVkZGViODA5ZTExODRmMzQ4ZjY3MTQifQ=="/>
  </w:docVars>
  <w:rsids>
    <w:rsidRoot w:val="00F66032"/>
    <w:rsid w:val="00034786"/>
    <w:rsid w:val="00037AF6"/>
    <w:rsid w:val="00042F57"/>
    <w:rsid w:val="0006483E"/>
    <w:rsid w:val="00075D5F"/>
    <w:rsid w:val="0008102F"/>
    <w:rsid w:val="000B529B"/>
    <w:rsid w:val="000C3A19"/>
    <w:rsid w:val="001245BB"/>
    <w:rsid w:val="001251A3"/>
    <w:rsid w:val="00165294"/>
    <w:rsid w:val="001B4EF3"/>
    <w:rsid w:val="001F7873"/>
    <w:rsid w:val="00241FD4"/>
    <w:rsid w:val="00251B12"/>
    <w:rsid w:val="00274640"/>
    <w:rsid w:val="00296113"/>
    <w:rsid w:val="002A673A"/>
    <w:rsid w:val="002C07BE"/>
    <w:rsid w:val="002C5E13"/>
    <w:rsid w:val="002C62BC"/>
    <w:rsid w:val="002E0EB8"/>
    <w:rsid w:val="002F3E58"/>
    <w:rsid w:val="0030542C"/>
    <w:rsid w:val="00311B7A"/>
    <w:rsid w:val="00372FA3"/>
    <w:rsid w:val="003A04C9"/>
    <w:rsid w:val="003D417F"/>
    <w:rsid w:val="003F60E9"/>
    <w:rsid w:val="004248B8"/>
    <w:rsid w:val="00424943"/>
    <w:rsid w:val="0043175C"/>
    <w:rsid w:val="00437296"/>
    <w:rsid w:val="00451590"/>
    <w:rsid w:val="00451871"/>
    <w:rsid w:val="00456B78"/>
    <w:rsid w:val="004631FC"/>
    <w:rsid w:val="004706DE"/>
    <w:rsid w:val="00472923"/>
    <w:rsid w:val="00496109"/>
    <w:rsid w:val="004B0C3A"/>
    <w:rsid w:val="004D5788"/>
    <w:rsid w:val="004E3066"/>
    <w:rsid w:val="004E74CD"/>
    <w:rsid w:val="00516E04"/>
    <w:rsid w:val="00565588"/>
    <w:rsid w:val="00572067"/>
    <w:rsid w:val="00573562"/>
    <w:rsid w:val="00590ECE"/>
    <w:rsid w:val="00592ADD"/>
    <w:rsid w:val="005D100A"/>
    <w:rsid w:val="006066A4"/>
    <w:rsid w:val="00614A29"/>
    <w:rsid w:val="00643AA7"/>
    <w:rsid w:val="00673D76"/>
    <w:rsid w:val="00674CD7"/>
    <w:rsid w:val="006854F0"/>
    <w:rsid w:val="006B1C4A"/>
    <w:rsid w:val="006B610D"/>
    <w:rsid w:val="006E49F5"/>
    <w:rsid w:val="007013C8"/>
    <w:rsid w:val="00717B1E"/>
    <w:rsid w:val="00753836"/>
    <w:rsid w:val="0075393C"/>
    <w:rsid w:val="00754592"/>
    <w:rsid w:val="00776C08"/>
    <w:rsid w:val="00780C4D"/>
    <w:rsid w:val="007C219A"/>
    <w:rsid w:val="007E1DA8"/>
    <w:rsid w:val="007F6C26"/>
    <w:rsid w:val="00813208"/>
    <w:rsid w:val="008334AE"/>
    <w:rsid w:val="00836FED"/>
    <w:rsid w:val="0083724E"/>
    <w:rsid w:val="00845CD2"/>
    <w:rsid w:val="00852B0D"/>
    <w:rsid w:val="00881692"/>
    <w:rsid w:val="00883D1A"/>
    <w:rsid w:val="008A25C2"/>
    <w:rsid w:val="008A6576"/>
    <w:rsid w:val="008B3CC5"/>
    <w:rsid w:val="008B52CD"/>
    <w:rsid w:val="008E4261"/>
    <w:rsid w:val="008F4662"/>
    <w:rsid w:val="00905D08"/>
    <w:rsid w:val="00922AEB"/>
    <w:rsid w:val="00925753"/>
    <w:rsid w:val="009425F4"/>
    <w:rsid w:val="00957F23"/>
    <w:rsid w:val="00966C5C"/>
    <w:rsid w:val="00973104"/>
    <w:rsid w:val="00995BF0"/>
    <w:rsid w:val="009A16D5"/>
    <w:rsid w:val="009A353D"/>
    <w:rsid w:val="009B0B77"/>
    <w:rsid w:val="009B511E"/>
    <w:rsid w:val="00A44E3D"/>
    <w:rsid w:val="00A72D2E"/>
    <w:rsid w:val="00A74447"/>
    <w:rsid w:val="00A74CE5"/>
    <w:rsid w:val="00A911E7"/>
    <w:rsid w:val="00A939D9"/>
    <w:rsid w:val="00B07D9E"/>
    <w:rsid w:val="00B20712"/>
    <w:rsid w:val="00B43238"/>
    <w:rsid w:val="00B45DD3"/>
    <w:rsid w:val="00B52632"/>
    <w:rsid w:val="00B727A9"/>
    <w:rsid w:val="00B75216"/>
    <w:rsid w:val="00B91D52"/>
    <w:rsid w:val="00B9490F"/>
    <w:rsid w:val="00BA1ACD"/>
    <w:rsid w:val="00BD09F8"/>
    <w:rsid w:val="00C320DA"/>
    <w:rsid w:val="00C713F3"/>
    <w:rsid w:val="00CA7176"/>
    <w:rsid w:val="00CB3D48"/>
    <w:rsid w:val="00CB4665"/>
    <w:rsid w:val="00CC75B0"/>
    <w:rsid w:val="00CD1D55"/>
    <w:rsid w:val="00CD2773"/>
    <w:rsid w:val="00CE143B"/>
    <w:rsid w:val="00D0024A"/>
    <w:rsid w:val="00D27003"/>
    <w:rsid w:val="00DA39E0"/>
    <w:rsid w:val="00DB4A9B"/>
    <w:rsid w:val="00E167C7"/>
    <w:rsid w:val="00E2482E"/>
    <w:rsid w:val="00E73D47"/>
    <w:rsid w:val="00EC47F6"/>
    <w:rsid w:val="00EE156D"/>
    <w:rsid w:val="00EE65B8"/>
    <w:rsid w:val="00F0705B"/>
    <w:rsid w:val="00F149E2"/>
    <w:rsid w:val="00F66032"/>
    <w:rsid w:val="00F87C1E"/>
    <w:rsid w:val="00F958C2"/>
    <w:rsid w:val="019F1377"/>
    <w:rsid w:val="06F01E8D"/>
    <w:rsid w:val="07212DE9"/>
    <w:rsid w:val="07DD4638"/>
    <w:rsid w:val="093C6326"/>
    <w:rsid w:val="0A033E9E"/>
    <w:rsid w:val="0B251F02"/>
    <w:rsid w:val="0FD26073"/>
    <w:rsid w:val="13A0615E"/>
    <w:rsid w:val="13CC64A1"/>
    <w:rsid w:val="14EB0CFD"/>
    <w:rsid w:val="153E0387"/>
    <w:rsid w:val="18672F01"/>
    <w:rsid w:val="1C201062"/>
    <w:rsid w:val="1E8C45D9"/>
    <w:rsid w:val="20603BC7"/>
    <w:rsid w:val="24CB337E"/>
    <w:rsid w:val="26BA48E1"/>
    <w:rsid w:val="273D46C2"/>
    <w:rsid w:val="2D9B1147"/>
    <w:rsid w:val="31563DCA"/>
    <w:rsid w:val="35164773"/>
    <w:rsid w:val="36801CC7"/>
    <w:rsid w:val="369A14DA"/>
    <w:rsid w:val="378E11AF"/>
    <w:rsid w:val="39845774"/>
    <w:rsid w:val="3A705830"/>
    <w:rsid w:val="3BDC7D7E"/>
    <w:rsid w:val="40B15F28"/>
    <w:rsid w:val="434D419C"/>
    <w:rsid w:val="436D243D"/>
    <w:rsid w:val="4A0E7114"/>
    <w:rsid w:val="50563353"/>
    <w:rsid w:val="506616BA"/>
    <w:rsid w:val="52AD08C2"/>
    <w:rsid w:val="52B34050"/>
    <w:rsid w:val="54A73C3D"/>
    <w:rsid w:val="55710F53"/>
    <w:rsid w:val="56872A0F"/>
    <w:rsid w:val="56991BAF"/>
    <w:rsid w:val="57252F6D"/>
    <w:rsid w:val="5ABE591A"/>
    <w:rsid w:val="5CB63BDE"/>
    <w:rsid w:val="5FF85EE9"/>
    <w:rsid w:val="602E3550"/>
    <w:rsid w:val="662D5F71"/>
    <w:rsid w:val="6A5B2DF9"/>
    <w:rsid w:val="6CAE7C4C"/>
    <w:rsid w:val="6CC15462"/>
    <w:rsid w:val="6D1759E4"/>
    <w:rsid w:val="6DF22F71"/>
    <w:rsid w:val="6E4B33D5"/>
    <w:rsid w:val="6EB44CBF"/>
    <w:rsid w:val="751318FD"/>
    <w:rsid w:val="7A305F23"/>
    <w:rsid w:val="7CC93BB2"/>
    <w:rsid w:val="7E1F14D5"/>
    <w:rsid w:val="7E551467"/>
    <w:rsid w:val="7EDE635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5"/>
    <w:unhideWhenUsed/>
    <w:qFormat/>
    <w:uiPriority w:val="99"/>
    <w:rPr>
      <w:sz w:val="18"/>
      <w:szCs w:val="18"/>
    </w:rPr>
  </w:style>
  <w:style w:type="paragraph" w:styleId="3">
    <w:name w:val="footer"/>
    <w:basedOn w:val="1"/>
    <w:link w:val="14"/>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qFormat/>
    <w:uiPriority w:val="39"/>
    <w:rPr>
      <w:rFonts w:ascii="Times New Roman" w:hAnsi="Times New Roman" w:eastAsia="宋体" w:cs="Times New Roman"/>
      <w:szCs w:val="24"/>
    </w:rPr>
  </w:style>
  <w:style w:type="paragraph" w:styleId="6">
    <w:name w:val="footnote text"/>
    <w:basedOn w:val="1"/>
    <w:link w:val="17"/>
    <w:unhideWhenUsed/>
    <w:qFormat/>
    <w:uiPriority w:val="99"/>
    <w:pPr>
      <w:snapToGrid w:val="0"/>
      <w:jc w:val="left"/>
    </w:pPr>
    <w:rPr>
      <w:rFonts w:ascii="Calibri" w:hAnsi="Calibri" w:eastAsia="宋体" w:cs="Times New Roman"/>
      <w:sz w:val="18"/>
      <w:szCs w:val="18"/>
    </w:rPr>
  </w:style>
  <w:style w:type="paragraph" w:styleId="7">
    <w:name w:val="toc 2"/>
    <w:basedOn w:val="1"/>
    <w:next w:val="1"/>
    <w:qFormat/>
    <w:uiPriority w:val="39"/>
    <w:pPr>
      <w:ind w:left="420" w:leftChars="200"/>
    </w:pPr>
    <w:rPr>
      <w:rFonts w:ascii="Times New Roman" w:hAnsi="Times New Roman" w:eastAsia="宋体" w:cs="Times New Roman"/>
      <w:szCs w:val="24"/>
    </w:rPr>
  </w:style>
  <w:style w:type="character" w:styleId="10">
    <w:name w:val="page number"/>
    <w:unhideWhenUsed/>
    <w:qFormat/>
    <w:uiPriority w:val="99"/>
  </w:style>
  <w:style w:type="character" w:styleId="11">
    <w:name w:val="Hyperlink"/>
    <w:unhideWhenUsed/>
    <w:qFormat/>
    <w:uiPriority w:val="99"/>
    <w:rPr>
      <w:color w:val="0000FF"/>
      <w:u w:val="single"/>
    </w:rPr>
  </w:style>
  <w:style w:type="character" w:styleId="12">
    <w:name w:val="footnote reference"/>
    <w:unhideWhenUsed/>
    <w:qFormat/>
    <w:uiPriority w:val="99"/>
    <w:rPr>
      <w:vertAlign w:val="superscript"/>
    </w:rPr>
  </w:style>
  <w:style w:type="character" w:customStyle="1" w:styleId="13">
    <w:name w:val="页眉 Char"/>
    <w:basedOn w:val="9"/>
    <w:link w:val="4"/>
    <w:qFormat/>
    <w:uiPriority w:val="99"/>
    <w:rPr>
      <w:rFonts w:ascii="Times New Roman" w:hAnsi="Times New Roman" w:eastAsia="宋体" w:cs="Times New Roman"/>
      <w:sz w:val="18"/>
      <w:szCs w:val="18"/>
    </w:rPr>
  </w:style>
  <w:style w:type="character" w:customStyle="1" w:styleId="14">
    <w:name w:val="页脚 Char"/>
    <w:basedOn w:val="9"/>
    <w:link w:val="3"/>
    <w:qFormat/>
    <w:uiPriority w:val="99"/>
    <w:rPr>
      <w:rFonts w:ascii="Times New Roman" w:hAnsi="Times New Roman" w:eastAsia="宋体" w:cs="Times New Roman"/>
      <w:sz w:val="18"/>
      <w:szCs w:val="18"/>
    </w:rPr>
  </w:style>
  <w:style w:type="character" w:customStyle="1" w:styleId="15">
    <w:name w:val="批注框文本 Char"/>
    <w:basedOn w:val="9"/>
    <w:link w:val="2"/>
    <w:semiHidden/>
    <w:qFormat/>
    <w:uiPriority w:val="99"/>
    <w:rPr>
      <w:sz w:val="18"/>
      <w:szCs w:val="18"/>
    </w:rPr>
  </w:style>
  <w:style w:type="paragraph" w:customStyle="1" w:styleId="16">
    <w:name w:val="Default"/>
    <w:qFormat/>
    <w:uiPriority w:val="0"/>
    <w:pPr>
      <w:widowControl w:val="0"/>
      <w:autoSpaceDE w:val="0"/>
      <w:autoSpaceDN w:val="0"/>
      <w:adjustRightInd w:val="0"/>
    </w:pPr>
    <w:rPr>
      <w:rFonts w:ascii="Times New Roman" w:hAnsi="Times New Roman" w:cs="Times New Roman" w:eastAsiaTheme="minorEastAsia"/>
      <w:color w:val="000000"/>
      <w:sz w:val="24"/>
      <w:szCs w:val="24"/>
      <w:lang w:val="en-US" w:eastAsia="zh-CN" w:bidi="ar-SA"/>
    </w:rPr>
  </w:style>
  <w:style w:type="character" w:customStyle="1" w:styleId="17">
    <w:name w:val="脚注文本 Char"/>
    <w:basedOn w:val="9"/>
    <w:link w:val="6"/>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33642F-ADBB-4505-9B05-7974B50909C2}">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14</Pages>
  <Words>5112</Words>
  <Characters>5691</Characters>
  <Lines>23</Lines>
  <Paragraphs>6</Paragraphs>
  <TotalTime>17</TotalTime>
  <ScaleCrop>false</ScaleCrop>
  <LinksUpToDate>false</LinksUpToDate>
  <CharactersWithSpaces>5720</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2021-05-21T07:12:00Z</dcterms:created>
  <dc:creator>guest</dc:creator>
  <cp:lastModifiedBy>A℃υǐ尒汎</cp:lastModifiedBy>
  <cp:lastPrinted>2019-03-03T02:36:00Z</cp:lastPrinted>
  <dcterms:modified xsi:type="dcterms:W3CDTF">2024-07-09T03:11:44Z</dcterms:modified>
  <dc:title>河北省财政厅2019年部门预算信息公开情况说明</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3CE4CC21E3AA4CA2A18E0125A65A5C11</vt:lpwstr>
  </property>
</Properties>
</file>