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</w:p>
    <w:p>
      <w:pPr>
        <w:spacing w:line="360" w:lineRule="auto"/>
        <w:jc w:val="center"/>
        <w:rPr>
          <w:rFonts w:ascii="仿宋_GB2312" w:hAnsi="仿宋" w:eastAsia="仿宋_GB2312" w:cs="仿宋"/>
          <w:color w:val="auto"/>
          <w:sz w:val="36"/>
          <w:szCs w:val="36"/>
        </w:rPr>
      </w:pPr>
      <w:r>
        <w:rPr>
          <w:rFonts w:hint="eastAsia" w:ascii="仿宋_GB2312" w:eastAsia="仿宋_GB2312"/>
          <w:b/>
          <w:bCs/>
          <w:color w:val="auto"/>
          <w:sz w:val="36"/>
          <w:szCs w:val="36"/>
        </w:rPr>
        <w:t>2019年司法局</w:t>
      </w:r>
      <w:r>
        <w:rPr>
          <w:rFonts w:hint="eastAsia" w:ascii="仿宋_GB2312" w:eastAsia="仿宋_GB2312"/>
          <w:b/>
          <w:bCs/>
          <w:color w:val="auto"/>
          <w:sz w:val="36"/>
          <w:szCs w:val="36"/>
          <w:lang w:eastAsia="zh-CN"/>
        </w:rPr>
        <w:t>人民调解经费、诉调对接经费</w:t>
      </w:r>
      <w:r>
        <w:rPr>
          <w:rFonts w:hint="eastAsia" w:ascii="仿宋_GB2312" w:eastAsia="仿宋_GB2312"/>
          <w:b/>
          <w:bCs/>
          <w:color w:val="auto"/>
          <w:sz w:val="36"/>
          <w:szCs w:val="36"/>
        </w:rPr>
        <w:t>项目</w:t>
      </w:r>
      <w:r>
        <w:rPr>
          <w:rFonts w:hint="eastAsia" w:ascii="仿宋_GB2312" w:eastAsia="仿宋_GB2312"/>
          <w:b/>
          <w:bCs/>
          <w:color w:val="auto"/>
          <w:sz w:val="36"/>
          <w:szCs w:val="36"/>
          <w:lang w:val="en-US" w:eastAsia="zh-CN"/>
        </w:rPr>
        <w:t xml:space="preserve">     </w:t>
      </w:r>
      <w:r>
        <w:rPr>
          <w:rFonts w:hint="eastAsia" w:ascii="仿宋_GB2312" w:eastAsia="仿宋_GB2312"/>
          <w:b/>
          <w:bCs/>
          <w:color w:val="auto"/>
          <w:sz w:val="36"/>
          <w:szCs w:val="36"/>
        </w:rPr>
        <w:t>绩效评价报告</w:t>
      </w:r>
    </w:p>
    <w:p>
      <w:pPr>
        <w:spacing w:line="360" w:lineRule="auto"/>
        <w:rPr>
          <w:rFonts w:ascii="仿宋_GB2312" w:hAnsi="仿宋" w:eastAsia="仿宋_GB2312" w:cs="仿宋"/>
          <w:color w:val="auto"/>
          <w:sz w:val="30"/>
          <w:szCs w:val="30"/>
        </w:rPr>
      </w:pPr>
    </w:p>
    <w:p>
      <w:pPr>
        <w:spacing w:line="360" w:lineRule="auto"/>
        <w:jc w:val="center"/>
        <w:rPr>
          <w:rFonts w:ascii="仿宋_GB2312" w:eastAsia="仿宋_GB2312"/>
          <w:color w:val="auto"/>
          <w:sz w:val="30"/>
          <w:szCs w:val="30"/>
        </w:rPr>
      </w:pP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</w:rPr>
        <w:t>根据《石家庄市鹿泉区区级部门预算绩效管理办法》（鹿财字[2019]65号），遵循“科学性、规范性、客观性和公正性”的原则，对</w:t>
      </w:r>
      <w:r>
        <w:rPr>
          <w:rFonts w:hint="eastAsia" w:ascii="仿宋_GB2312" w:hAnsi="仿宋" w:eastAsia="仿宋_GB2312" w:cs="宋体"/>
          <w:color w:val="auto"/>
          <w:kern w:val="0"/>
          <w:sz w:val="30"/>
          <w:szCs w:val="30"/>
        </w:rPr>
        <w:t>我单位对2019年部门整体支出进行了自评</w:t>
      </w:r>
      <w:r>
        <w:rPr>
          <w:rFonts w:hint="eastAsia" w:ascii="仿宋_GB2312" w:eastAsia="仿宋_GB2312"/>
          <w:color w:val="auto"/>
          <w:sz w:val="30"/>
          <w:szCs w:val="30"/>
        </w:rPr>
        <w:t>，形成本评价报告。</w:t>
      </w:r>
    </w:p>
    <w:p>
      <w:pPr>
        <w:adjustRightInd w:val="0"/>
        <w:snapToGrid w:val="0"/>
        <w:spacing w:line="360" w:lineRule="auto"/>
        <w:rPr>
          <w:rFonts w:ascii="仿宋_GB2312" w:eastAsia="仿宋_GB2312"/>
          <w:b w:val="0"/>
          <w:bCs w:val="0"/>
          <w:color w:val="auto"/>
          <w:sz w:val="30"/>
          <w:szCs w:val="30"/>
        </w:rPr>
      </w:pPr>
      <w:r>
        <w:rPr>
          <w:rFonts w:hint="eastAsia" w:ascii="仿宋_GB2312" w:eastAsia="仿宋_GB2312"/>
          <w:b w:val="0"/>
          <w:bCs w:val="0"/>
          <w:color w:val="auto"/>
          <w:sz w:val="30"/>
          <w:szCs w:val="30"/>
        </w:rPr>
        <w:t>一、项目基本情况</w:t>
      </w: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hAnsi="楷体_GB2312" w:eastAsia="仿宋_GB2312" w:cs="楷体_GB2312"/>
          <w:color w:val="auto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auto"/>
          <w:sz w:val="30"/>
          <w:szCs w:val="30"/>
        </w:rPr>
        <w:t>（一）项目概况</w:t>
      </w:r>
    </w:p>
    <w:p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autoSpaceDE w:val="0"/>
        <w:autoSpaceDN w:val="0"/>
        <w:adjustRightInd w:val="0"/>
        <w:spacing w:line="360" w:lineRule="auto"/>
        <w:ind w:firstLine="641"/>
        <w:jc w:val="left"/>
        <w:rPr>
          <w:rFonts w:ascii="仿宋_GB2312" w:hAnsi="Times New Roman" w:eastAsia="仿宋_GB2312" w:cs="Times New Roman"/>
          <w:color w:val="auto"/>
          <w:kern w:val="0"/>
          <w:sz w:val="30"/>
          <w:szCs w:val="30"/>
        </w:rPr>
      </w:pPr>
      <w:r>
        <w:rPr>
          <w:rFonts w:hint="eastAsia" w:ascii="仿宋_GB2312" w:eastAsia="仿宋_GB2312" w:cs="仿宋"/>
          <w:color w:val="auto"/>
          <w:kern w:val="0"/>
          <w:sz w:val="30"/>
          <w:szCs w:val="30"/>
          <w:lang w:val="en-US" w:eastAsia="zh-CN"/>
        </w:rPr>
        <w:t>1、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</w:rPr>
        <w:t>人民调解经费48万元。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 xml:space="preserve"> 根据鹿司[2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019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]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13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号鹿泉区司法局关于印发《人民调解员工作保障办法》的通知和鹿司[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2019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]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18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号《关于加强人民调解员队伍建设的实施意见》，采取兼职调解员“以案定补”的方式和专职调解员基本薪酬加“以案定补”的方式利用民调经费。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</w:rPr>
        <w:t>财政补贴12万，乡镇统筹36.3万，共计48万。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  <w:lang w:val="zh-CN"/>
        </w:rPr>
        <w:t>全区216个村（居）调委会，13个乡镇调委会，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  <w:lang w:val="en-US" w:eastAsia="zh-CN"/>
        </w:rPr>
        <w:t>9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  <w:lang w:val="zh-CN"/>
        </w:rPr>
        <w:t>个行业调委会，每年调解民间纠纷4000余件，该资金用于人民调解委员会调解员基本薪酬加“以案定补”。深入贯彻落实司法部等六部委《关于加强人民调解员队伍建设的意见》（司发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[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2018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]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219号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  <w:lang w:val="zh-CN"/>
        </w:rPr>
        <w:t>），建设高素质人民调解员队伍，进一步调动全区基层人民调解员工作的积极性、主动性，充分发挥人民调解工作在构建和谐稳定社会中的第一道防线作用，促进鹿泉经济又好又快发展，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</w:rPr>
        <w:t>探索实行人民调解员分类管理制度，强化职业准入，推行等级评定，提升专业能力，推动民调队伍整体上由粗放型向内涵型、数量型向素质型、传统型向现代型转变。挑选一批业务精湛、热衷民调事业的民调员，组建专业调解团队，实行跨区调解，将矛盾化解在基层，保障社会秩序平安稳定。1、重点提高调解成功率，调解成功率达到98%以上</w:t>
      </w:r>
      <w:r>
        <w:rPr>
          <w:rFonts w:hint="eastAsia" w:ascii="仿宋_GB2312" w:eastAsia="仿宋_GB2312" w:cs="仿宋"/>
          <w:color w:val="auto"/>
          <w:kern w:val="0"/>
          <w:sz w:val="30"/>
          <w:szCs w:val="30"/>
          <w:lang w:eastAsia="zh-CN"/>
        </w:rPr>
        <w:t>。</w:t>
      </w:r>
      <w:r>
        <w:rPr>
          <w:rFonts w:hint="eastAsia" w:ascii="仿宋_GB2312" w:hAnsi="Times New Roman" w:eastAsia="仿宋_GB2312" w:cs="仿宋"/>
          <w:color w:val="auto"/>
          <w:kern w:val="0"/>
          <w:sz w:val="30"/>
          <w:szCs w:val="30"/>
        </w:rPr>
        <w:t>2、重点</w:t>
      </w:r>
      <w:r>
        <w:rPr>
          <w:rFonts w:hint="eastAsia" w:ascii="仿宋_GB2312" w:hAnsi="Times New Roman" w:eastAsia="仿宋_GB2312" w:cs="仿宋"/>
          <w:color w:val="auto"/>
          <w:kern w:val="0"/>
          <w:sz w:val="30"/>
          <w:szCs w:val="30"/>
          <w:lang w:eastAsia="zh-CN"/>
        </w:rPr>
        <w:t>保障</w:t>
      </w:r>
      <w:r>
        <w:rPr>
          <w:rFonts w:hint="eastAsia" w:ascii="仿宋_GB2312" w:hAnsi="Times New Roman" w:eastAsia="仿宋_GB2312" w:cs="仿宋"/>
          <w:color w:val="auto"/>
          <w:kern w:val="0"/>
          <w:sz w:val="30"/>
          <w:szCs w:val="30"/>
        </w:rPr>
        <w:t>人民调解协议履行率，促进人民调解工作质量和人民调解协议规范化水平。</w:t>
      </w:r>
    </w:p>
    <w:p>
      <w:pPr>
        <w:tabs>
          <w:tab w:val="left" w:pos="4438"/>
          <w:tab w:val="left" w:pos="4620"/>
          <w:tab w:val="left" w:pos="5040"/>
          <w:tab w:val="left" w:pos="5460"/>
          <w:tab w:val="left" w:pos="5880"/>
          <w:tab w:val="left" w:pos="6300"/>
          <w:tab w:val="left" w:pos="6720"/>
          <w:tab w:val="left" w:pos="7140"/>
          <w:tab w:val="left" w:pos="7560"/>
          <w:tab w:val="left" w:pos="7980"/>
          <w:tab w:val="left" w:pos="8400"/>
          <w:tab w:val="left" w:pos="8820"/>
          <w:tab w:val="left" w:pos="9240"/>
          <w:tab w:val="left" w:pos="9660"/>
        </w:tabs>
        <w:autoSpaceDE w:val="0"/>
        <w:autoSpaceDN w:val="0"/>
        <w:adjustRightInd w:val="0"/>
        <w:ind w:firstLine="450" w:firstLineChars="150"/>
        <w:rPr>
          <w:rFonts w:ascii="仿宋_GB2312" w:eastAsia="仿宋_GB2312" w:cs="宋体"/>
          <w:color w:val="auto"/>
          <w:kern w:val="0"/>
          <w:sz w:val="30"/>
          <w:szCs w:val="30"/>
          <w:lang w:val="zh-CN"/>
        </w:rPr>
      </w:pP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2、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诉调对接中心工作经费30万元。根据石政法字[2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018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]51号《关于进一步加强和完善诉调对接工作的指导意见》的通知精神，为进一步加强矛盾纠纷多元化解机制建设，充分发挥诉调对接中心职能作用，提升社会矛盾纠纷排查化解工作能力水平，维护好人民合法权益。矛盾纠纷既可以通过司法方式解决，也可以通过个性化的非诉讼纠纷解决方式解决。要满足人民群众对纠纷解决方式的多元需求，打破司法诉讼包打天下的局面，就要构建多元化的矛盾纠纷解决机制，而诉调对接是构建矛盾纠纷多元化解机制的重要组成部分。诉调对接中心将解决对诉至法院的纠纷进行过滤、分流，引导当事人选择诉前调解解决纠纷，减少当事人诉累问题。</w:t>
      </w:r>
    </w:p>
    <w:p>
      <w:pPr>
        <w:adjustRightInd w:val="0"/>
        <w:snapToGrid w:val="0"/>
        <w:spacing w:line="360" w:lineRule="auto"/>
        <w:ind w:firstLine="450" w:firstLineChars="15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auto"/>
          <w:sz w:val="30"/>
          <w:szCs w:val="30"/>
        </w:rPr>
        <w:t>（二）项目预期绩效目标</w:t>
      </w:r>
    </w:p>
    <w:p>
      <w:pPr>
        <w:adjustRightInd w:val="0"/>
        <w:snapToGrid w:val="0"/>
        <w:spacing w:line="360" w:lineRule="auto"/>
        <w:ind w:firstLine="750" w:firstLineChars="25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  <w:lang w:val="en-US" w:eastAsia="zh-CN"/>
        </w:rPr>
        <w:t>1、</w:t>
      </w:r>
      <w:r>
        <w:rPr>
          <w:rFonts w:hint="eastAsia" w:ascii="仿宋_GB2312" w:eastAsia="仿宋_GB2312"/>
          <w:color w:val="auto"/>
          <w:sz w:val="30"/>
          <w:szCs w:val="30"/>
        </w:rPr>
        <w:t xml:space="preserve"> 根据</w:t>
      </w:r>
      <w:r>
        <w:rPr>
          <w:rFonts w:hint="eastAsia" w:ascii="仿宋_GB2312" w:eastAsia="仿宋_GB2312"/>
          <w:color w:val="auto"/>
          <w:sz w:val="30"/>
          <w:szCs w:val="30"/>
          <w:lang w:eastAsia="zh-CN"/>
        </w:rPr>
        <w:t>兼职</w:t>
      </w:r>
      <w:r>
        <w:rPr>
          <w:rFonts w:hint="eastAsia" w:ascii="仿宋_GB2312" w:eastAsia="仿宋_GB2312"/>
          <w:color w:val="auto"/>
          <w:sz w:val="30"/>
          <w:szCs w:val="30"/>
        </w:rPr>
        <w:t>人民调解员“以案定补”</w:t>
      </w:r>
      <w:r>
        <w:rPr>
          <w:rFonts w:hint="eastAsia" w:ascii="仿宋_GB2312" w:eastAsia="仿宋_GB2312"/>
          <w:color w:val="auto"/>
          <w:sz w:val="30"/>
          <w:szCs w:val="30"/>
          <w:lang w:eastAsia="zh-CN"/>
        </w:rPr>
        <w:t>和专职人民调解员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zh-CN"/>
        </w:rPr>
        <w:t>基本薪酬加“以案定补”的</w:t>
      </w:r>
      <w:r>
        <w:rPr>
          <w:rFonts w:hint="eastAsia" w:ascii="仿宋_GB2312" w:eastAsia="仿宋_GB2312"/>
          <w:color w:val="auto"/>
          <w:sz w:val="30"/>
          <w:szCs w:val="30"/>
        </w:rPr>
        <w:t>方式为民调员发放补贴，</w:t>
      </w:r>
      <w:r>
        <w:rPr>
          <w:rFonts w:hint="eastAsia" w:ascii="仿宋_GB2312" w:eastAsia="仿宋_GB2312"/>
          <w:color w:val="auto"/>
          <w:sz w:val="30"/>
          <w:szCs w:val="30"/>
          <w:lang w:eastAsia="zh-CN"/>
        </w:rPr>
        <w:t>积极参与矛盾纠纷化解</w:t>
      </w:r>
      <w:r>
        <w:rPr>
          <w:rFonts w:hint="eastAsia" w:ascii="仿宋_GB2312" w:eastAsia="仿宋_GB2312"/>
          <w:color w:val="auto"/>
          <w:sz w:val="30"/>
          <w:szCs w:val="30"/>
        </w:rPr>
        <w:t>。每年各调委会排查各类矛盾纠纷4000余起，化解3800余件，矛盾纠纷化解率达到95%以上。</w:t>
      </w:r>
    </w:p>
    <w:p>
      <w:pPr>
        <w:adjustRightInd w:val="0"/>
        <w:snapToGrid w:val="0"/>
        <w:spacing w:line="360" w:lineRule="auto"/>
        <w:ind w:firstLine="750" w:firstLineChars="25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  <w:lang w:val="en-US" w:eastAsia="zh-CN"/>
        </w:rPr>
        <w:t>2、</w:t>
      </w:r>
      <w:r>
        <w:rPr>
          <w:rFonts w:hint="eastAsia" w:ascii="仿宋_GB2312" w:eastAsia="仿宋_GB2312"/>
          <w:color w:val="auto"/>
          <w:sz w:val="30"/>
          <w:szCs w:val="30"/>
        </w:rPr>
        <w:t xml:space="preserve"> 诉调对接中心专职人民调解员6名,工资支出和办理调解案件“以案定补”支出，诉调对接中心办公一般性经费支出。预计办理法院交付诉调案件600余件，办公设备、用品消耗2万元，支付专职调解员基本补贴和案件补贴。</w:t>
      </w: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hAnsi="黑体" w:eastAsia="仿宋_GB2312" w:cs="黑体"/>
          <w:b w:val="0"/>
          <w:bCs w:val="0"/>
          <w:color w:val="auto"/>
          <w:sz w:val="30"/>
          <w:szCs w:val="30"/>
        </w:rPr>
      </w:pPr>
      <w:r>
        <w:rPr>
          <w:rFonts w:hint="eastAsia" w:ascii="仿宋_GB2312" w:hAnsi="黑体" w:eastAsia="仿宋_GB2312" w:cs="黑体"/>
          <w:b w:val="0"/>
          <w:bCs w:val="0"/>
          <w:color w:val="auto"/>
          <w:sz w:val="30"/>
          <w:szCs w:val="30"/>
          <w:shd w:val="clear" w:color="auto" w:fill="auto"/>
        </w:rPr>
        <w:t>二、绩效评价工作情况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ascii="仿宋_GB2312" w:hAnsi="微软雅黑" w:eastAsia="仿宋_GB2312" w:cs="宋体"/>
          <w:color w:val="auto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auto"/>
          <w:kern w:val="0"/>
          <w:sz w:val="30"/>
          <w:szCs w:val="30"/>
        </w:rPr>
        <w:t>我局成立了以分管财务的副局长为组长，相关科室负责人为成员的预算绩效评价工作小组，明确熟悉财务工作的同志具体负责绩效评价工作，机关各科室密切配合，提供绩效评价所需要的数据和材料，力争做好2019年预算绩效评价工作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ascii="仿宋_GB2312" w:hAnsi="微软雅黑" w:eastAsia="仿宋_GB2312" w:cs="宋体"/>
          <w:color w:val="auto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auto"/>
          <w:kern w:val="0"/>
          <w:sz w:val="30"/>
          <w:szCs w:val="30"/>
        </w:rPr>
        <w:t>2019年，全区司法行政工作深入贯彻党的十九大和十九届二中、三中、四中全会精神,认真贯彻习近平新时代中国特色社会主义思想，全面落实区委区政府和省司法厅工作部署，较好地完成了各项绩效工作任务。主要工作情况自评如下：</w:t>
      </w:r>
    </w:p>
    <w:p>
      <w:pPr>
        <w:widowControl w:val="0"/>
        <w:wordWrap/>
        <w:adjustRightInd/>
        <w:snapToGrid/>
        <w:spacing w:line="578" w:lineRule="exact"/>
        <w:ind w:right="0" w:firstLine="900" w:firstLineChars="300"/>
        <w:jc w:val="both"/>
        <w:textAlignment w:val="auto"/>
        <w:outlineLvl w:val="9"/>
        <w:rPr>
          <w:rFonts w:ascii="仿宋_GB2312" w:hAnsi="微软雅黑" w:eastAsia="仿宋_GB2312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2019年，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我区成立矛盾纠纷多元化解中心，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包涵行业专业性纠纷协调、诉调对接协调、行政协调、疑难纠纷协调四块内容，结合“枫桥经验”内涵和本地实际制定了区矛盾纠纷多元化解中心职责定位：围绕“促和谐、保稳定、矛盾不上交、纠纷不出事、服务不缺位”，统筹协调行业、企业、乡、村（社区）调委会案件调解，直接化解区域内出现的需要跨地域、行业的复杂、疑难矛盾纠纷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。鹿泉区矛盾纠纷多元化解中心成立以来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共接受诉调对接案件318起，其中达成协议63起，正在调解的案件115起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全年各级调解组织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共排查矛盾纠纷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4000余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起，成功调处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3960余</w:t>
      </w:r>
      <w:r>
        <w:rPr>
          <w:rFonts w:hint="eastAsia" w:ascii="仿宋_GB2312" w:hAnsi="微软雅黑" w:eastAsia="仿宋_GB2312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起，调处成功率达99% 。</w:t>
      </w:r>
    </w:p>
    <w:p>
      <w:pPr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auto"/>
          <w:sz w:val="30"/>
          <w:szCs w:val="30"/>
        </w:rPr>
        <w:t>（三）建立绩效评价指标体系</w:t>
      </w:r>
    </w:p>
    <w:p>
      <w:pPr>
        <w:ind w:firstLine="600" w:firstLineChars="20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</w:rPr>
        <w:t>在开展预算绩效评价工作时，针对具体绩效评价对象的特点，设计具体的绩效评价指标体系。除共性指标外，必须设置能够体现项目特点和绩效的个性指标；项目产出指标与项目效果指标设置数量在8个（含）以上，分值权重占总体的65%以上。</w:t>
      </w:r>
    </w:p>
    <w:p>
      <w:pPr>
        <w:rPr>
          <w:rFonts w:ascii="仿宋_GB2312" w:hAnsi="黑体" w:eastAsia="仿宋_GB2312" w:cs="黑体"/>
          <w:b/>
          <w:bCs/>
          <w:color w:val="auto"/>
          <w:sz w:val="30"/>
          <w:szCs w:val="30"/>
        </w:rPr>
      </w:pPr>
      <w:r>
        <w:rPr>
          <w:rFonts w:hint="eastAsia" w:ascii="仿宋_GB2312" w:hAnsi="黑体" w:eastAsia="仿宋_GB2312" w:cs="黑体"/>
          <w:color w:val="auto"/>
          <w:sz w:val="30"/>
          <w:szCs w:val="30"/>
        </w:rPr>
        <w:t>三、项目执行及绩效实现情况</w:t>
      </w:r>
    </w:p>
    <w:p>
      <w:pPr>
        <w:rPr>
          <w:rFonts w:ascii="仿宋_GB2312" w:hAnsi="楷体_GB2312" w:eastAsia="仿宋_GB2312" w:cs="楷体_GB2312"/>
          <w:color w:val="auto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auto"/>
          <w:sz w:val="30"/>
          <w:szCs w:val="30"/>
        </w:rPr>
        <w:t xml:space="preserve">   （一）项目投入</w:t>
      </w:r>
    </w:p>
    <w:p>
      <w:pPr>
        <w:pStyle w:val="4"/>
        <w:spacing w:before="0" w:beforeAutospacing="0" w:after="0" w:afterAutospacing="0" w:line="450" w:lineRule="atLeast"/>
        <w:ind w:firstLine="495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  <w:shd w:val="clear" w:color="auto" w:fill="FFFFFF"/>
        </w:rPr>
        <w:t>项目实施后，经费到位及时，经费支出合理合规，各个项目结案率80%，受援对象满意度100%，实现了预定的绩效目标。项目设立依据充分，并且目标明确，符合中央有关加强绩效工作的要求，在推进依法治区进程、维护社会和谐稳定中发挥了重要作用。</w:t>
      </w:r>
    </w:p>
    <w:p>
      <w:pPr>
        <w:ind w:firstLine="600" w:firstLineChars="200"/>
        <w:rPr>
          <w:rFonts w:ascii="仿宋_GB2312" w:hAnsi="楷体_GB2312" w:eastAsia="仿宋_GB2312" w:cs="楷体_GB2312"/>
          <w:color w:val="auto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auto"/>
          <w:sz w:val="30"/>
          <w:szCs w:val="30"/>
        </w:rPr>
        <w:t>（二）项目实施过程</w:t>
      </w:r>
    </w:p>
    <w:p>
      <w:pPr>
        <w:pStyle w:val="4"/>
        <w:spacing w:before="0" w:beforeAutospacing="0" w:after="0" w:afterAutospacing="0" w:line="450" w:lineRule="atLeast"/>
        <w:ind w:firstLine="1005" w:firstLineChars="335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/>
          <w:color w:val="auto"/>
          <w:sz w:val="30"/>
          <w:szCs w:val="30"/>
        </w:rPr>
        <w:t>经费</w:t>
      </w:r>
      <w:r>
        <w:rPr>
          <w:rFonts w:hint="eastAsia" w:ascii="仿宋_GB2312" w:eastAsia="仿宋_GB2312"/>
          <w:color w:val="auto"/>
          <w:sz w:val="30"/>
          <w:szCs w:val="30"/>
          <w:shd w:val="clear" w:color="auto" w:fill="FFFFFF"/>
        </w:rPr>
        <w:t>项目下达后严格会计核算，确保专款专用，实行专账核算；加强财务管理，除国家规定可以用现金支付的外，其余一律都要通过银行进行</w:t>
      </w:r>
      <w:r>
        <w:rPr>
          <w:rFonts w:hint="eastAsia" w:ascii="仿宋_GB2312" w:eastAsia="仿宋_GB2312"/>
          <w:color w:val="auto"/>
          <w:sz w:val="30"/>
          <w:szCs w:val="30"/>
          <w:shd w:val="clear" w:color="auto" w:fill="FFFFFF"/>
          <w:lang w:eastAsia="zh-CN"/>
        </w:rPr>
        <w:t>转账</w:t>
      </w:r>
      <w:r>
        <w:rPr>
          <w:rFonts w:hint="eastAsia" w:ascii="仿宋_GB2312" w:eastAsia="仿宋_GB2312"/>
          <w:color w:val="auto"/>
          <w:sz w:val="30"/>
          <w:szCs w:val="30"/>
          <w:shd w:val="clear" w:color="auto" w:fill="FFFFFF"/>
        </w:rPr>
        <w:t>结算；在资金使用过程中，严把监督审核关，建立健全内部审核制度，坚持经手、复核、领导审签后财务划款原则。</w:t>
      </w:r>
    </w:p>
    <w:p>
      <w:pPr>
        <w:ind w:firstLine="300" w:firstLineChars="100"/>
        <w:rPr>
          <w:rFonts w:ascii="仿宋_GB2312" w:hAnsi="楷体_GB2312" w:eastAsia="仿宋_GB2312" w:cs="楷体_GB2312"/>
          <w:color w:val="auto"/>
          <w:sz w:val="30"/>
          <w:szCs w:val="30"/>
        </w:rPr>
      </w:pPr>
      <w:r>
        <w:rPr>
          <w:rFonts w:hint="eastAsia" w:ascii="仿宋_GB2312" w:hAnsi="楷体_GB2312" w:eastAsia="仿宋_GB2312" w:cs="楷体_GB2312"/>
          <w:color w:val="auto"/>
          <w:sz w:val="30"/>
          <w:szCs w:val="30"/>
        </w:rPr>
        <w:t>（三）项目效果</w:t>
      </w:r>
    </w:p>
    <w:p>
      <w:pPr>
        <w:adjustRightInd w:val="0"/>
        <w:spacing w:line="360" w:lineRule="auto"/>
        <w:ind w:firstLine="600" w:firstLineChars="20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eastAsia="仿宋_GB2312" w:cs="仿宋"/>
          <w:color w:val="auto"/>
          <w:kern w:val="0"/>
          <w:sz w:val="30"/>
          <w:szCs w:val="30"/>
        </w:rPr>
        <w:t>据2019年《工作计划》结合我区实际，统筹推进我区法治宣传育民工程，法律服务利民工程，法律援助济民工程、人民调解和民生工程，特殊人群安民工程的深度和广度，不断增强公共法律服务的标准化、精确化、便捷化，更好地服务保障</w:t>
      </w:r>
      <w:r>
        <w:rPr>
          <w:rFonts w:hint="eastAsia" w:ascii="仿宋_GB2312" w:hAnsi="Times New Roman" w:eastAsia="仿宋_GB2312" w:cs="Times New Roman"/>
          <w:color w:val="auto"/>
          <w:kern w:val="0"/>
          <w:sz w:val="30"/>
          <w:szCs w:val="30"/>
        </w:rPr>
        <w:t>“</w:t>
      </w:r>
      <w:r>
        <w:rPr>
          <w:rFonts w:hint="eastAsia" w:ascii="仿宋_GB2312" w:hAnsi="Times New Roman" w:eastAsia="仿宋_GB2312" w:cs="仿宋"/>
          <w:color w:val="auto"/>
          <w:kern w:val="0"/>
          <w:sz w:val="30"/>
          <w:szCs w:val="30"/>
        </w:rPr>
        <w:t>法治鹿泉、平安鹿泉</w:t>
      </w:r>
      <w:r>
        <w:rPr>
          <w:rFonts w:hint="eastAsia" w:ascii="仿宋_GB2312" w:hAnsi="Times New Roman" w:eastAsia="仿宋_GB2312" w:cs="Times New Roman"/>
          <w:color w:val="auto"/>
          <w:kern w:val="0"/>
          <w:sz w:val="30"/>
          <w:szCs w:val="30"/>
        </w:rPr>
        <w:t>”</w:t>
      </w:r>
      <w:r>
        <w:rPr>
          <w:rFonts w:hint="eastAsia" w:ascii="仿宋_GB2312" w:hAnsi="Times New Roman" w:eastAsia="仿宋_GB2312" w:cs="仿宋"/>
          <w:color w:val="auto"/>
          <w:kern w:val="0"/>
          <w:sz w:val="30"/>
          <w:szCs w:val="30"/>
        </w:rPr>
        <w:t>建设。</w:t>
      </w:r>
    </w:p>
    <w:p>
      <w:pPr>
        <w:ind w:firstLine="600" w:firstLineChars="200"/>
        <w:rPr>
          <w:rFonts w:ascii="仿宋_GB2312" w:eastAsia="仿宋_GB2312"/>
          <w:color w:val="auto"/>
          <w:sz w:val="30"/>
          <w:szCs w:val="30"/>
        </w:rPr>
      </w:pPr>
      <w:r>
        <w:rPr>
          <w:rFonts w:hint="eastAsia" w:ascii="仿宋_GB2312" w:hAnsi="黑体" w:eastAsia="仿宋_GB2312"/>
          <w:color w:val="auto"/>
          <w:sz w:val="30"/>
          <w:szCs w:val="30"/>
          <w:lang w:eastAsia="zh-CN"/>
        </w:rPr>
        <w:t>四</w:t>
      </w:r>
      <w:r>
        <w:rPr>
          <w:rFonts w:hint="eastAsia" w:ascii="仿宋_GB2312" w:hAnsi="黑体" w:eastAsia="仿宋_GB2312"/>
          <w:color w:val="auto"/>
          <w:sz w:val="30"/>
          <w:szCs w:val="30"/>
        </w:rPr>
        <w:t>、存在的问题及改进措施</w:t>
      </w:r>
    </w:p>
    <w:p>
      <w:pPr>
        <w:widowControl/>
        <w:spacing w:line="315" w:lineRule="atLeast"/>
        <w:ind w:firstLine="640"/>
        <w:rPr>
          <w:rFonts w:hint="eastAsia" w:ascii="仿宋_GB2312" w:hAnsi="仿宋" w:eastAsia="仿宋_GB2312" w:cs="宋体"/>
          <w:color w:val="auto"/>
          <w:kern w:val="0"/>
          <w:sz w:val="30"/>
          <w:szCs w:val="30"/>
        </w:rPr>
      </w:pPr>
      <w:r>
        <w:rPr>
          <w:rFonts w:hint="eastAsia" w:ascii="仿宋_GB2312" w:hAnsi="仿宋" w:eastAsia="仿宋_GB2312" w:cs="宋体"/>
          <w:color w:val="auto"/>
          <w:kern w:val="0"/>
          <w:sz w:val="30"/>
          <w:szCs w:val="30"/>
        </w:rPr>
        <w:t>问题：人员和经费不足。一是由于司法行政工作社会面广、工作量大，政府购买还没有完全落实，司法行政部门人力不足问题，不能得到有效缓解。</w:t>
      </w:r>
    </w:p>
    <w:p>
      <w:pPr>
        <w:widowControl/>
        <w:spacing w:line="315" w:lineRule="atLeast"/>
        <w:ind w:firstLine="640"/>
        <w:rPr>
          <w:rFonts w:ascii="仿宋_GB2312" w:hAnsi="Calibri" w:eastAsia="仿宋_GB2312" w:cs="宋体"/>
          <w:color w:val="auto"/>
          <w:kern w:val="0"/>
          <w:sz w:val="30"/>
          <w:szCs w:val="30"/>
        </w:rPr>
      </w:pPr>
      <w:r>
        <w:rPr>
          <w:rFonts w:hint="eastAsia" w:ascii="仿宋_GB2312" w:hAnsi="仿宋" w:eastAsia="仿宋_GB2312" w:cs="宋体"/>
          <w:color w:val="auto"/>
          <w:kern w:val="0"/>
          <w:sz w:val="30"/>
          <w:szCs w:val="30"/>
        </w:rPr>
        <w:t>建议：根据实际情况，逐年增加相关工作经费，面向社会引进一批政治素养、法律素养、文化素养等综合素养高的人员，充实司法行政队伍。</w:t>
      </w:r>
    </w:p>
    <w:p>
      <w:pPr>
        <w:rPr>
          <w:rFonts w:ascii="仿宋_GB2312" w:hAnsi="楷体_GB2312" w:eastAsia="仿宋_GB2312"/>
          <w:color w:val="auto"/>
          <w:sz w:val="30"/>
          <w:szCs w:val="30"/>
        </w:rPr>
      </w:pPr>
    </w:p>
    <w:p>
      <w:pPr>
        <w:rPr>
          <w:rFonts w:ascii="仿宋_GB2312" w:eastAsia="仿宋_GB2312"/>
          <w:color w:val="000000"/>
          <w:sz w:val="30"/>
          <w:szCs w:val="30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32"/>
          <w:szCs w:val="32"/>
        </w:rPr>
      </w:pPr>
    </w:p>
    <w:p>
      <w:pPr>
        <w:adjustRightInd w:val="0"/>
        <w:spacing w:line="360" w:lineRule="auto"/>
        <w:rPr>
          <w:rFonts w:ascii="宋体" w:hAnsi="宋体"/>
          <w:b/>
          <w:color w:val="000000"/>
          <w:sz w:val="32"/>
          <w:shd w:val="clear" w:color="auto" w:fill="FFFFFF"/>
        </w:rPr>
      </w:pPr>
    </w:p>
    <w:p/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22E18"/>
    <w:rsid w:val="00045879"/>
    <w:rsid w:val="00104508"/>
    <w:rsid w:val="00160DAD"/>
    <w:rsid w:val="001A309B"/>
    <w:rsid w:val="001C5401"/>
    <w:rsid w:val="00372CB4"/>
    <w:rsid w:val="003743D4"/>
    <w:rsid w:val="00380CBD"/>
    <w:rsid w:val="003B1B23"/>
    <w:rsid w:val="003E0598"/>
    <w:rsid w:val="00417441"/>
    <w:rsid w:val="00436284"/>
    <w:rsid w:val="004A1308"/>
    <w:rsid w:val="00574162"/>
    <w:rsid w:val="005858E8"/>
    <w:rsid w:val="005F13D4"/>
    <w:rsid w:val="00637A5D"/>
    <w:rsid w:val="008159B6"/>
    <w:rsid w:val="008609A7"/>
    <w:rsid w:val="00867C65"/>
    <w:rsid w:val="00934BE2"/>
    <w:rsid w:val="009552E5"/>
    <w:rsid w:val="00991C04"/>
    <w:rsid w:val="009E3003"/>
    <w:rsid w:val="009F03D5"/>
    <w:rsid w:val="00A003B8"/>
    <w:rsid w:val="00A077F3"/>
    <w:rsid w:val="00A74571"/>
    <w:rsid w:val="00A76183"/>
    <w:rsid w:val="00AE2C2B"/>
    <w:rsid w:val="00AF2AC5"/>
    <w:rsid w:val="00C12B29"/>
    <w:rsid w:val="00C303FD"/>
    <w:rsid w:val="00C61E3F"/>
    <w:rsid w:val="00C71C33"/>
    <w:rsid w:val="00C732FD"/>
    <w:rsid w:val="00CB3A14"/>
    <w:rsid w:val="00CC44AE"/>
    <w:rsid w:val="00CC58F6"/>
    <w:rsid w:val="00CD77C4"/>
    <w:rsid w:val="00D33831"/>
    <w:rsid w:val="00DD69B8"/>
    <w:rsid w:val="00EB3197"/>
    <w:rsid w:val="00EB7061"/>
    <w:rsid w:val="00EF4E2A"/>
    <w:rsid w:val="00F26A0B"/>
    <w:rsid w:val="00FB7BC5"/>
    <w:rsid w:val="00FE1057"/>
    <w:rsid w:val="1AE60018"/>
    <w:rsid w:val="2A2941B7"/>
    <w:rsid w:val="2B0C377C"/>
    <w:rsid w:val="31D774E0"/>
    <w:rsid w:val="5B735840"/>
    <w:rsid w:val="63CE7FDB"/>
    <w:rsid w:val="69DE3522"/>
    <w:rsid w:val="6D280096"/>
    <w:rsid w:val="72FA325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19</Pages>
  <Words>8484</Words>
  <Characters>645</Characters>
  <Lines>5</Lines>
  <Paragraphs>18</Paragraphs>
  <TotalTime>15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2020-01-03T00:32:00Z</dcterms:created>
  <dc:creator>838</dc:creator>
  <cp:lastModifiedBy>Administrator</cp:lastModifiedBy>
  <cp:lastPrinted>2020-01-07T06:40:00Z</cp:lastPrinted>
  <dcterms:modified xsi:type="dcterms:W3CDTF">2024-07-08T08:26:06Z</dcterms:modified>
  <dc:title>2019年司法局部门整体支出项目绩效评价报告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