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default" w:ascii="黑体" w:hAnsi="黑体" w:eastAsia="黑体" w:cs="黑体"/>
          <w:b w:val="0"/>
          <w:bCs w:val="0"/>
          <w:sz w:val="32"/>
          <w:szCs w:val="32"/>
          <w:lang w:val="en-US" w:eastAsia="zh-CN"/>
        </w:rPr>
      </w:pPr>
    </w:p>
    <w:p>
      <w:pPr>
        <w:spacing w:line="360" w:lineRule="auto"/>
        <w:ind w:left="0" w:leftChars="0" w:right="0" w:rightChars="0" w:firstLine="0" w:firstLineChars="0"/>
        <w:jc w:val="center"/>
        <w:rPr>
          <w:rFonts w:hint="eastAsia" w:asciiTheme="majorEastAsia" w:hAnsiTheme="majorEastAsia" w:eastAsiaTheme="majorEastAsia" w:cstheme="majorEastAsia"/>
          <w:b w:val="0"/>
          <w:bCs w:val="0"/>
          <w:sz w:val="36"/>
          <w:szCs w:val="36"/>
          <w:lang w:eastAsia="zh-CN"/>
        </w:rPr>
      </w:pPr>
      <w:r>
        <w:rPr>
          <w:rFonts w:hint="eastAsia" w:asciiTheme="majorEastAsia" w:hAnsiTheme="majorEastAsia" w:eastAsiaTheme="majorEastAsia" w:cstheme="majorEastAsia"/>
          <w:b w:val="0"/>
          <w:bCs w:val="0"/>
          <w:sz w:val="36"/>
          <w:szCs w:val="36"/>
          <w:lang w:val="en-US" w:eastAsia="zh-CN"/>
        </w:rPr>
        <w:t>见义勇为</w:t>
      </w:r>
      <w:r>
        <w:rPr>
          <w:rFonts w:hint="eastAsia" w:asciiTheme="majorEastAsia" w:hAnsiTheme="majorEastAsia" w:eastAsiaTheme="majorEastAsia" w:cstheme="majorEastAsia"/>
          <w:b w:val="0"/>
          <w:bCs w:val="0"/>
          <w:sz w:val="36"/>
          <w:szCs w:val="36"/>
          <w:lang w:eastAsia="zh-CN"/>
        </w:rPr>
        <w:t>项目</w:t>
      </w:r>
      <w:r>
        <w:rPr>
          <w:rFonts w:hint="eastAsia" w:asciiTheme="majorEastAsia" w:hAnsiTheme="majorEastAsia" w:eastAsiaTheme="majorEastAsia" w:cstheme="majorEastAsia"/>
          <w:b w:val="0"/>
          <w:bCs w:val="0"/>
          <w:sz w:val="36"/>
          <w:szCs w:val="36"/>
        </w:rPr>
        <w:t>绩效评价报告</w:t>
      </w:r>
    </w:p>
    <w:p>
      <w:pPr>
        <w:spacing w:line="360" w:lineRule="auto"/>
        <w:ind w:left="0" w:leftChars="0" w:right="0" w:rightChars="0" w:firstLine="0" w:firstLineChars="0"/>
        <w:jc w:val="center"/>
        <w:rPr>
          <w:rFonts w:hint="eastAsia" w:ascii="华文楷体" w:eastAsia="华文楷体"/>
          <w:sz w:val="32"/>
          <w:szCs w:val="32"/>
          <w:lang w:eastAsia="zh-CN"/>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，遵循“科学性、规范性、客观性和公正性”的原则，对</w:t>
      </w:r>
      <w:r>
        <w:rPr>
          <w:rFonts w:hint="eastAsia" w:ascii="仿宋_GB2312" w:eastAsia="仿宋_GB2312"/>
          <w:sz w:val="32"/>
          <w:szCs w:val="32"/>
          <w:lang w:val="en-US" w:eastAsia="zh-CN"/>
        </w:rPr>
        <w:t>见义勇为</w:t>
      </w:r>
      <w:r>
        <w:rPr>
          <w:rFonts w:hint="eastAsia" w:ascii="仿宋_GB2312" w:eastAsia="仿宋_GB2312"/>
          <w:sz w:val="32"/>
          <w:szCs w:val="32"/>
          <w:lang w:eastAsia="zh-CN"/>
        </w:rPr>
        <w:t>项目</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adjustRightInd w:val="0"/>
        <w:snapToGrid w:val="0"/>
        <w:spacing w:line="360" w:lineRule="auto"/>
        <w:ind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pPr>
        <w:spacing w:beforeLines="0" w:afterLines="0"/>
        <w:jc w:val="left"/>
        <w:rPr>
          <w:rFonts w:hint="eastAsia" w:ascii="仿宋" w:hAnsi="仿宋" w:eastAsia="仿宋" w:cs="仿宋"/>
          <w:sz w:val="32"/>
          <w:szCs w:val="32"/>
          <w:lang w:val="zh-CN"/>
        </w:rPr>
      </w:pPr>
      <w:r>
        <w:rPr>
          <w:rFonts w:hint="eastAsia" w:ascii="仿宋" w:hAnsi="仿宋" w:eastAsia="仿宋" w:cs="仿宋"/>
          <w:sz w:val="32"/>
          <w:szCs w:val="32"/>
          <w:lang w:val="en-US" w:eastAsia="zh-CN"/>
        </w:rPr>
        <w:t xml:space="preserve">    </w:t>
      </w:r>
      <w:r>
        <w:rPr>
          <w:rFonts w:hint="eastAsia" w:ascii="仿宋" w:hAnsi="仿宋" w:eastAsia="仿宋" w:cs="仿宋"/>
          <w:sz w:val="32"/>
          <w:szCs w:val="32"/>
          <w:lang w:val="zh-CN"/>
        </w:rPr>
        <w:t>《河北省奖励和保护见义勇为条例》、《2017年度全市见义勇为工作要点》（石综治办[2017]12号）规定，抓好石财政[2015]67号文件的落实，各县（市、区）按照标准不低于50万元的标准将见义勇为专项资金列入本年度财政预算。对见义勇为行为人的救治、表彰和奖励；对见义勇为先进事例宣传，对见义勇为行为及其亲属进行抚恤、补助、资助和慰问；综治机构对见义勇为人员事件进行调查核实，确定后给予一定的奖励，并对事迹较为突出的报市级、省级进行表彰奖励。</w:t>
      </w:r>
    </w:p>
    <w:p>
      <w:pPr>
        <w:adjustRightInd w:val="0"/>
        <w:snapToGrid w:val="0"/>
        <w:spacing w:line="360" w:lineRule="auto"/>
        <w:ind w:firstLine="640" w:firstLineChars="200"/>
        <w:rPr>
          <w:rFonts w:hint="eastAsia" w:ascii="仿宋" w:hAnsi="仿宋" w:eastAsia="仿宋" w:cs="仿宋"/>
          <w:sz w:val="32"/>
          <w:szCs w:val="32"/>
          <w:lang w:val="en-US" w:eastAsia="zh-CN"/>
        </w:rPr>
      </w:pPr>
    </w:p>
    <w:p>
      <w:pPr>
        <w:adjustRightInd w:val="0"/>
        <w:snapToGrid w:val="0"/>
        <w:spacing w:line="360" w:lineRule="auto"/>
        <w:ind w:firstLine="643" w:firstLineChars="200"/>
        <w:rPr>
          <w:rFonts w:hint="eastAsia" w:ascii="黑体" w:hAnsi="黑体" w:eastAsia="黑体" w:cs="黑体"/>
          <w:b/>
          <w:bCs/>
          <w:sz w:val="32"/>
          <w:szCs w:val="32"/>
          <w:lang w:eastAsia="zh-CN"/>
        </w:rPr>
      </w:pPr>
      <w:r>
        <w:rPr>
          <w:rFonts w:hint="eastAsia" w:ascii="黑体" w:hAnsi="黑体" w:eastAsia="黑体" w:cs="黑体"/>
          <w:b/>
          <w:bCs/>
          <w:sz w:val="32"/>
          <w:szCs w:val="32"/>
          <w:lang w:eastAsia="zh-CN"/>
        </w:rPr>
        <w:t>二、绩效评价工作情况</w:t>
      </w:r>
    </w:p>
    <w:p>
      <w:pPr>
        <w:keepNext w:val="0"/>
        <w:keepLines w:val="0"/>
        <w:pageBreakBefore w:val="0"/>
        <w:widowControl w:val="0"/>
        <w:kinsoku/>
        <w:wordWrap/>
        <w:overflowPunct/>
        <w:topLinePunct w:val="0"/>
        <w:autoSpaceDE/>
        <w:autoSpaceDN/>
        <w:bidi w:val="0"/>
        <w:ind w:left="0" w:leftChars="0" w:right="0" w:rightChars="0" w:firstLine="640" w:firstLineChars="200"/>
        <w:jc w:val="left"/>
        <w:textAlignment w:val="auto"/>
        <w:rPr>
          <w:rFonts w:ascii="楷体_GB2312" w:hAnsi="楷体_GB2312" w:eastAsia="楷体_GB2312" w:cs="楷体_GB2312"/>
          <w:sz w:val="32"/>
          <w:szCs w:val="32"/>
        </w:rPr>
      </w:pPr>
      <w:r>
        <w:rPr>
          <w:rFonts w:hint="eastAsia" w:ascii="仿宋_GB2312" w:eastAsia="仿宋_GB2312"/>
          <w:sz w:val="32"/>
          <w:szCs w:val="32"/>
          <w:lang w:val="en-US" w:eastAsia="zh-CN"/>
        </w:rPr>
        <w:t xml:space="preserve"> </w:t>
      </w: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rPr>
        <w:t>一）绩效评价的组织工作和过程</w:t>
      </w:r>
    </w:p>
    <w:p>
      <w:pPr>
        <w:keepNext w:val="0"/>
        <w:keepLines w:val="0"/>
        <w:pageBreakBefore w:val="0"/>
        <w:widowControl w:val="0"/>
        <w:kinsoku/>
        <w:wordWrap/>
        <w:overflowPunct/>
        <w:topLinePunct w:val="0"/>
        <w:autoSpaceDE/>
        <w:autoSpaceDN/>
        <w:bidi w:val="0"/>
        <w:ind w:left="0" w:leftChars="0" w:right="0" w:rightChars="0" w:firstLine="640" w:firstLineChars="200"/>
        <w:jc w:val="left"/>
        <w:textAlignment w:val="auto"/>
        <w:rPr>
          <w:rFonts w:ascii="仿宋_GB2312" w:eastAsia="仿宋_GB2312"/>
          <w:sz w:val="32"/>
          <w:szCs w:val="32"/>
        </w:rPr>
      </w:pPr>
      <w:r>
        <w:rPr>
          <w:rFonts w:hint="eastAsia" w:ascii="仿宋_GB2312" w:eastAsia="仿宋_GB2312"/>
          <w:sz w:val="32"/>
          <w:szCs w:val="32"/>
        </w:rPr>
        <w:t>本次绩效评价自评价工作分为三个阶段：</w:t>
      </w:r>
    </w:p>
    <w:p>
      <w:pPr>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rPr>
          <w:rFonts w:ascii="仿宋_GB2312" w:eastAsia="仿宋_GB2312"/>
          <w:sz w:val="32"/>
          <w:szCs w:val="32"/>
        </w:rPr>
      </w:pPr>
      <w:r>
        <w:rPr>
          <w:rFonts w:hint="eastAsia" w:ascii="仿宋_GB2312" w:eastAsia="仿宋_GB2312"/>
          <w:sz w:val="32"/>
          <w:szCs w:val="32"/>
        </w:rPr>
        <w:t>第一阶段：根据成立评价工作小组，制定项目绩效评价具体实施方案。</w:t>
      </w:r>
    </w:p>
    <w:p>
      <w:pPr>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rPr>
          <w:rFonts w:ascii="仿宋_GB2312" w:eastAsia="仿宋_GB2312"/>
          <w:sz w:val="32"/>
          <w:szCs w:val="32"/>
        </w:rPr>
      </w:pPr>
      <w:r>
        <w:rPr>
          <w:rFonts w:hint="eastAsia" w:ascii="仿宋_GB2312" w:eastAsia="仿宋_GB2312"/>
          <w:sz w:val="32"/>
          <w:szCs w:val="32"/>
        </w:rPr>
        <w:t>第二阶段：按照区财政局要求，进行自查。</w:t>
      </w:r>
    </w:p>
    <w:p>
      <w:pPr>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jc w:val="left"/>
        <w:textAlignment w:val="auto"/>
        <w:rPr>
          <w:rFonts w:ascii="仿宋_GB2312" w:eastAsia="仿宋_GB2312"/>
          <w:sz w:val="32"/>
          <w:szCs w:val="32"/>
        </w:rPr>
      </w:pPr>
      <w:r>
        <w:rPr>
          <w:rFonts w:hint="eastAsia" w:ascii="仿宋_GB2312" w:eastAsia="仿宋_GB2312"/>
          <w:sz w:val="32"/>
          <w:szCs w:val="32"/>
        </w:rPr>
        <w:t>第三阶段：由评价工作小组对项目总结评价结论，最终形成自评价报告，报区财政局。</w:t>
      </w:r>
    </w:p>
    <w:p>
      <w:pPr>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我单位评价工作组人员通过对见义勇为人员的奖励及后续补助慰问情况及群众满意度进行综合评价。</w:t>
      </w:r>
    </w:p>
    <w:p>
      <w:pPr>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（一）项目投入</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1.该项目的申请、设立过程符合相关规定，所设的绩效目标依据充分、符合客观实际，绩效指标清晰、细化可衡量。根据指标体系评分标准可评100分。</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2.实际到位资金与计划投入资金的比率与到位及时率，根据指标体系评分标准计算分值可评100分。</w:t>
      </w:r>
    </w:p>
    <w:p>
      <w:pPr>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楷体_GB2312" w:hAnsi="楷体_GB2312" w:eastAsia="楷体_GB2312" w:cs="楷体_GB2312"/>
          <w:b w:val="0"/>
          <w:bCs w:val="0"/>
          <w:sz w:val="32"/>
          <w:szCs w:val="32"/>
          <w:lang w:val="en-US" w:eastAsia="zh-CN"/>
        </w:rPr>
        <w:t>（二）项目实施过程</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1.我单位管理制度健全性、制度执行有效性和项目质量可控性等情况进行分析后，根据指标体系评分标准计算分值可评100分。</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2.我单位财务</w:t>
      </w:r>
      <w:bookmarkStart w:id="0" w:name="_GoBack"/>
      <w:bookmarkEnd w:id="0"/>
      <w:r>
        <w:rPr>
          <w:rFonts w:hint="eastAsia" w:ascii="仿宋_GB2312" w:eastAsia="仿宋_GB2312"/>
          <w:b w:val="0"/>
          <w:bCs w:val="0"/>
          <w:sz w:val="32"/>
          <w:szCs w:val="32"/>
          <w:lang w:val="en-US" w:eastAsia="zh-CN"/>
        </w:rPr>
        <w:t>管理制度健全性、资金使用合规性和财务监控有效性等情况进行分析后，根据指标体系评分标准可评100分。</w:t>
      </w:r>
    </w:p>
    <w:p>
      <w:pPr>
        <w:numPr>
          <w:ilvl w:val="0"/>
          <w:numId w:val="0"/>
        </w:numPr>
        <w:rPr>
          <w:rFonts w:hint="eastAsia" w:ascii="楷体_GB2312" w:hAnsi="楷体_GB2312" w:eastAsia="楷体_GB2312" w:cs="楷体_GB2312"/>
          <w:b w:val="0"/>
          <w:bCs w:val="0"/>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（三）项目产出</w:t>
      </w:r>
    </w:p>
    <w:p>
      <w:pPr>
        <w:numPr>
          <w:ilvl w:val="0"/>
          <w:numId w:val="0"/>
        </w:numPr>
        <w:ind w:firstLine="640" w:firstLineChars="200"/>
        <w:rPr>
          <w:rFonts w:hint="eastAsia" w:ascii="楷体_GB2312" w:hAnsi="楷体_GB2312" w:eastAsia="楷体_GB2312" w:cs="楷体_GB2312"/>
          <w:b w:val="0"/>
          <w:bCs w:val="0"/>
          <w:sz w:val="32"/>
          <w:szCs w:val="32"/>
          <w:lang w:val="en-US" w:eastAsia="zh-CN"/>
        </w:rPr>
      </w:pPr>
      <w:r>
        <w:rPr>
          <w:rFonts w:hint="eastAsia" w:ascii="仿宋" w:hAnsi="仿宋" w:eastAsia="仿宋" w:cs="仿宋"/>
          <w:b w:val="0"/>
          <w:bCs w:val="0"/>
          <w:sz w:val="32"/>
          <w:szCs w:val="32"/>
          <w:lang w:val="en-US" w:eastAsia="zh-CN"/>
        </w:rPr>
        <w:t>区内发生见义勇为事件，由相关部门审核评定及时给予相应标准的奖励金，奖励覆盖率可达100%，根据指标体系评分标准可评100分。</w:t>
      </w:r>
    </w:p>
    <w:p>
      <w:pPr>
        <w:numPr>
          <w:ilvl w:val="0"/>
          <w:numId w:val="0"/>
        </w:num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（四）项目效果</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通过对见义勇为人员的奖励，维护见义勇为行为人的合法权益，传播见义勇为精神，弘扬社会正能量，服务对象满意度可达100%，根据指标体系评分标准可评100分。</w:t>
      </w:r>
    </w:p>
    <w:p>
      <w:pPr>
        <w:numPr>
          <w:ilvl w:val="0"/>
          <w:numId w:val="0"/>
        </w:numPr>
        <w:ind w:firstLine="640" w:firstLineChars="20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根据项目执行情况和项目绩效情况，给出总得分，</w:t>
      </w:r>
      <w:r>
        <w:rPr>
          <w:rFonts w:hint="eastAsia" w:ascii="仿宋_GB2312" w:eastAsia="仿宋_GB2312"/>
          <w:sz w:val="32"/>
          <w:szCs w:val="32"/>
        </w:rPr>
        <w:t>指标体系设定满分100分，</w:t>
      </w:r>
      <w:r>
        <w:rPr>
          <w:rFonts w:hint="eastAsia" w:ascii="仿宋_GB2312" w:eastAsia="仿宋_GB2312"/>
          <w:b w:val="0"/>
          <w:bCs w:val="0"/>
          <w:sz w:val="32"/>
          <w:szCs w:val="32"/>
          <w:lang w:val="en-US" w:eastAsia="zh-CN"/>
        </w:rPr>
        <w:t>得出综合评价结论和项目综合绩效评价等级。项目综合绩效评价分为4个等级：</w:t>
      </w:r>
      <w:r>
        <w:rPr>
          <w:rFonts w:hint="eastAsia" w:ascii="仿宋_GB2312" w:eastAsia="仿宋_GB2312"/>
          <w:sz w:val="32"/>
          <w:szCs w:val="32"/>
        </w:rPr>
        <w:t>得分</w:t>
      </w:r>
      <w:r>
        <w:rPr>
          <w:rFonts w:hint="default" w:ascii="Arial" w:hAnsi="Arial" w:eastAsia="仿宋_GB2312" w:cs="Arial"/>
          <w:sz w:val="32"/>
          <w:szCs w:val="32"/>
        </w:rPr>
        <w:t>≥</w:t>
      </w:r>
      <w:r>
        <w:rPr>
          <w:rFonts w:hint="eastAsia" w:ascii="仿宋_GB2312" w:eastAsia="仿宋_GB2312"/>
          <w:sz w:val="32"/>
          <w:szCs w:val="32"/>
        </w:rPr>
        <w:t>85分为优秀；75</w:t>
      </w:r>
      <w:r>
        <w:rPr>
          <w:rFonts w:hint="default" w:ascii="Arial" w:hAnsi="Arial" w:eastAsia="仿宋_GB2312" w:cs="Arial"/>
          <w:sz w:val="32"/>
          <w:szCs w:val="32"/>
        </w:rPr>
        <w:t>≤</w:t>
      </w:r>
      <w:r>
        <w:rPr>
          <w:rFonts w:hint="eastAsia" w:ascii="仿宋_GB2312" w:eastAsia="仿宋_GB2312"/>
          <w:sz w:val="32"/>
          <w:szCs w:val="32"/>
          <w:lang w:eastAsia="zh-CN"/>
        </w:rPr>
        <w:t>得分</w:t>
      </w:r>
      <w:r>
        <w:rPr>
          <w:rFonts w:hint="eastAsia" w:ascii="仿宋_GB2312" w:hAnsi="仿宋_GB2312" w:eastAsia="仿宋_GB2312"/>
          <w:sz w:val="32"/>
          <w:szCs w:val="32"/>
          <w:lang w:eastAsia="zh-CN"/>
        </w:rPr>
        <w:t>＜</w:t>
      </w:r>
      <w:r>
        <w:rPr>
          <w:rFonts w:hint="eastAsia" w:ascii="仿宋_GB2312" w:eastAsia="仿宋_GB2312"/>
          <w:sz w:val="32"/>
          <w:szCs w:val="32"/>
        </w:rPr>
        <w:t>8</w:t>
      </w:r>
      <w:r>
        <w:rPr>
          <w:rFonts w:hint="eastAsia" w:ascii="仿宋_GB2312" w:eastAsia="仿宋_GB2312"/>
          <w:sz w:val="32"/>
          <w:szCs w:val="32"/>
          <w:lang w:val="en-US" w:eastAsia="zh-CN"/>
        </w:rPr>
        <w:t>5</w:t>
      </w:r>
      <w:r>
        <w:rPr>
          <w:rFonts w:hint="eastAsia" w:ascii="仿宋_GB2312" w:eastAsia="仿宋_GB2312"/>
          <w:sz w:val="32"/>
          <w:szCs w:val="32"/>
        </w:rPr>
        <w:t>分为良好；60</w:t>
      </w:r>
      <w:r>
        <w:rPr>
          <w:rFonts w:hint="default" w:ascii="Arial" w:hAnsi="Arial" w:eastAsia="仿宋_GB2312" w:cs="Arial"/>
          <w:sz w:val="32"/>
          <w:szCs w:val="32"/>
        </w:rPr>
        <w:t>≤</w:t>
      </w:r>
      <w:r>
        <w:rPr>
          <w:rFonts w:hint="eastAsia" w:ascii="仿宋_GB2312" w:eastAsia="仿宋_GB2312"/>
          <w:sz w:val="32"/>
          <w:szCs w:val="32"/>
          <w:lang w:eastAsia="zh-CN"/>
        </w:rPr>
        <w:t>得分</w:t>
      </w:r>
      <w:r>
        <w:rPr>
          <w:rFonts w:hint="eastAsia" w:ascii="仿宋_GB2312" w:hAnsi="仿宋_GB2312" w:eastAsia="仿宋_GB2312"/>
          <w:sz w:val="32"/>
          <w:szCs w:val="32"/>
          <w:lang w:eastAsia="zh-CN"/>
        </w:rPr>
        <w:t>＜</w:t>
      </w:r>
      <w:r>
        <w:rPr>
          <w:rFonts w:hint="eastAsia" w:ascii="仿宋_GB2312" w:eastAsia="仿宋_GB2312"/>
          <w:sz w:val="32"/>
          <w:szCs w:val="32"/>
        </w:rPr>
        <w:t>7</w:t>
      </w:r>
      <w:r>
        <w:rPr>
          <w:rFonts w:hint="eastAsia" w:ascii="仿宋_GB2312" w:eastAsia="仿宋_GB2312"/>
          <w:sz w:val="32"/>
          <w:szCs w:val="32"/>
          <w:lang w:val="en-US" w:eastAsia="zh-CN"/>
        </w:rPr>
        <w:t>5</w:t>
      </w:r>
      <w:r>
        <w:rPr>
          <w:rFonts w:hint="eastAsia" w:ascii="仿宋_GB2312" w:eastAsia="仿宋_GB2312"/>
          <w:sz w:val="32"/>
          <w:szCs w:val="32"/>
        </w:rPr>
        <w:t>分为一般；</w:t>
      </w:r>
      <w:r>
        <w:rPr>
          <w:rFonts w:hint="eastAsia" w:ascii="仿宋_GB2312" w:eastAsia="仿宋_GB2312"/>
          <w:sz w:val="32"/>
          <w:szCs w:val="32"/>
          <w:lang w:eastAsia="zh-CN"/>
        </w:rPr>
        <w:t>得分</w:t>
      </w:r>
      <w:r>
        <w:rPr>
          <w:rFonts w:hint="eastAsia" w:ascii="仿宋_GB2312" w:hAnsi="仿宋_GB2312" w:eastAsia="仿宋_GB2312"/>
          <w:sz w:val="32"/>
          <w:szCs w:val="32"/>
          <w:lang w:eastAsia="zh-CN"/>
        </w:rPr>
        <w:t>＜</w:t>
      </w:r>
      <w:r>
        <w:rPr>
          <w:rFonts w:hint="eastAsia" w:ascii="仿宋_GB2312" w:eastAsia="仿宋_GB2312"/>
          <w:sz w:val="32"/>
          <w:szCs w:val="32"/>
        </w:rPr>
        <w:t>60分为较差。</w:t>
      </w:r>
      <w:r>
        <w:rPr>
          <w:rFonts w:hint="eastAsia" w:ascii="仿宋_GB2312" w:eastAsia="仿宋_GB2312"/>
          <w:sz w:val="32"/>
          <w:szCs w:val="32"/>
          <w:lang w:val="en-US" w:eastAsia="zh-CN"/>
        </w:rPr>
        <w:t>综合上述指标该项目可评优。</w:t>
      </w:r>
    </w:p>
    <w:p>
      <w:pPr>
        <w:numPr>
          <w:ilvl w:val="0"/>
          <w:numId w:val="1"/>
        </w:numPr>
        <w:ind w:firstLine="640" w:firstLineChars="20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存在的问题及改进措施</w:t>
      </w:r>
    </w:p>
    <w:p>
      <w:pPr>
        <w:numPr>
          <w:ilvl w:val="0"/>
          <w:numId w:val="0"/>
        </w:numPr>
        <w:rPr>
          <w:rFonts w:hint="eastAsia" w:ascii="仿宋" w:hAnsi="仿宋" w:eastAsia="仿宋" w:cs="仿宋"/>
          <w:b w:val="0"/>
          <w:bCs w:val="0"/>
          <w:sz w:val="32"/>
          <w:szCs w:val="32"/>
          <w:lang w:val="en-US" w:eastAsia="zh-CN"/>
        </w:rPr>
      </w:pPr>
      <w:r>
        <w:rPr>
          <w:rFonts w:hint="eastAsia" w:ascii="黑体" w:hAnsi="黑体" w:eastAsia="黑体"/>
          <w:b w:val="0"/>
          <w:bCs w:val="0"/>
          <w:sz w:val="32"/>
          <w:szCs w:val="32"/>
          <w:lang w:val="en-US" w:eastAsia="zh-CN"/>
        </w:rPr>
        <w:t xml:space="preserve">    </w:t>
      </w:r>
      <w:r>
        <w:rPr>
          <w:rFonts w:hint="eastAsia" w:ascii="仿宋" w:hAnsi="仿宋" w:eastAsia="仿宋" w:cs="仿宋"/>
          <w:b w:val="0"/>
          <w:bCs w:val="0"/>
          <w:sz w:val="32"/>
          <w:szCs w:val="32"/>
          <w:lang w:val="en-US" w:eastAsia="zh-CN"/>
        </w:rPr>
        <w:t>该项目不存在任何问题。</w:t>
      </w:r>
    </w:p>
    <w:p>
      <w:pPr>
        <w:numPr>
          <w:ilvl w:val="0"/>
          <w:numId w:val="1"/>
        </w:numPr>
        <w:adjustRightInd w:val="0"/>
        <w:snapToGrid w:val="0"/>
        <w:spacing w:line="360" w:lineRule="auto"/>
        <w:ind w:firstLine="640" w:firstLineChars="200"/>
        <w:rPr>
          <w:rFonts w:hint="eastAsia" w:ascii="黑体" w:eastAsia="黑体"/>
          <w:b w:val="0"/>
          <w:bCs w:val="0"/>
          <w:sz w:val="32"/>
          <w:szCs w:val="32"/>
        </w:rPr>
      </w:pPr>
      <w:r>
        <w:rPr>
          <w:rFonts w:hint="eastAsia" w:ascii="黑体" w:eastAsia="黑体"/>
          <w:b w:val="0"/>
          <w:bCs w:val="0"/>
          <w:sz w:val="32"/>
          <w:szCs w:val="32"/>
        </w:rPr>
        <w:t>评价工作组人员名单</w:t>
      </w:r>
    </w:p>
    <w:tbl>
      <w:tblPr>
        <w:tblStyle w:val="5"/>
        <w:tblW w:w="883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336"/>
        <w:gridCol w:w="2856"/>
        <w:gridCol w:w="364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36"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right="0" w:rightChars="0" w:firstLine="640" w:firstLineChars="200"/>
              <w:jc w:val="both"/>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 xml:space="preserve">  姓名</w:t>
            </w:r>
          </w:p>
        </w:tc>
        <w:tc>
          <w:tcPr>
            <w:tcW w:w="2856"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right="0" w:rightChars="0" w:firstLine="640" w:firstLineChars="20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单位</w:t>
            </w:r>
          </w:p>
        </w:tc>
        <w:tc>
          <w:tcPr>
            <w:tcW w:w="3642"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right="0" w:rightChars="0" w:firstLine="640" w:firstLineChars="20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职务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36"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right="0" w:rightChars="0" w:firstLine="640" w:firstLineChars="20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葛振芳</w:t>
            </w:r>
          </w:p>
        </w:tc>
        <w:tc>
          <w:tcPr>
            <w:tcW w:w="2856"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right="0" w:rightChars="0" w:firstLine="640" w:firstLineChars="20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区委政法委</w:t>
            </w:r>
          </w:p>
        </w:tc>
        <w:tc>
          <w:tcPr>
            <w:tcW w:w="3642"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副书记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36"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right="0" w:rightChars="0" w:firstLine="640" w:firstLineChars="20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张  林</w:t>
            </w:r>
          </w:p>
        </w:tc>
        <w:tc>
          <w:tcPr>
            <w:tcW w:w="2856"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right="0" w:rightChars="0" w:firstLine="640" w:firstLineChars="20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区委政法委</w:t>
            </w:r>
          </w:p>
        </w:tc>
        <w:tc>
          <w:tcPr>
            <w:tcW w:w="3642"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专职委员、办公室主任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36"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right="0" w:rightChars="0" w:firstLine="640" w:firstLineChars="20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董海涛</w:t>
            </w:r>
          </w:p>
        </w:tc>
        <w:tc>
          <w:tcPr>
            <w:tcW w:w="2856"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0" w:leftChars="0" w:right="0" w:rightChars="0" w:firstLine="640" w:firstLineChars="20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区委政法委</w:t>
            </w:r>
          </w:p>
        </w:tc>
        <w:tc>
          <w:tcPr>
            <w:tcW w:w="3642" w:type="dxa"/>
            <w:vAlign w:val="center"/>
          </w:tcPr>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jc w:val="center"/>
              <w:textAlignment w:val="auto"/>
              <w:rPr>
                <w:rFonts w:hint="eastAsia" w:ascii="仿宋_GB2312" w:eastAsia="仿宋_GB2312"/>
                <w:sz w:val="32"/>
                <w:szCs w:val="32"/>
                <w:vertAlign w:val="baseline"/>
                <w:lang w:val="en-US" w:eastAsia="zh-CN"/>
              </w:rPr>
            </w:pPr>
            <w:r>
              <w:rPr>
                <w:rFonts w:hint="eastAsia" w:ascii="仿宋_GB2312" w:eastAsia="仿宋_GB2312"/>
                <w:sz w:val="32"/>
                <w:szCs w:val="32"/>
                <w:vertAlign w:val="baseline"/>
                <w:lang w:val="en-US" w:eastAsia="zh-CN"/>
              </w:rPr>
              <w:t>科员</w:t>
            </w:r>
          </w:p>
        </w:tc>
      </w:tr>
    </w:tbl>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left"/>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ind w:left="0" w:leftChars="0" w:right="0" w:rightChars="0" w:firstLine="420" w:firstLineChars="200"/>
        <w:jc w:val="left"/>
        <w:textAlignment w:val="auto"/>
        <w:rPr>
          <w:rFonts w:hint="eastAsia" w:ascii="仿宋" w:hAnsi="仿宋" w:eastAsia="仿宋" w:cs="仿宋"/>
          <w:sz w:val="32"/>
          <w:szCs w:val="32"/>
          <w:lang w:val="en-US" w:eastAsia="zh-CN"/>
        </w:rPr>
      </w:pPr>
      <w:r>
        <w:rPr>
          <w:rFonts w:hint="eastAsia"/>
          <w:lang w:val="en-US" w:eastAsia="zh-CN"/>
        </w:rPr>
        <w:t xml:space="preserve">                            </w:t>
      </w:r>
      <w:r>
        <w:rPr>
          <w:rFonts w:hint="eastAsia" w:ascii="仿宋" w:hAnsi="仿宋" w:eastAsia="仿宋" w:cs="仿宋"/>
          <w:sz w:val="32"/>
          <w:szCs w:val="32"/>
          <w:lang w:val="en-US" w:eastAsia="zh-CN"/>
        </w:rPr>
        <w:t xml:space="preserve"> 中共石家庄市鹿泉区委政法委员会</w:t>
      </w:r>
    </w:p>
    <w:p>
      <w:pPr>
        <w:keepNext w:val="0"/>
        <w:keepLines w:val="0"/>
        <w:pageBreakBefore w:val="0"/>
        <w:widowControl w:val="0"/>
        <w:kinsoku/>
        <w:wordWrap/>
        <w:overflowPunct/>
        <w:topLinePunct w:val="0"/>
        <w:autoSpaceDE/>
        <w:autoSpaceDN/>
        <w:bidi w:val="0"/>
        <w:ind w:left="0" w:leftChars="0" w:right="0" w:rightChars="0" w:firstLine="640" w:firstLineChars="200"/>
        <w:jc w:val="left"/>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2020年1月6日</w:t>
      </w:r>
    </w:p>
    <w:p/>
    <w:sectPr>
      <w:headerReference r:id="rId3" w:type="first"/>
      <w:footerReference r:id="rId6" w:type="first"/>
      <w:footerReference r:id="rId4" w:type="default"/>
      <w:footerReference r:id="rId5"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华文楷体">
    <w:altName w:val="宋体"/>
    <w:panose1 w:val="02010600040101010101"/>
    <w:charset w:val="86"/>
    <w:family w:val="auto"/>
    <w:pitch w:val="default"/>
    <w:sig w:usb0="00000000" w:usb1="00000000" w:usb2="00000010" w:usb3="00000000" w:csb0="0004009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8"/>
      </w:rPr>
    </w:pPr>
    <w:r>
      <w:fldChar w:fldCharType="begin"/>
    </w:r>
    <w:r>
      <w:rPr>
        <w:rStyle w:val="8"/>
      </w:rPr>
      <w:instrText xml:space="preserve">PAGE  </w:instrText>
    </w:r>
    <w:r>
      <w:fldChar w:fldCharType="separate"/>
    </w:r>
    <w:r>
      <w:rPr>
        <w:rStyle w:val="8"/>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E0FF3EB"/>
    <w:multiLevelType w:val="singleLevel"/>
    <w:tmpl w:val="5E0FF3EB"/>
    <w:lvl w:ilvl="0" w:tentative="0">
      <w:start w:val="5"/>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08C5723B"/>
    <w:rsid w:val="0BCA711F"/>
    <w:rsid w:val="0FBF129E"/>
    <w:rsid w:val="11D557B5"/>
    <w:rsid w:val="206E157D"/>
    <w:rsid w:val="2A2941B7"/>
    <w:rsid w:val="30F728F7"/>
    <w:rsid w:val="334F2A75"/>
    <w:rsid w:val="352C20AC"/>
    <w:rsid w:val="506A373E"/>
    <w:rsid w:val="51E91678"/>
    <w:rsid w:val="557F3F8A"/>
    <w:rsid w:val="69532FF7"/>
    <w:rsid w:val="74DA200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6">
    <w:name w:val="Default Paragraph Font"/>
    <w:link w:val="7"/>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table" w:styleId="5">
    <w:name w:val="Table Grid"/>
    <w:basedOn w:val="4"/>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默认段落字体 Para Char Char Char Char Char Char Char"/>
    <w:basedOn w:val="1"/>
    <w:link w:val="6"/>
    <w:qFormat/>
    <w:uiPriority w:val="0"/>
  </w:style>
  <w:style w:type="character" w:styleId="8">
    <w:name w:val="page number"/>
    <w:basedOn w:val="6"/>
    <w:qFormat/>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Office_11.8.2.12092_F1E327BC-269C-435d-A152-05C5408002CA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Administrator</cp:lastModifiedBy>
  <cp:lastPrinted>2020-01-07T03:43:00Z</cp:lastPrinted>
  <dcterms:modified xsi:type="dcterms:W3CDTF">2024-07-08T01:10:37Z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2052-11.8.2.12092</vt:lpwstr>
  </property>
  <property fmtid="{D5CDD505-2E9C-101B-9397-08002B2CF9AE}" pid="3" name="ICV">
    <vt:lpwstr>6E77D684B9BF4014881CC592EF8CF2DA</vt:lpwstr>
  </property>
</Properties>
</file>