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bookmarkStart w:id="0" w:name="_GoBack"/>
      <w:bookmarkEnd w:id="0"/>
    </w:p>
    <w:p>
      <w:pPr>
        <w:adjustRightInd w:val="0"/>
        <w:spacing w:line="360" w:lineRule="auto"/>
        <w:rPr>
          <w:rFonts w:ascii="黑体" w:hAnsi="黑体" w:eastAsia="黑体" w:cs="黑体"/>
          <w:sz w:val="32"/>
          <w:szCs w:val="32"/>
        </w:rPr>
      </w:pPr>
    </w:p>
    <w:p>
      <w:pPr>
        <w:spacing w:line="360" w:lineRule="auto"/>
        <w:jc w:val="center"/>
        <w:rPr>
          <w:rFonts w:ascii="仿宋" w:hAnsi="仿宋" w:eastAsia="仿宋" w:cs="仿宋"/>
          <w:sz w:val="32"/>
          <w:szCs w:val="32"/>
        </w:rPr>
      </w:pPr>
      <w:r>
        <w:rPr>
          <w:rFonts w:hint="eastAsia" w:asciiTheme="majorEastAsia" w:hAnsiTheme="majorEastAsia" w:eastAsiaTheme="majorEastAsia" w:cstheme="majorEastAsia"/>
          <w:b/>
          <w:bCs/>
          <w:sz w:val="36"/>
          <w:szCs w:val="36"/>
        </w:rPr>
        <w:t>综治视联网建设项目绩效评价报告</w:t>
      </w:r>
    </w:p>
    <w:p>
      <w:pPr>
        <w:spacing w:line="360" w:lineRule="auto"/>
        <w:jc w:val="center"/>
        <w:rPr>
          <w:rFonts w:hint="eastAsia" w:ascii="华文楷体" w:eastAsia="华文楷体"/>
          <w:sz w:val="32"/>
          <w:szCs w:val="32"/>
        </w:rPr>
      </w:pP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根据《石家庄市鹿泉区区级部门预算绩效管理办法》（鹿财字[2019]65号），遵循“科学性、规范性、客观性和公正性”的原则，对综治视联网建设项目实施了绩效评价，形成本评价报告。</w:t>
      </w:r>
    </w:p>
    <w:p>
      <w:pPr>
        <w:adjustRightInd w:val="0"/>
        <w:snapToGrid w:val="0"/>
        <w:spacing w:line="520" w:lineRule="exact"/>
        <w:rPr>
          <w:rFonts w:hint="eastAsia" w:ascii="仿宋_GB2312" w:eastAsia="仿宋_GB2312"/>
          <w:b/>
          <w:bCs/>
          <w:sz w:val="32"/>
          <w:szCs w:val="36"/>
        </w:rPr>
      </w:pPr>
      <w:r>
        <w:rPr>
          <w:rFonts w:hint="eastAsia" w:ascii="仿宋_GB2312" w:eastAsia="仿宋_GB2312"/>
          <w:sz w:val="32"/>
          <w:szCs w:val="32"/>
        </w:rPr>
        <w:t xml:space="preserve">    </w:t>
      </w:r>
      <w:r>
        <w:rPr>
          <w:rFonts w:hint="eastAsia" w:ascii="仿宋_GB2312" w:eastAsia="仿宋_GB2312"/>
          <w:b/>
          <w:sz w:val="32"/>
          <w:szCs w:val="32"/>
        </w:rPr>
        <w:t>一、项目</w:t>
      </w:r>
      <w:r>
        <w:rPr>
          <w:rFonts w:hint="eastAsia" w:ascii="仿宋_GB2312" w:eastAsia="仿宋_GB2312"/>
          <w:b/>
          <w:sz w:val="32"/>
          <w:szCs w:val="36"/>
        </w:rPr>
        <w:t>基本情况</w:t>
      </w:r>
    </w:p>
    <w:p>
      <w:pPr>
        <w:adjustRightInd w:val="0"/>
        <w:snapToGrid w:val="0"/>
        <w:spacing w:line="520" w:lineRule="exact"/>
        <w:ind w:firstLine="640" w:firstLineChars="200"/>
        <w:rPr>
          <w:rFonts w:hint="eastAsia" w:ascii="仿宋_GB2312" w:hAnsi="楷体_GB2312" w:eastAsia="仿宋_GB2312" w:cs="楷体_GB2312"/>
          <w:sz w:val="32"/>
          <w:szCs w:val="32"/>
        </w:rPr>
      </w:pPr>
      <w:r>
        <w:rPr>
          <w:rFonts w:hint="eastAsia" w:ascii="仿宋_GB2312" w:hAnsi="楷体_GB2312" w:eastAsia="仿宋_GB2312" w:cs="楷体_GB2312"/>
          <w:sz w:val="32"/>
          <w:szCs w:val="32"/>
        </w:rPr>
        <w:t>（一）项目概况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 xml:space="preserve"> 在区本级及13个乡（镇、区）和25个村依托政法网建成综治视联网（其中25个村视联网链路租用广电专线），全部与中央、省、市实现直连互通。</w:t>
      </w:r>
    </w:p>
    <w:p>
      <w:pPr>
        <w:adjustRightInd w:val="0"/>
        <w:snapToGrid w:val="0"/>
        <w:spacing w:line="520" w:lineRule="exact"/>
        <w:ind w:firstLine="643" w:firstLineChars="200"/>
        <w:rPr>
          <w:rFonts w:hint="eastAsia" w:ascii="仿宋_GB2312" w:hAnsi="黑体" w:eastAsia="仿宋_GB2312" w:cs="黑体"/>
          <w:b/>
          <w:bCs/>
          <w:sz w:val="32"/>
          <w:szCs w:val="32"/>
        </w:rPr>
      </w:pPr>
      <w:r>
        <w:rPr>
          <w:rFonts w:hint="eastAsia" w:ascii="仿宋_GB2312" w:hAnsi="黑体" w:eastAsia="仿宋_GB2312" w:cs="黑体"/>
          <w:b/>
          <w:bCs/>
          <w:sz w:val="32"/>
          <w:szCs w:val="32"/>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我单位评价工作组人员通过现场查看设备安装情况和工作人员实际操作，认为该项目符合设计初衷、满足了工作需求，可对长期使用情况进行综合评价。</w:t>
      </w:r>
    </w:p>
    <w:p>
      <w:pPr>
        <w:spacing w:line="520" w:lineRule="exact"/>
        <w:rPr>
          <w:rFonts w:hint="eastAsia" w:ascii="仿宋_GB2312" w:hAnsi="黑体" w:eastAsia="仿宋_GB2312" w:cs="黑体"/>
          <w:b/>
          <w:bCs/>
          <w:sz w:val="32"/>
          <w:szCs w:val="32"/>
        </w:rPr>
      </w:pPr>
      <w:r>
        <w:rPr>
          <w:rFonts w:hint="eastAsia" w:ascii="仿宋_GB2312" w:eastAsia="仿宋_GB2312"/>
          <w:b/>
          <w:bCs/>
          <w:sz w:val="32"/>
          <w:szCs w:val="32"/>
        </w:rPr>
        <w:t xml:space="preserve">    </w:t>
      </w:r>
      <w:r>
        <w:rPr>
          <w:rFonts w:hint="eastAsia" w:ascii="仿宋_GB2312" w:hAnsi="黑体" w:eastAsia="仿宋_GB2312" w:cs="黑体"/>
          <w:b/>
          <w:sz w:val="32"/>
          <w:szCs w:val="32"/>
        </w:rPr>
        <w:t>三、项目执行及绩效实现情况</w:t>
      </w:r>
    </w:p>
    <w:p>
      <w:pPr>
        <w:spacing w:line="520" w:lineRule="exact"/>
        <w:rPr>
          <w:rFonts w:hint="eastAsia" w:ascii="仿宋_GB2312" w:hAnsi="楷体_GB2312" w:eastAsia="仿宋_GB2312" w:cs="楷体_GB2312"/>
          <w:sz w:val="32"/>
          <w:szCs w:val="32"/>
        </w:rPr>
      </w:pPr>
      <w:r>
        <w:rPr>
          <w:rFonts w:hint="eastAsia" w:ascii="仿宋_GB2312" w:hAnsi="楷体_GB2312" w:eastAsia="仿宋_GB2312" w:cs="楷体_GB2312"/>
          <w:sz w:val="32"/>
          <w:szCs w:val="32"/>
        </w:rPr>
        <w:t xml:space="preserve">   （一）项目投入</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1.该项目的申请、设立过程符合相关规定，所设的绩效目标依据充分、符合客观实际，绩效指标清晰、细化可衡量。根据指标体系评分标准可评100分。</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2.实际到位资金与计划投入资金的比率与到位及时率，根据指标体系评分标准计算分值可评100分。</w:t>
      </w:r>
    </w:p>
    <w:p>
      <w:pPr>
        <w:spacing w:line="520" w:lineRule="exact"/>
        <w:rPr>
          <w:rFonts w:hint="eastAsia" w:ascii="仿宋_GB2312" w:hAnsi="楷体_GB2312" w:eastAsia="仿宋_GB2312" w:cs="楷体_GB2312"/>
          <w:sz w:val="32"/>
          <w:szCs w:val="32"/>
        </w:rPr>
      </w:pPr>
      <w:r>
        <w:rPr>
          <w:rFonts w:hint="eastAsia" w:ascii="仿宋_GB2312" w:eastAsia="仿宋_GB2312"/>
          <w:sz w:val="32"/>
          <w:szCs w:val="32"/>
        </w:rPr>
        <w:t xml:space="preserve">   </w:t>
      </w:r>
      <w:r>
        <w:rPr>
          <w:rFonts w:hint="eastAsia" w:ascii="仿宋_GB2312" w:hAnsi="楷体_GB2312" w:eastAsia="仿宋_GB2312" w:cs="楷体_GB2312"/>
          <w:sz w:val="32"/>
          <w:szCs w:val="32"/>
        </w:rPr>
        <w:t>（二）项目实施过程</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1.我单位管理制度健全性、制度执行有效性和项目质量可控性等情况进行分析后，根据指标体系评分标准计算分值可评100分。</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2.我单位财务</w:t>
      </w:r>
      <w:r>
        <w:rPr>
          <w:rFonts w:hint="eastAsia" w:ascii="仿宋_GB2312" w:eastAsia="仿宋_GB2312"/>
          <w:sz w:val="32"/>
          <w:szCs w:val="32"/>
          <w:lang w:eastAsia="zh-CN"/>
        </w:rPr>
        <w:t>管理</w:t>
      </w:r>
      <w:r>
        <w:rPr>
          <w:rFonts w:hint="eastAsia" w:ascii="仿宋_GB2312" w:eastAsia="仿宋_GB2312"/>
          <w:sz w:val="32"/>
          <w:szCs w:val="32"/>
        </w:rPr>
        <w:t>制度健全性、资金使用合规性和财务监控有效性等情况进行分析后，根据指标体系评分标准可评100分。</w:t>
      </w:r>
    </w:p>
    <w:p>
      <w:pPr>
        <w:spacing w:line="520" w:lineRule="exact"/>
        <w:rPr>
          <w:rFonts w:hint="eastAsia" w:ascii="仿宋_GB2312" w:hAnsi="楷体_GB2312" w:eastAsia="仿宋_GB2312" w:cs="楷体_GB2312"/>
          <w:sz w:val="32"/>
          <w:szCs w:val="32"/>
        </w:rPr>
      </w:pPr>
      <w:r>
        <w:rPr>
          <w:rFonts w:hint="eastAsia" w:ascii="仿宋_GB2312" w:eastAsia="仿宋_GB2312"/>
          <w:b/>
          <w:bCs/>
          <w:sz w:val="32"/>
          <w:szCs w:val="32"/>
        </w:rPr>
        <w:t xml:space="preserve">   </w:t>
      </w:r>
      <w:r>
        <w:rPr>
          <w:rFonts w:hint="eastAsia" w:ascii="仿宋_GB2312" w:hAnsi="楷体_GB2312" w:eastAsia="仿宋_GB2312" w:cs="楷体_GB2312"/>
          <w:sz w:val="32"/>
          <w:szCs w:val="32"/>
        </w:rPr>
        <w:t>（三）项目产出</w:t>
      </w:r>
    </w:p>
    <w:p>
      <w:pPr>
        <w:spacing w:line="52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可随时根据需要，实现视频会议、视频信访、视频培训、视频调解等功能，根据指标体系评分标准可评100分。</w:t>
      </w:r>
    </w:p>
    <w:p>
      <w:pPr>
        <w:spacing w:line="520" w:lineRule="exact"/>
        <w:rPr>
          <w:rFonts w:hint="eastAsia" w:ascii="仿宋_GB2312" w:hAnsi="楷体_GB2312" w:eastAsia="仿宋_GB2312" w:cs="楷体_GB2312"/>
          <w:sz w:val="32"/>
          <w:szCs w:val="32"/>
        </w:rPr>
      </w:pPr>
      <w:r>
        <w:rPr>
          <w:rFonts w:hint="eastAsia" w:ascii="仿宋_GB2312" w:hAnsi="楷体_GB2312" w:eastAsia="仿宋_GB2312" w:cs="楷体_GB2312"/>
          <w:b/>
          <w:bCs/>
          <w:sz w:val="32"/>
          <w:szCs w:val="32"/>
        </w:rPr>
        <w:t xml:space="preserve">   </w:t>
      </w:r>
      <w:r>
        <w:rPr>
          <w:rFonts w:hint="eastAsia" w:ascii="仿宋_GB2312" w:hAnsi="楷体_GB2312" w:eastAsia="仿宋_GB2312" w:cs="楷体_GB2312"/>
          <w:sz w:val="32"/>
          <w:szCs w:val="32"/>
        </w:rPr>
        <w:t>（四）项目效果</w:t>
      </w:r>
    </w:p>
    <w:p>
      <w:pPr>
        <w:spacing w:line="520" w:lineRule="exact"/>
        <w:ind w:firstLine="640" w:firstLineChars="200"/>
        <w:rPr>
          <w:rFonts w:hint="eastAsia" w:ascii="仿宋_GB2312" w:eastAsia="仿宋_GB2312"/>
          <w:sz w:val="32"/>
          <w:szCs w:val="32"/>
        </w:rPr>
      </w:pPr>
      <w:r>
        <w:rPr>
          <w:rFonts w:hint="eastAsia" w:ascii="仿宋_GB2312" w:hAnsi="仿宋" w:eastAsia="仿宋_GB2312" w:cs="仿宋"/>
          <w:sz w:val="32"/>
          <w:szCs w:val="32"/>
        </w:rPr>
        <w:t>有效消除了时间、空间差异，加快了信息传递速度，缩短了决策周期和执行周期，较少了时间成本和差旅费、通讯费支出，大大提升了工作效率</w:t>
      </w:r>
      <w:r>
        <w:rPr>
          <w:rFonts w:hint="eastAsia" w:ascii="仿宋_GB2312" w:eastAsia="仿宋_GB2312"/>
          <w:sz w:val="32"/>
          <w:szCs w:val="32"/>
        </w:rPr>
        <w:t>，根据指标体系评分标准可评100分。</w:t>
      </w:r>
    </w:p>
    <w:p>
      <w:pPr>
        <w:spacing w:line="520" w:lineRule="exact"/>
        <w:ind w:firstLine="643" w:firstLineChars="200"/>
        <w:rPr>
          <w:rFonts w:hint="eastAsia" w:ascii="仿宋_GB2312" w:hAnsi="黑体" w:eastAsia="仿宋_GB2312"/>
          <w:b/>
          <w:sz w:val="32"/>
          <w:szCs w:val="32"/>
        </w:rPr>
      </w:pPr>
      <w:r>
        <w:rPr>
          <w:rFonts w:hint="eastAsia" w:ascii="仿宋_GB2312" w:hAnsi="黑体" w:eastAsia="仿宋_GB2312"/>
          <w:b/>
          <w:sz w:val="32"/>
          <w:szCs w:val="32"/>
        </w:rPr>
        <w:t>四、项目综合评价结论和评价等级</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hint="eastAsia" w:ascii="仿宋_GB2312" w:hAnsi="Arial" w:eastAsia="仿宋_GB2312" w:cs="Arial"/>
          <w:sz w:val="32"/>
          <w:szCs w:val="32"/>
        </w:rPr>
        <w:t>≥</w:t>
      </w:r>
      <w:r>
        <w:rPr>
          <w:rFonts w:hint="eastAsia" w:ascii="仿宋_GB2312" w:eastAsia="仿宋_GB2312"/>
          <w:sz w:val="32"/>
          <w:szCs w:val="32"/>
        </w:rPr>
        <w:t>85分为优秀；75</w:t>
      </w:r>
      <w:r>
        <w:rPr>
          <w:rFonts w:hint="eastAsia" w:ascii="仿宋_GB2312"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hint="eastAsia" w:ascii="仿宋_GB2312"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w:t>
      </w:r>
      <w:r>
        <w:rPr>
          <w:rFonts w:hint="eastAsia" w:ascii="仿宋_GB2312" w:eastAsia="仿宋_GB2312"/>
          <w:sz w:val="32"/>
          <w:szCs w:val="32"/>
          <w:lang w:val="en-US" w:eastAsia="zh-CN"/>
        </w:rPr>
        <w:t>可评优</w:t>
      </w:r>
      <w:r>
        <w:rPr>
          <w:rFonts w:hint="eastAsia" w:ascii="仿宋_GB2312" w:eastAsia="仿宋_GB2312"/>
          <w:sz w:val="32"/>
          <w:szCs w:val="32"/>
        </w:rPr>
        <w:t>。</w:t>
      </w:r>
    </w:p>
    <w:p>
      <w:pPr>
        <w:numPr>
          <w:ilvl w:val="0"/>
          <w:numId w:val="1"/>
        </w:numPr>
        <w:spacing w:line="520" w:lineRule="exact"/>
        <w:ind w:firstLine="643" w:firstLineChars="200"/>
        <w:rPr>
          <w:rFonts w:hint="eastAsia" w:ascii="仿宋_GB2312" w:hAnsi="黑体" w:eastAsia="仿宋_GB2312"/>
          <w:b/>
          <w:sz w:val="32"/>
          <w:szCs w:val="32"/>
        </w:rPr>
      </w:pPr>
      <w:r>
        <w:rPr>
          <w:rFonts w:hint="eastAsia" w:ascii="仿宋_GB2312" w:hAnsi="黑体" w:eastAsia="仿宋_GB2312"/>
          <w:b/>
          <w:sz w:val="32"/>
          <w:szCs w:val="32"/>
        </w:rPr>
        <w:t>存在的问题及改进措施</w:t>
      </w:r>
    </w:p>
    <w:p>
      <w:pPr>
        <w:spacing w:line="520" w:lineRule="exact"/>
        <w:rPr>
          <w:rFonts w:hint="eastAsia" w:ascii="仿宋_GB2312" w:hAnsi="仿宋" w:eastAsia="仿宋_GB2312" w:cs="仿宋"/>
          <w:sz w:val="32"/>
          <w:szCs w:val="32"/>
        </w:rPr>
      </w:pPr>
      <w:r>
        <w:rPr>
          <w:rFonts w:hint="eastAsia" w:ascii="仿宋_GB2312" w:hAnsi="黑体" w:eastAsia="仿宋_GB2312"/>
          <w:sz w:val="32"/>
          <w:szCs w:val="32"/>
        </w:rPr>
        <w:t xml:space="preserve">    </w:t>
      </w:r>
      <w:r>
        <w:rPr>
          <w:rFonts w:hint="eastAsia" w:ascii="仿宋_GB2312" w:hAnsi="仿宋" w:eastAsia="仿宋_GB2312" w:cs="仿宋"/>
          <w:sz w:val="32"/>
          <w:szCs w:val="32"/>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pPr>
        <w:rPr>
          <w:rFonts w:hint="eastAsia"/>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华文楷体">
    <w:altName w:val="宋体"/>
    <w:panose1 w:val="00000000000000000000"/>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rPr>
        <w:rFonts w:hint="eastAsi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1262DC"/>
    <w:rsid w:val="00176A06"/>
    <w:rsid w:val="00613D55"/>
    <w:rsid w:val="00731B18"/>
    <w:rsid w:val="007E21A5"/>
    <w:rsid w:val="00BD5C6B"/>
    <w:rsid w:val="00DC2C8C"/>
    <w:rsid w:val="08C5723B"/>
    <w:rsid w:val="0BCA711F"/>
    <w:rsid w:val="0E7A57AE"/>
    <w:rsid w:val="2A2941B7"/>
    <w:rsid w:val="30F728F7"/>
    <w:rsid w:val="334F2A75"/>
    <w:rsid w:val="3E1F1F96"/>
    <w:rsid w:val="44D82E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page number"/>
    <w:basedOn w:val="6"/>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525</Words>
  <Characters>2994</Characters>
  <Lines>24</Lines>
  <Paragraphs>7</Paragraphs>
  <TotalTime>0</TotalTime>
  <ScaleCrop>false</ScaleCrop>
  <LinksUpToDate>false</LinksUpToDate>
  <CharactersWithSpaces>3512</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2020-01-04T02:31:00Z</cp:lastPrinted>
  <dcterms:modified xsi:type="dcterms:W3CDTF">2024-07-08T01:16:02Z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D2D0B9BF877E494AABB46264E26C9470</vt:lpwstr>
  </property>
</Properties>
</file>