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Theme="majorEastAsia" w:hAnsiTheme="majorEastAsia" w:eastAsiaTheme="majorEastAsia" w:cstheme="majorEastAsia"/>
          <w:b/>
          <w:bCs/>
          <w:sz w:val="36"/>
          <w:szCs w:val="36"/>
          <w:lang w:val="en-US" w:eastAsia="zh-CN"/>
        </w:rPr>
        <w:t>社会治安综合治理</w:t>
      </w:r>
      <w:r>
        <w:rPr>
          <w:rFonts w:hint="eastAsia" w:asciiTheme="majorEastAsia" w:hAnsiTheme="majorEastAsia" w:eastAsiaTheme="majorEastAsia" w:cstheme="majorEastAsia"/>
          <w:b/>
          <w:bCs/>
          <w:sz w:val="36"/>
          <w:szCs w:val="36"/>
          <w:lang w:eastAsia="zh-CN"/>
        </w:rPr>
        <w:t>项目</w:t>
      </w:r>
      <w:r>
        <w:rPr>
          <w:rFonts w:hint="eastAsia" w:asciiTheme="majorEastAsia" w:hAnsiTheme="majorEastAsia" w:eastAsiaTheme="majorEastAsia" w:cstheme="majorEastAsia"/>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社会治安综合治理</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ind w:firstLine="640"/>
        <w:rPr>
          <w:rFonts w:hint="eastAsia" w:ascii="仿宋" w:hAnsi="仿宋" w:eastAsia="仿宋" w:cs="仿宋"/>
          <w:kern w:val="10"/>
          <w:sz w:val="32"/>
          <w:szCs w:val="32"/>
          <w:lang w:val="en-US" w:eastAsia="zh-CN"/>
        </w:rPr>
      </w:pP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黑体" w:eastAsia="黑体"/>
          <w:b w:val="0"/>
          <w:bCs w:val="0"/>
          <w:sz w:val="32"/>
          <w:szCs w:val="36"/>
        </w:rPr>
      </w:pPr>
      <w:r>
        <w:rPr>
          <w:rFonts w:hint="eastAsia" w:ascii="楷体_GB2312" w:hAnsi="楷体_GB2312" w:eastAsia="楷体_GB2312" w:cs="楷体_GB2312"/>
          <w:b w:val="0"/>
          <w:bCs w:val="0"/>
          <w:sz w:val="32"/>
          <w:szCs w:val="32"/>
        </w:rPr>
        <w:t>（一）项目概况</w:t>
      </w:r>
    </w:p>
    <w:p>
      <w:pPr>
        <w:spacing w:beforeLines="0" w:afterLines="0"/>
        <w:jc w:val="left"/>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1.</w:t>
      </w:r>
      <w:r>
        <w:rPr>
          <w:rFonts w:hint="eastAsia" w:ascii="仿宋" w:hAnsi="仿宋" w:eastAsia="仿宋" w:cs="仿宋"/>
          <w:sz w:val="32"/>
          <w:szCs w:val="32"/>
          <w:lang w:val="zh-CN"/>
        </w:rPr>
        <w:t>冀综治办[2016]12号《河北省关于进一步加强和创新社会治安综合治理基层基础工作的意见》规定：县（市、区）综合治理工作经费由同级财政按照当地总人口均不低于1元标准保障。2019年底鹿泉区实有人口55万，用于全区社会治安综合治理宣传教育、基层基础建设、典型培树、重点地区整治、设备更新、维修、外出考察学习、重点工作以奖代补等日常工作开支，夯实基层基础，提升基础综治工作，提高全区社会治安防控能力水平。</w:t>
      </w:r>
    </w:p>
    <w:p>
      <w:pPr>
        <w:spacing w:beforeLines="0" w:afterLines="0"/>
        <w:jc w:val="left"/>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2</w:t>
      </w:r>
      <w:r>
        <w:rPr>
          <w:rFonts w:hint="eastAsia" w:ascii="仿宋" w:hAnsi="仿宋" w:eastAsia="仿宋" w:cs="仿宋"/>
          <w:sz w:val="32"/>
          <w:szCs w:val="32"/>
          <w:lang w:val="en-US" w:eastAsia="zh-CN"/>
        </w:rPr>
        <w:t>.</w:t>
      </w:r>
      <w:r>
        <w:rPr>
          <w:rFonts w:hint="eastAsia" w:ascii="仿宋" w:hAnsi="仿宋" w:eastAsia="仿宋" w:cs="仿宋"/>
          <w:sz w:val="32"/>
          <w:szCs w:val="32"/>
          <w:lang w:val="zh-CN"/>
        </w:rPr>
        <w:t>补助经济薄弱乡镇和重点区域的巡防队伍建设。</w:t>
      </w:r>
    </w:p>
    <w:p>
      <w:pPr>
        <w:spacing w:beforeLines="0" w:afterLines="0"/>
        <w:jc w:val="left"/>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3</w:t>
      </w:r>
      <w:r>
        <w:rPr>
          <w:rFonts w:hint="eastAsia" w:ascii="仿宋" w:hAnsi="仿宋" w:eastAsia="仿宋" w:cs="仿宋"/>
          <w:sz w:val="32"/>
          <w:szCs w:val="32"/>
          <w:lang w:val="en-US" w:eastAsia="zh-CN"/>
        </w:rPr>
        <w:t>.</w:t>
      </w:r>
      <w:r>
        <w:rPr>
          <w:rFonts w:hint="eastAsia" w:ascii="仿宋" w:hAnsi="仿宋" w:eastAsia="仿宋" w:cs="仿宋"/>
          <w:sz w:val="32"/>
          <w:szCs w:val="32"/>
          <w:lang w:val="zh-CN"/>
        </w:rPr>
        <w:t>大案要案补贴。政法机关办理大案要案经费支持，缓解政法机关办理大案要案经费缺口。</w:t>
      </w:r>
    </w:p>
    <w:p>
      <w:p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我单位评价工作组人员通过质量指标、时效指标、经济效益、公共安全感指数进行综合评价。</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2.我单位财务管理制度健全性、资金使用合规性和财务监控有效性等情况进行分析后，根据指标体系评分标准可评100分。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 w:hAnsi="仿宋" w:eastAsia="仿宋" w:cs="仿宋"/>
          <w:b w:val="0"/>
          <w:bCs w:val="0"/>
          <w:sz w:val="32"/>
          <w:szCs w:val="32"/>
          <w:lang w:val="en-US" w:eastAsia="zh-CN"/>
        </w:rPr>
        <w:t>保障本级及乡镇综治中心基础建设、重点地区整治、维修等日常消耗。保障经济薄弱乡镇巡访队伍建设资金，强化重点乱点区域综合治理，挂牌督办社会治安重点区域整治地区整改率及及时率，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有效充实了经济薄弱乡镇巡防队伍力量，整体乡镇综治中心形象有很大提升，挂牌督办案件解决率100%，群众公共安全满意度可达95%，根据指标体系评分标准可评95分。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综合上述指标该项目评优。</w:t>
      </w:r>
    </w:p>
    <w:p>
      <w:pPr>
        <w:numPr>
          <w:ilvl w:val="0"/>
          <w:numId w:val="1"/>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C5723B"/>
    <w:rsid w:val="0BCA711F"/>
    <w:rsid w:val="2A2941B7"/>
    <w:rsid w:val="2CC911B6"/>
    <w:rsid w:val="30F728F7"/>
    <w:rsid w:val="334F2A75"/>
    <w:rsid w:val="33E528A0"/>
    <w:rsid w:val="4C3F6B67"/>
    <w:rsid w:val="4F6A776B"/>
    <w:rsid w:val="5D8956D3"/>
    <w:rsid w:val="6AEF0175"/>
    <w:rsid w:val="6D9B0465"/>
    <w:rsid w:val="7A7143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2020-01-07T03:50:00Z</cp:lastPrinted>
  <dcterms:modified xsi:type="dcterms:W3CDTF">2024-07-08T01:12:56Z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6EC4768DFF8344418707056DC4F416FA</vt:lpwstr>
  </property>
</Properties>
</file>