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37" w:name="_GoBack"/>
      <w:bookmarkEnd w:id="37"/>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eastAsia="zh-CN"/>
        </w:rPr>
        <w:t>2</w:t>
      </w:r>
      <w:r>
        <w:rPr>
          <w:rFonts w:hint="eastAsia"/>
          <w:lang w:eastAsia="zh-CN"/>
        </w:rPr>
        <w:fldChar w:fldCharType="end"/>
      </w:r>
      <w:r>
        <w:rPr>
          <w:rFonts w:hint="eastAsia"/>
          <w:lang w:eastAsia="zh-CN"/>
        </w:rPr>
        <w:t>1</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5"/>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4</w:t>
      </w:r>
    </w:p>
    <w:p>
      <w:pPr>
        <w:pStyle w:val="5"/>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4</w:t>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pPr>
        <w:rPr>
          <w:lang w:val="uk-UA"/>
        </w:rPr>
        <w:sectPr>
          <w:headerReference r:id="rId3" w:type="default"/>
          <w:footerReference r:id="rId4" w:type="default"/>
          <w:footerReference r:id="rId5" w:type="even"/>
          <w:pgSz w:w="16838" w:h="11900" w:orient="landscape"/>
          <w:pgMar w:top="1361" w:right="1020" w:bottom="1134" w:left="1020" w:header="720" w:footer="720" w:gutter="0"/>
          <w:pgNumType w:start="1"/>
          <w:cols w:space="0" w:num="1"/>
        </w:sectPr>
      </w:pPr>
      <w:r>
        <w:fldChar w:fldCharType="end"/>
      </w:r>
    </w:p>
    <w:p>
      <w:pPr>
        <w:jc w:val="center"/>
      </w:pPr>
      <w:bookmarkStart w:id="0" w:name="_Toc_2_2_0000000001"/>
      <w:r>
        <w:rPr>
          <w:rFonts w:ascii="方正小标宋_GBK" w:hAnsi="方正小标宋_GBK" w:eastAsia="方正小标宋_GBK" w:cs="方正小标宋_GBK"/>
          <w:color w:val="000000"/>
          <w:sz w:val="36"/>
        </w:rPr>
        <w:t>部门预算收支总表</w:t>
      </w:r>
      <w:bookmarkEnd w:id="0"/>
    </w:p>
    <w:p/>
    <w:tbl>
      <w:tblPr>
        <w:tblStyle w:val="8"/>
        <w:tblW w:w="0" w:type="auto"/>
        <w:jc w:val="center"/>
        <w:tblLayout w:type="fixed"/>
        <w:tblCellMar>
          <w:top w:w="0" w:type="dxa"/>
          <w:left w:w="0" w:type="dxa"/>
          <w:bottom w:w="0" w:type="dxa"/>
          <w:right w:w="0" w:type="dxa"/>
        </w:tblCellMar>
      </w:tblPr>
      <w:tblGrid>
        <w:gridCol w:w="572"/>
        <w:gridCol w:w="3769"/>
        <w:gridCol w:w="1626"/>
        <w:gridCol w:w="3375"/>
        <w:gridCol w:w="1590"/>
      </w:tblGrid>
      <w:tr>
        <w:tblPrEx>
          <w:tblCellMar>
            <w:top w:w="0" w:type="dxa"/>
            <w:left w:w="0" w:type="dxa"/>
            <w:bottom w:w="0" w:type="dxa"/>
            <w:right w:w="0" w:type="dxa"/>
          </w:tblCellMar>
        </w:tblPrEx>
        <w:trPr>
          <w:trHeight w:val="480" w:hRule="atLeast"/>
          <w:tblHeader/>
          <w:jc w:val="center"/>
        </w:trPr>
        <w:tc>
          <w:tcPr>
            <w:tcW w:w="5967" w:type="dxa"/>
            <w:gridSpan w:val="3"/>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6"/>
                <w:rFonts w:eastAsia="宋体"/>
                <w:lang w:eastAsia="zh-CN" w:bidi="ar"/>
              </w:rPr>
              <w:t>[303]</w:t>
            </w:r>
            <w:r>
              <w:rPr>
                <w:rStyle w:val="37"/>
                <w:rFonts w:hint="default"/>
                <w:lang w:eastAsia="zh-CN" w:bidi="ar"/>
              </w:rPr>
              <w:t>石家庄市鹿泉区发展和改革局</w:t>
            </w:r>
          </w:p>
        </w:tc>
        <w:tc>
          <w:tcPr>
            <w:tcW w:w="3375" w:type="dxa"/>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color w:val="000000"/>
                <w:sz w:val="22"/>
                <w:szCs w:val="22"/>
              </w:rPr>
            </w:pPr>
            <w:r>
              <w:rPr>
                <w:rFonts w:ascii="方正书宋_GBK" w:hAnsi="方正书宋_GBK" w:eastAsia="方正书宋_GBK" w:cs="方正书宋_GBK"/>
                <w:b/>
                <w:color w:val="000000"/>
                <w:sz w:val="22"/>
                <w:szCs w:val="22"/>
                <w:lang w:eastAsia="zh-CN" w:bidi="ar"/>
              </w:rPr>
              <w:t>预算年度：2021</w:t>
            </w:r>
          </w:p>
        </w:tc>
        <w:tc>
          <w:tcPr>
            <w:tcW w:w="1590"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80" w:hRule="atLeast"/>
          <w:tblHeader/>
          <w:jc w:val="center"/>
        </w:trPr>
        <w:tc>
          <w:tcPr>
            <w:tcW w:w="5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49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80" w:hRule="atLeast"/>
          <w:tblHeader/>
          <w:jc w:val="center"/>
        </w:trPr>
        <w:tc>
          <w:tcPr>
            <w:tcW w:w="5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7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6"/>
                <w:rFonts w:eastAsia="宋体"/>
                <w:lang w:eastAsia="zh-CN" w:bidi="ar"/>
              </w:rPr>
              <w:t xml:space="preserve">    </w:t>
            </w:r>
            <w:r>
              <w:rPr>
                <w:rStyle w:val="37"/>
                <w:rFonts w:hint="default"/>
                <w:lang w:eastAsia="zh-CN" w:bidi="ar"/>
              </w:rPr>
              <w:t>目</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c>
          <w:tcPr>
            <w:tcW w:w="3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6"/>
                <w:rFonts w:eastAsia="宋体"/>
                <w:lang w:eastAsia="zh-CN" w:bidi="ar"/>
              </w:rPr>
              <w:t xml:space="preserve">    </w:t>
            </w:r>
            <w:r>
              <w:rPr>
                <w:rStyle w:val="37"/>
                <w:rFonts w:hint="default"/>
                <w:lang w:eastAsia="zh-CN" w:bidi="ar"/>
              </w:rPr>
              <w:t>目</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r>
      <w:tr>
        <w:tblPrEx>
          <w:tblCellMar>
            <w:top w:w="0" w:type="dxa"/>
            <w:left w:w="0" w:type="dxa"/>
            <w:bottom w:w="0" w:type="dxa"/>
            <w:right w:w="0" w:type="dxa"/>
          </w:tblCellMar>
        </w:tblPrEx>
        <w:trPr>
          <w:trHeight w:val="440" w:hRule="atLeast"/>
          <w:tblHeader/>
          <w:jc w:val="center"/>
        </w:trPr>
        <w:tc>
          <w:tcPr>
            <w:tcW w:w="5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76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1</w:t>
            </w:r>
          </w:p>
        </w:tc>
        <w:tc>
          <w:tcPr>
            <w:tcW w:w="162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2</w:t>
            </w:r>
          </w:p>
        </w:tc>
        <w:tc>
          <w:tcPr>
            <w:tcW w:w="33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3</w:t>
            </w:r>
          </w:p>
        </w:tc>
        <w:tc>
          <w:tcPr>
            <w:tcW w:w="159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4</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一、一般公共预算拨款收入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4373.20</w:t>
            </w: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一、一般公共服务支出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2597.92</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二、政府性基金预算拨款收入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220.00</w:t>
            </w: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二、外交支出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三、国有资本经营预算拨款收入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三、国防支出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四、财政专户管理资金收入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四、公共安全支出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五、事业收入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五、教育支出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六、事业单位经营收入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六、科学技术支出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52.00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七、上级补助收入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七、文化旅游体育与传媒支出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八、附属单位上缴收入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八、社会保障和就业支出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535.00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九、其他收入</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九、社会保险基金支出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十、卫生健康支出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64.69</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十一、节能环保支出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230.00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十二、城乡社区支出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十三、农林水支出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十四、交通运输支出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十五、资源勘探工业信息等支出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十六、商业服务业等支出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82.00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十七、金融支出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十八、援助其他地区支出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19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十九、自然资源海洋气象等支出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二十、住房保障支出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77.69</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二十一、粮油物资储备支出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733.90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二十二、国有资本经营预算支出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二十三、灾害防治及应急管理支出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二十四、预备费</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二十五、其他支出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二十六、转移性支出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二十七、债务还本支出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二十八、债务付息支出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二十九、债务发行费用支出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三十、抗疫特别国债安排的支出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本年收入合计</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4593.20</w:t>
            </w: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本年支出合计</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4593.20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上年结转结余</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年终结转结余</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收入总计</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4593.20</w:t>
            </w:r>
          </w:p>
        </w:tc>
        <w:tc>
          <w:tcPr>
            <w:tcW w:w="3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支出总计</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4593.20</w:t>
            </w:r>
          </w:p>
        </w:tc>
      </w:tr>
    </w:tbl>
    <w:p>
      <w:pPr>
        <w:sectPr>
          <w:footerReference r:id="rId6" w:type="default"/>
          <w:footerReference r:id="rId7" w:type="even"/>
          <w:pgSz w:w="16838" w:h="11900" w:orient="landscape"/>
          <w:pgMar w:top="1361" w:right="1020" w:bottom="1134" w:left="1020" w:header="720" w:footer="720" w:gutter="0"/>
          <w:cols w:space="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p/>
    <w:tbl>
      <w:tblPr>
        <w:tblStyle w:val="8"/>
        <w:tblW w:w="4997" w:type="pct"/>
        <w:tblInd w:w="-160" w:type="dxa"/>
        <w:tblLayout w:type="autofit"/>
        <w:tblCellMar>
          <w:top w:w="0" w:type="dxa"/>
          <w:left w:w="0" w:type="dxa"/>
          <w:bottom w:w="0" w:type="dxa"/>
          <w:right w:w="0" w:type="dxa"/>
        </w:tblCellMar>
      </w:tblPr>
      <w:tblGrid>
        <w:gridCol w:w="512"/>
        <w:gridCol w:w="934"/>
        <w:gridCol w:w="3550"/>
        <w:gridCol w:w="1114"/>
        <w:gridCol w:w="1114"/>
        <w:gridCol w:w="1115"/>
        <w:gridCol w:w="1088"/>
        <w:gridCol w:w="714"/>
        <w:gridCol w:w="827"/>
        <w:gridCol w:w="1088"/>
        <w:gridCol w:w="1171"/>
        <w:gridCol w:w="1005"/>
        <w:gridCol w:w="587"/>
      </w:tblGrid>
      <w:tr>
        <w:tblPrEx>
          <w:tblCellMar>
            <w:top w:w="0" w:type="dxa"/>
            <w:left w:w="0" w:type="dxa"/>
            <w:bottom w:w="0" w:type="dxa"/>
            <w:right w:w="0" w:type="dxa"/>
          </w:tblCellMar>
        </w:tblPrEx>
        <w:trPr>
          <w:trHeight w:val="442" w:hRule="atLeast"/>
          <w:tblHeader/>
        </w:trPr>
        <w:tc>
          <w:tcPr>
            <w:tcW w:w="3700" w:type="pct"/>
            <w:gridSpan w:val="9"/>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预算单位编码及名称：[303]石家庄市鹿泉区发展和改革局</w:t>
            </w:r>
          </w:p>
        </w:tc>
        <w:tc>
          <w:tcPr>
            <w:tcW w:w="762" w:type="pct"/>
            <w:gridSpan w:val="2"/>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37"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42" w:hRule="atLeast"/>
          <w:tblHeader/>
        </w:trPr>
        <w:tc>
          <w:tcPr>
            <w:tcW w:w="17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512"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功能分类科目</w:t>
            </w:r>
          </w:p>
        </w:tc>
        <w:tc>
          <w:tcPr>
            <w:tcW w:w="376"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2739" w:type="pct"/>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本年收入</w:t>
            </w:r>
          </w:p>
        </w:tc>
        <w:tc>
          <w:tcPr>
            <w:tcW w:w="19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上年结转</w:t>
            </w:r>
          </w:p>
        </w:tc>
      </w:tr>
      <w:tr>
        <w:tblPrEx>
          <w:tblCellMar>
            <w:top w:w="0" w:type="dxa"/>
            <w:left w:w="0" w:type="dxa"/>
            <w:bottom w:w="0" w:type="dxa"/>
            <w:right w:w="0" w:type="dxa"/>
          </w:tblCellMar>
        </w:tblPrEx>
        <w:trPr>
          <w:trHeight w:val="442" w:hRule="atLeast"/>
          <w:tblHeader/>
        </w:trPr>
        <w:tc>
          <w:tcPr>
            <w:tcW w:w="17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1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376"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37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财政拨款收入</w:t>
            </w:r>
          </w:p>
        </w:tc>
        <w:tc>
          <w:tcPr>
            <w:tcW w:w="36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财政专户收入</w:t>
            </w:r>
          </w:p>
        </w:tc>
        <w:tc>
          <w:tcPr>
            <w:tcW w:w="24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事业收入</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经营收入</w:t>
            </w:r>
          </w:p>
        </w:tc>
        <w:tc>
          <w:tcPr>
            <w:tcW w:w="36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上级补助收入</w:t>
            </w:r>
          </w:p>
        </w:tc>
        <w:tc>
          <w:tcPr>
            <w:tcW w:w="39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附属单位上缴收入</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其他收入</w:t>
            </w:r>
          </w:p>
        </w:tc>
        <w:tc>
          <w:tcPr>
            <w:tcW w:w="19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442" w:hRule="atLeast"/>
          <w:tblHeader/>
        </w:trPr>
        <w:tc>
          <w:tcPr>
            <w:tcW w:w="1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1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37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37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37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36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24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c>
          <w:tcPr>
            <w:tcW w:w="36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9</w:t>
            </w:r>
          </w:p>
        </w:tc>
        <w:tc>
          <w:tcPr>
            <w:tcW w:w="39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10</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11</w:t>
            </w:r>
          </w:p>
        </w:tc>
        <w:tc>
          <w:tcPr>
            <w:tcW w:w="1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12</w:t>
            </w: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2547.92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2547.92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2547.92</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1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p/>
    <w:tbl>
      <w:tblPr>
        <w:tblStyle w:val="8"/>
        <w:tblW w:w="14430" w:type="dxa"/>
        <w:jc w:val="center"/>
        <w:tblLayout w:type="fixed"/>
        <w:tblCellMar>
          <w:top w:w="0" w:type="dxa"/>
          <w:left w:w="0" w:type="dxa"/>
          <w:bottom w:w="0" w:type="dxa"/>
          <w:right w:w="0" w:type="dxa"/>
        </w:tblCellMar>
      </w:tblPr>
      <w:tblGrid>
        <w:gridCol w:w="640"/>
        <w:gridCol w:w="1035"/>
        <w:gridCol w:w="4170"/>
        <w:gridCol w:w="1560"/>
        <w:gridCol w:w="1560"/>
        <w:gridCol w:w="1560"/>
        <w:gridCol w:w="1035"/>
        <w:gridCol w:w="1515"/>
        <w:gridCol w:w="1355"/>
      </w:tblGrid>
      <w:tr>
        <w:tblPrEx>
          <w:tblCellMar>
            <w:top w:w="0" w:type="dxa"/>
            <w:left w:w="0" w:type="dxa"/>
            <w:bottom w:w="0" w:type="dxa"/>
            <w:right w:w="0" w:type="dxa"/>
          </w:tblCellMar>
        </w:tblPrEx>
        <w:trPr>
          <w:trHeight w:val="522" w:hRule="atLeast"/>
          <w:tblHeader/>
          <w:jc w:val="center"/>
        </w:trPr>
        <w:tc>
          <w:tcPr>
            <w:tcW w:w="8965" w:type="dxa"/>
            <w:gridSpan w:val="5"/>
            <w:tcBorders>
              <w:top w:val="nil"/>
              <w:left w:val="nil"/>
              <w:bottom w:val="single" w:color="auto" w:sz="4" w:space="0"/>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预算单位编码及名称：[303]石家庄市鹿泉区发展和改革局</w:t>
            </w:r>
          </w:p>
        </w:tc>
        <w:tc>
          <w:tcPr>
            <w:tcW w:w="2595"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2870"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522" w:hRule="atLeast"/>
          <w:tblHeader/>
          <w:jc w:val="center"/>
        </w:trPr>
        <w:tc>
          <w:tcPr>
            <w:tcW w:w="64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20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本年支出合计</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c>
          <w:tcPr>
            <w:tcW w:w="103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经营支出</w:t>
            </w:r>
          </w:p>
        </w:tc>
        <w:tc>
          <w:tcPr>
            <w:tcW w:w="151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上缴上级支出</w:t>
            </w:r>
          </w:p>
        </w:tc>
        <w:tc>
          <w:tcPr>
            <w:tcW w:w="135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对附属单位补助支出</w:t>
            </w:r>
          </w:p>
        </w:tc>
      </w:tr>
      <w:tr>
        <w:tblPrEx>
          <w:tblCellMar>
            <w:top w:w="0" w:type="dxa"/>
            <w:left w:w="0" w:type="dxa"/>
            <w:bottom w:w="0" w:type="dxa"/>
            <w:right w:w="0" w:type="dxa"/>
          </w:tblCellMar>
        </w:tblPrEx>
        <w:trPr>
          <w:trHeight w:val="522" w:hRule="atLeast"/>
          <w:tblHeader/>
          <w:jc w:val="center"/>
        </w:trPr>
        <w:tc>
          <w:tcPr>
            <w:tcW w:w="640" w:type="dxa"/>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4170"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1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355" w:type="dxa"/>
            <w:vMerge w:val="continue"/>
            <w:tcBorders>
              <w:top w:val="single" w:color="auto"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90" w:hRule="atLeast"/>
          <w:tblHeader/>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1576.14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3017.06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978.92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1619.00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2547.92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978.92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1569.00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4661" w:type="pct"/>
        <w:jc w:val="center"/>
        <w:tblLayout w:type="autofit"/>
        <w:tblCellMar>
          <w:top w:w="0" w:type="dxa"/>
          <w:left w:w="0" w:type="dxa"/>
          <w:bottom w:w="0" w:type="dxa"/>
          <w:right w:w="0" w:type="dxa"/>
        </w:tblCellMar>
      </w:tblPr>
      <w:tblGrid>
        <w:gridCol w:w="472"/>
        <w:gridCol w:w="2670"/>
        <w:gridCol w:w="1141"/>
        <w:gridCol w:w="3348"/>
        <w:gridCol w:w="1139"/>
        <w:gridCol w:w="1869"/>
        <w:gridCol w:w="1404"/>
        <w:gridCol w:w="1780"/>
      </w:tblGrid>
      <w:tr>
        <w:tblPrEx>
          <w:tblCellMar>
            <w:top w:w="0" w:type="dxa"/>
            <w:left w:w="0" w:type="dxa"/>
            <w:bottom w:w="0" w:type="dxa"/>
            <w:right w:w="0" w:type="dxa"/>
          </w:tblCellMar>
        </w:tblPrEx>
        <w:trPr>
          <w:trHeight w:val="442" w:hRule="atLeast"/>
          <w:tblHeader/>
          <w:jc w:val="center"/>
        </w:trPr>
        <w:tc>
          <w:tcPr>
            <w:tcW w:w="2759"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预算单位编码及名称：[303]石家庄市鹿泉区发展和改革局</w:t>
            </w:r>
          </w:p>
        </w:tc>
        <w:tc>
          <w:tcPr>
            <w:tcW w:w="1088"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1152"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57" w:hRule="atLeast"/>
          <w:tblHeader/>
          <w:jc w:val="center"/>
        </w:trPr>
        <w:tc>
          <w:tcPr>
            <w:tcW w:w="17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37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3449" w:type="pct"/>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55" w:hRule="atLeast"/>
          <w:tblHeader/>
          <w:jc w:val="center"/>
        </w:trPr>
        <w:tc>
          <w:tcPr>
            <w:tcW w:w="17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一般公共预算财政拨款</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政府性基金预算财政拨款</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国有资本经营预算财政拨款</w:t>
            </w:r>
          </w:p>
        </w:tc>
      </w:tr>
      <w:tr>
        <w:tblPrEx>
          <w:tblCellMar>
            <w:top w:w="0" w:type="dxa"/>
            <w:left w:w="0" w:type="dxa"/>
            <w:bottom w:w="0" w:type="dxa"/>
            <w:right w:w="0" w:type="dxa"/>
          </w:tblCellMar>
        </w:tblPrEx>
        <w:trPr>
          <w:trHeight w:val="222" w:hRule="atLeast"/>
          <w:tblHeader/>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9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4373.20</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一、一般公共服务支出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二、外交支出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三、国防支出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四、公共安全支出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五、教育支出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六、科学技术支出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七、文化旅游体育与传媒支出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八、社会保障和就业支出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九、社会保险基金支出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十、卫生健康支出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十一、节能环保支出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十二、城乡社区支出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十三、农林水支出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十四、交通运输支出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十五、资源勘探工业信息等支出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十六、商业服务业等支出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十七、金融支出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十八、援助其他地区支出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十九、自然资源海洋气象等支出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二十、住房保障支出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二十一、粮油物资储备支出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二十二、国有资本经营预算支出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二十三、灾害防治及应急管理支出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二十四、预备费</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二十五、其他支出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二十六、转移性支出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二十七、债务还本支出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二十八、债务付息支出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二十九、债务发行费用支出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三十、抗疫特别国债安排的支出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本年收入合计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本年支出合计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4373.20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年初财政拨款结转和结余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年末财政拨款结转和结余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收入总计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4593.20</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支出总计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493.20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4373.20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p/>
    <w:tbl>
      <w:tblPr>
        <w:tblStyle w:val="8"/>
        <w:tblW w:w="4998" w:type="pct"/>
        <w:tblInd w:w="0" w:type="dxa"/>
        <w:tblLayout w:type="autofit"/>
        <w:tblCellMar>
          <w:top w:w="0" w:type="dxa"/>
          <w:left w:w="0" w:type="dxa"/>
          <w:bottom w:w="0" w:type="dxa"/>
          <w:right w:w="0" w:type="dxa"/>
        </w:tblCellMar>
      </w:tblPr>
      <w:tblGrid>
        <w:gridCol w:w="607"/>
        <w:gridCol w:w="1141"/>
        <w:gridCol w:w="4605"/>
        <w:gridCol w:w="1720"/>
        <w:gridCol w:w="1735"/>
        <w:gridCol w:w="1720"/>
        <w:gridCol w:w="1574"/>
        <w:gridCol w:w="1720"/>
      </w:tblGrid>
      <w:tr>
        <w:tblPrEx>
          <w:tblCellMar>
            <w:top w:w="0" w:type="dxa"/>
            <w:left w:w="0" w:type="dxa"/>
            <w:bottom w:w="0" w:type="dxa"/>
            <w:right w:w="0" w:type="dxa"/>
          </w:tblCellMar>
        </w:tblPrEx>
        <w:trPr>
          <w:trHeight w:val="363" w:hRule="atLeast"/>
          <w:tblHeader/>
        </w:trPr>
        <w:tc>
          <w:tcPr>
            <w:tcW w:w="3308" w:type="pct"/>
            <w:gridSpan w:val="5"/>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预算单位编码及名称：[303]石家庄市鹿泉区发展和改革局</w:t>
            </w:r>
          </w:p>
        </w:tc>
        <w:tc>
          <w:tcPr>
            <w:tcW w:w="1111" w:type="pct"/>
            <w:gridSpan w:val="2"/>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80"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63" w:hRule="atLeast"/>
          <w:tblHeader/>
        </w:trPr>
        <w:tc>
          <w:tcPr>
            <w:tcW w:w="205"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93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580"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1694"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580"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r>
      <w:tr>
        <w:tblPrEx>
          <w:tblCellMar>
            <w:top w:w="0" w:type="dxa"/>
            <w:left w:w="0" w:type="dxa"/>
            <w:bottom w:w="0" w:type="dxa"/>
            <w:right w:w="0" w:type="dxa"/>
          </w:tblCellMar>
        </w:tblPrEx>
        <w:trPr>
          <w:trHeight w:val="363" w:hRule="atLeast"/>
          <w:tblHeader/>
        </w:trPr>
        <w:tc>
          <w:tcPr>
            <w:tcW w:w="205"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55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580"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58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5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53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c>
          <w:tcPr>
            <w:tcW w:w="580"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363" w:hRule="atLeast"/>
          <w:tblHeader/>
        </w:trPr>
        <w:tc>
          <w:tcPr>
            <w:tcW w:w="20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55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5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58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5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3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5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4373.20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1576.14</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1312.52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263.62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2797.06</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2597.92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978.92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723.92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255.00</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1619.00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2547.92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978.92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723.92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255.00</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1569.00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600.37</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252.97</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125.58</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123.55</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2.03</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535.00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446.22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80.16</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454.84</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446.22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371.04</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48</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49</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r>
      <w:tr>
        <w:tblPrEx>
          <w:tblCellMar>
            <w:top w:w="0" w:type="dxa"/>
            <w:left w:w="0" w:type="dxa"/>
            <w:bottom w:w="0" w:type="dxa"/>
            <w:right w:w="0" w:type="dxa"/>
          </w:tblCellMar>
        </w:tblPrEx>
        <w:trPr>
          <w:trHeight w:val="36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155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r>
    </w:tbl>
    <w:p>
      <w:pPr>
        <w:textAlignment w:val="center"/>
        <w:rPr>
          <w:rFonts w:ascii="方正仿宋_GBK" w:hAnsi="方正仿宋_GBK" w:eastAsia="方正仿宋_GBK" w:cs="方正仿宋_GBK"/>
          <w:color w:val="000000"/>
          <w:sz w:val="22"/>
          <w:szCs w:val="22"/>
          <w:lang w:eastAsia="zh-CN" w:bidi="ar"/>
        </w:rPr>
        <w:sectPr>
          <w:pgSz w:w="16838" w:h="11900" w:orient="landscape"/>
          <w:pgMar w:top="1361" w:right="1020" w:bottom="1134" w:left="1020" w:header="720" w:footer="720" w:gutter="0"/>
          <w:cols w:space="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p/>
    <w:tbl>
      <w:tblPr>
        <w:tblStyle w:val="8"/>
        <w:tblW w:w="4999" w:type="pct"/>
        <w:tblInd w:w="0" w:type="dxa"/>
        <w:tblLayout w:type="autofit"/>
        <w:tblCellMar>
          <w:top w:w="0" w:type="dxa"/>
          <w:left w:w="0" w:type="dxa"/>
          <w:bottom w:w="0" w:type="dxa"/>
          <w:right w:w="0" w:type="dxa"/>
        </w:tblCellMar>
      </w:tblPr>
      <w:tblGrid>
        <w:gridCol w:w="782"/>
        <w:gridCol w:w="1462"/>
        <w:gridCol w:w="5177"/>
        <w:gridCol w:w="2212"/>
        <w:gridCol w:w="2565"/>
        <w:gridCol w:w="2627"/>
      </w:tblGrid>
      <w:tr>
        <w:tblPrEx>
          <w:tblCellMar>
            <w:top w:w="0" w:type="dxa"/>
            <w:left w:w="0" w:type="dxa"/>
            <w:bottom w:w="0" w:type="dxa"/>
            <w:right w:w="0" w:type="dxa"/>
          </w:tblCellMar>
        </w:tblPrEx>
        <w:trPr>
          <w:trHeight w:val="448" w:hRule="atLeast"/>
          <w:tblHeader/>
        </w:trPr>
        <w:tc>
          <w:tcPr>
            <w:tcW w:w="3249"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预算单位编码及名称：[303]石家庄市鹿泉区发展和改革局</w:t>
            </w:r>
          </w:p>
        </w:tc>
        <w:tc>
          <w:tcPr>
            <w:tcW w:w="865" w:type="pct"/>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886"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48" w:hRule="atLeast"/>
          <w:tblHeader/>
        </w:trPr>
        <w:tc>
          <w:tcPr>
            <w:tcW w:w="26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223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支出部门经济分类科目</w:t>
            </w:r>
          </w:p>
        </w:tc>
        <w:tc>
          <w:tcPr>
            <w:tcW w:w="2497"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一般公共预算基本支出</w:t>
            </w:r>
          </w:p>
        </w:tc>
      </w:tr>
      <w:tr>
        <w:tblPrEx>
          <w:tblCellMar>
            <w:top w:w="0" w:type="dxa"/>
            <w:left w:w="0" w:type="dxa"/>
            <w:bottom w:w="0" w:type="dxa"/>
            <w:right w:w="0" w:type="dxa"/>
          </w:tblCellMar>
        </w:tblPrEx>
        <w:trPr>
          <w:trHeight w:val="448" w:hRule="atLeast"/>
          <w:tblHeader/>
        </w:trPr>
        <w:tc>
          <w:tcPr>
            <w:tcW w:w="26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4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r>
      <w:tr>
        <w:tblPrEx>
          <w:tblCellMar>
            <w:top w:w="0" w:type="dxa"/>
            <w:left w:w="0" w:type="dxa"/>
            <w:bottom w:w="0" w:type="dxa"/>
            <w:right w:w="0" w:type="dxa"/>
          </w:tblCellMar>
        </w:tblPrEx>
        <w:trPr>
          <w:trHeight w:val="448" w:hRule="atLeast"/>
          <w:tblHeader/>
        </w:trPr>
        <w:tc>
          <w:tcPr>
            <w:tcW w:w="2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4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1576.14</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1312.52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263.62</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工资福利支出</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919.81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919.81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基本工资</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239.78</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239.78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津贴补贴</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154.3</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154.3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30103</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奖金</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12.63</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12.63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绩效工资</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78.93</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78.93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职业年金缴费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30110</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职工基本医疗保险缴费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64.69</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其他社会保障缴费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3.33</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30113</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77.69</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其他工资福利支出</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213.28</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213.28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商品和服务支出</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263.62</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263.62</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办公费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印刷费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30205</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水费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0.87</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0.87</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30206</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电费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邮电费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25.25</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25.25</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取暖费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10.83</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10.83</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30211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差旅费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30217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公务接待费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30226</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劳务费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委托业务费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142.76</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142.76</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工会经费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5.21</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福利费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5.99</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5.99</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30231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公务用车运行维护费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30239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其他交通费用</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24.84</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24.84</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其他商品和服务支出</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9.79</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9.79</w:t>
            </w: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对个人和家庭的补助</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392.71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392.71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离休费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39.01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39.01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退休费</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67.15</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67.15</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30305</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生活补助</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21.57</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21.57</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奖励金</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其他对个人和家庭的补助</w:t>
            </w: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264.88</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264.88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Layout w:type="fixed"/>
        <w:tblCellMar>
          <w:top w:w="0" w:type="dxa"/>
          <w:left w:w="0" w:type="dxa"/>
          <w:bottom w:w="0" w:type="dxa"/>
          <w:right w:w="0" w:type="dxa"/>
        </w:tblCellMar>
      </w:tblPr>
      <w:tblGrid>
        <w:gridCol w:w="702"/>
        <w:gridCol w:w="1134"/>
        <w:gridCol w:w="3232"/>
        <w:gridCol w:w="1629"/>
        <w:gridCol w:w="1403"/>
        <w:gridCol w:w="1732"/>
      </w:tblGrid>
      <w:tr>
        <w:tblPrEx>
          <w:tblCellMar>
            <w:top w:w="0" w:type="dxa"/>
            <w:left w:w="0" w:type="dxa"/>
            <w:bottom w:w="0" w:type="dxa"/>
            <w:right w:w="0" w:type="dxa"/>
          </w:tblCellMar>
        </w:tblPrEx>
        <w:trPr>
          <w:trHeight w:val="440" w:hRule="atLeast"/>
          <w:jc w:val="center"/>
        </w:trPr>
        <w:tc>
          <w:tcPr>
            <w:tcW w:w="6697" w:type="dxa"/>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bookmarkStart w:id="7" w:name="_Toc_2_2_0000000008"/>
            <w:r>
              <w:rPr>
                <w:rFonts w:hint="eastAsia" w:ascii="宋体" w:hAnsi="宋体" w:eastAsia="宋体" w:cs="宋体"/>
                <w:b/>
                <w:color w:val="000000"/>
                <w:sz w:val="21"/>
                <w:szCs w:val="21"/>
                <w:lang w:eastAsia="zh-CN" w:bidi="ar"/>
              </w:rPr>
              <w:t>预算单位编码及名称：[303]石家庄市鹿泉区发展和改革局</w:t>
            </w:r>
          </w:p>
        </w:tc>
        <w:tc>
          <w:tcPr>
            <w:tcW w:w="1403" w:type="dxa"/>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预算年度：2021</w:t>
            </w:r>
          </w:p>
        </w:tc>
        <w:tc>
          <w:tcPr>
            <w:tcW w:w="1732"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金额单位：万元</w:t>
            </w:r>
          </w:p>
        </w:tc>
      </w:tr>
      <w:tr>
        <w:tblPrEx>
          <w:tblCellMar>
            <w:top w:w="0" w:type="dxa"/>
            <w:left w:w="0" w:type="dxa"/>
            <w:bottom w:w="0" w:type="dxa"/>
            <w:right w:w="0" w:type="dxa"/>
          </w:tblCellMar>
        </w:tblPrEx>
        <w:trPr>
          <w:trHeight w:val="440" w:hRule="atLeast"/>
          <w:jc w:val="center"/>
        </w:trPr>
        <w:tc>
          <w:tcPr>
            <w:tcW w:w="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序号</w:t>
            </w:r>
          </w:p>
        </w:tc>
        <w:tc>
          <w:tcPr>
            <w:tcW w:w="43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支出功能分类科目</w:t>
            </w:r>
          </w:p>
        </w:tc>
        <w:tc>
          <w:tcPr>
            <w:tcW w:w="16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合计</w:t>
            </w:r>
          </w:p>
        </w:tc>
        <w:tc>
          <w:tcPr>
            <w:tcW w:w="14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基本支出</w:t>
            </w:r>
          </w:p>
        </w:tc>
        <w:tc>
          <w:tcPr>
            <w:tcW w:w="17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项目支出</w:t>
            </w:r>
          </w:p>
        </w:tc>
      </w:tr>
      <w:tr>
        <w:tblPrEx>
          <w:tblCellMar>
            <w:top w:w="0" w:type="dxa"/>
            <w:left w:w="0" w:type="dxa"/>
            <w:bottom w:w="0" w:type="dxa"/>
            <w:right w:w="0" w:type="dxa"/>
          </w:tblCellMar>
        </w:tblPrEx>
        <w:trPr>
          <w:trHeight w:val="440" w:hRule="atLeast"/>
          <w:jc w:val="center"/>
        </w:trPr>
        <w:tc>
          <w:tcPr>
            <w:tcW w:w="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科目编码</w:t>
            </w:r>
          </w:p>
        </w:tc>
        <w:tc>
          <w:tcPr>
            <w:tcW w:w="3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科目名称</w:t>
            </w:r>
          </w:p>
        </w:tc>
        <w:tc>
          <w:tcPr>
            <w:tcW w:w="16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4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7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r>
      <w:tr>
        <w:tblPrEx>
          <w:tblCellMar>
            <w:top w:w="0" w:type="dxa"/>
            <w:left w:w="0" w:type="dxa"/>
            <w:bottom w:w="0" w:type="dxa"/>
            <w:right w:w="0" w:type="dxa"/>
          </w:tblCellMar>
        </w:tblPrEx>
        <w:trPr>
          <w:trHeight w:val="44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栏次</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1</w:t>
            </w:r>
          </w:p>
        </w:tc>
        <w:tc>
          <w:tcPr>
            <w:tcW w:w="3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2</w:t>
            </w:r>
          </w:p>
        </w:tc>
        <w:tc>
          <w:tcPr>
            <w:tcW w:w="1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3</w:t>
            </w:r>
          </w:p>
        </w:tc>
        <w:tc>
          <w:tcPr>
            <w:tcW w:w="14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4</w:t>
            </w:r>
          </w:p>
        </w:tc>
        <w:tc>
          <w:tcPr>
            <w:tcW w:w="17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5</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119"/>
        <w:gridCol w:w="1393"/>
        <w:gridCol w:w="1394"/>
        <w:gridCol w:w="1694"/>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6" w:type="dxa"/>
            <w:gridSpan w:val="3"/>
            <w:tcBorders>
              <w:top w:val="single" w:color="FFFFFF" w:sz="6" w:space="0"/>
              <w:left w:val="single" w:color="FFFFFF" w:sz="6" w:space="0"/>
              <w:right w:val="single" w:color="FFFFFF" w:sz="6" w:space="0"/>
            </w:tcBorders>
            <w:vAlign w:val="center"/>
          </w:tcPr>
          <w:p>
            <w:pPr>
              <w:textAlignment w:val="center"/>
              <w:rPr>
                <w:sz w:val="21"/>
                <w:szCs w:val="21"/>
              </w:rPr>
            </w:pPr>
            <w:r>
              <w:rPr>
                <w:rFonts w:hint="eastAsia" w:ascii="宋体" w:hAnsi="宋体" w:eastAsia="宋体" w:cs="宋体"/>
                <w:b/>
                <w:color w:val="000000"/>
                <w:sz w:val="21"/>
                <w:szCs w:val="21"/>
                <w:lang w:eastAsia="zh-CN" w:bidi="ar"/>
              </w:rPr>
              <w:t>预算单位编码及名称：[303]石家庄市鹿泉区发展和改革局</w:t>
            </w:r>
          </w:p>
        </w:tc>
        <w:tc>
          <w:tcPr>
            <w:tcW w:w="0" w:type="auto"/>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预算年度：2021</w:t>
            </w:r>
          </w:p>
        </w:tc>
        <w:tc>
          <w:tcPr>
            <w:tcW w:w="2112" w:type="dxa"/>
            <w:gridSpan w:val="2"/>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Merge w:val="restart"/>
            <w:vAlign w:val="center"/>
          </w:tcPr>
          <w:p>
            <w:pPr>
              <w:pStyle w:val="14"/>
              <w:rPr>
                <w:szCs w:val="21"/>
              </w:rPr>
            </w:pPr>
            <w:r>
              <w:rPr>
                <w:szCs w:val="21"/>
              </w:rPr>
              <w:t>序号</w:t>
            </w:r>
          </w:p>
        </w:tc>
        <w:tc>
          <w:tcPr>
            <w:tcW w:w="0" w:type="auto"/>
            <w:gridSpan w:val="2"/>
            <w:vAlign w:val="center"/>
          </w:tcPr>
          <w:p>
            <w:pPr>
              <w:pStyle w:val="14"/>
              <w:rPr>
                <w:szCs w:val="21"/>
              </w:rPr>
            </w:pPr>
            <w:r>
              <w:rPr>
                <w:szCs w:val="21"/>
              </w:rPr>
              <w:t>功能分类科目</w:t>
            </w:r>
          </w:p>
        </w:tc>
        <w:tc>
          <w:tcPr>
            <w:tcW w:w="0" w:type="auto"/>
            <w:vMerge w:val="restart"/>
            <w:vAlign w:val="center"/>
          </w:tcPr>
          <w:p>
            <w:pPr>
              <w:pStyle w:val="14"/>
              <w:rPr>
                <w:szCs w:val="21"/>
              </w:rPr>
            </w:pPr>
            <w:r>
              <w:rPr>
                <w:szCs w:val="21"/>
              </w:rPr>
              <w:t>合计</w:t>
            </w:r>
          </w:p>
        </w:tc>
        <w:tc>
          <w:tcPr>
            <w:tcW w:w="0" w:type="auto"/>
            <w:vMerge w:val="restart"/>
            <w:vAlign w:val="center"/>
          </w:tcPr>
          <w:p>
            <w:pPr>
              <w:pStyle w:val="14"/>
              <w:rPr>
                <w:szCs w:val="21"/>
              </w:rPr>
            </w:pPr>
            <w:r>
              <w:rPr>
                <w:szCs w:val="21"/>
              </w:rPr>
              <w:t>基本支出</w:t>
            </w:r>
          </w:p>
        </w:tc>
        <w:tc>
          <w:tcPr>
            <w:tcW w:w="1056" w:type="dxa"/>
            <w:vMerge w:val="restart"/>
            <w:vAlign w:val="center"/>
          </w:tcPr>
          <w:p>
            <w:pPr>
              <w:pStyle w:val="14"/>
              <w:rPr>
                <w:szCs w:val="21"/>
              </w:rPr>
            </w:pPr>
            <w:r>
              <w:rPr>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Merge w:val="continue"/>
          </w:tcPr>
          <w:p>
            <w:pPr>
              <w:rPr>
                <w:sz w:val="21"/>
                <w:szCs w:val="21"/>
              </w:rPr>
            </w:pPr>
          </w:p>
        </w:tc>
        <w:tc>
          <w:tcPr>
            <w:tcW w:w="0" w:type="auto"/>
            <w:vAlign w:val="center"/>
          </w:tcPr>
          <w:p>
            <w:pPr>
              <w:pStyle w:val="14"/>
              <w:rPr>
                <w:szCs w:val="21"/>
              </w:rPr>
            </w:pPr>
            <w:r>
              <w:rPr>
                <w:szCs w:val="21"/>
              </w:rPr>
              <w:t>科目编码</w:t>
            </w:r>
          </w:p>
        </w:tc>
        <w:tc>
          <w:tcPr>
            <w:tcW w:w="0" w:type="auto"/>
            <w:vAlign w:val="center"/>
          </w:tcPr>
          <w:p>
            <w:pPr>
              <w:pStyle w:val="14"/>
              <w:rPr>
                <w:szCs w:val="21"/>
              </w:rPr>
            </w:pPr>
            <w:r>
              <w:rPr>
                <w:szCs w:val="21"/>
              </w:rPr>
              <w:t>科目名称</w:t>
            </w:r>
          </w:p>
        </w:tc>
        <w:tc>
          <w:tcPr>
            <w:tcW w:w="0" w:type="auto"/>
            <w:vMerge w:val="continue"/>
          </w:tcPr>
          <w:p>
            <w:pPr>
              <w:rPr>
                <w:sz w:val="21"/>
                <w:szCs w:val="21"/>
              </w:rPr>
            </w:pPr>
          </w:p>
        </w:tc>
        <w:tc>
          <w:tcPr>
            <w:tcW w:w="0" w:type="auto"/>
            <w:vMerge w:val="continue"/>
          </w:tcPr>
          <w:p>
            <w:pPr>
              <w:rPr>
                <w:sz w:val="21"/>
                <w:szCs w:val="21"/>
              </w:rPr>
            </w:pPr>
          </w:p>
        </w:tc>
        <w:tc>
          <w:tcPr>
            <w:tcW w:w="1056"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Align w:val="center"/>
          </w:tcPr>
          <w:p>
            <w:pPr>
              <w:pStyle w:val="14"/>
              <w:rPr>
                <w:szCs w:val="21"/>
              </w:rPr>
            </w:pPr>
            <w:r>
              <w:rPr>
                <w:szCs w:val="21"/>
              </w:rPr>
              <w:t>栏次</w:t>
            </w:r>
          </w:p>
        </w:tc>
        <w:tc>
          <w:tcPr>
            <w:tcW w:w="0" w:type="auto"/>
            <w:vAlign w:val="center"/>
          </w:tcPr>
          <w:p>
            <w:pPr>
              <w:pStyle w:val="14"/>
              <w:rPr>
                <w:szCs w:val="21"/>
              </w:rPr>
            </w:pPr>
            <w:r>
              <w:rPr>
                <w:szCs w:val="21"/>
              </w:rPr>
              <w:t>1</w:t>
            </w:r>
          </w:p>
        </w:tc>
        <w:tc>
          <w:tcPr>
            <w:tcW w:w="0" w:type="auto"/>
            <w:vAlign w:val="center"/>
          </w:tcPr>
          <w:p>
            <w:pPr>
              <w:pStyle w:val="14"/>
              <w:rPr>
                <w:szCs w:val="21"/>
              </w:rPr>
            </w:pPr>
            <w:r>
              <w:rPr>
                <w:szCs w:val="21"/>
              </w:rPr>
              <w:t>2</w:t>
            </w:r>
          </w:p>
        </w:tc>
        <w:tc>
          <w:tcPr>
            <w:tcW w:w="0" w:type="auto"/>
            <w:vAlign w:val="center"/>
          </w:tcPr>
          <w:p>
            <w:pPr>
              <w:pStyle w:val="14"/>
              <w:rPr>
                <w:szCs w:val="21"/>
              </w:rPr>
            </w:pPr>
            <w:r>
              <w:rPr>
                <w:szCs w:val="21"/>
              </w:rPr>
              <w:t>3</w:t>
            </w:r>
          </w:p>
        </w:tc>
        <w:tc>
          <w:tcPr>
            <w:tcW w:w="0" w:type="auto"/>
            <w:vAlign w:val="center"/>
          </w:tcPr>
          <w:p>
            <w:pPr>
              <w:pStyle w:val="14"/>
              <w:rPr>
                <w:szCs w:val="21"/>
              </w:rPr>
            </w:pPr>
            <w:r>
              <w:rPr>
                <w:szCs w:val="21"/>
              </w:rPr>
              <w:t>4</w:t>
            </w:r>
          </w:p>
        </w:tc>
        <w:tc>
          <w:tcPr>
            <w:tcW w:w="1056" w:type="dxa"/>
            <w:vAlign w:val="center"/>
          </w:tcPr>
          <w:p>
            <w:pPr>
              <w:pStyle w:val="14"/>
              <w:rPr>
                <w:szCs w:val="21"/>
              </w:rPr>
            </w:pPr>
            <w:r>
              <w:rPr>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3" w:type="dxa"/>
            <w:vAlign w:val="center"/>
          </w:tcPr>
          <w:p>
            <w:pPr>
              <w:pStyle w:val="17"/>
              <w:rPr>
                <w:szCs w:val="21"/>
              </w:rPr>
            </w:pPr>
          </w:p>
        </w:tc>
        <w:tc>
          <w:tcPr>
            <w:tcW w:w="0" w:type="auto"/>
            <w:vAlign w:val="center"/>
          </w:tcPr>
          <w:p>
            <w:pPr>
              <w:pStyle w:val="16"/>
              <w:rPr>
                <w:szCs w:val="21"/>
              </w:rPr>
            </w:pPr>
          </w:p>
        </w:tc>
        <w:tc>
          <w:tcPr>
            <w:tcW w:w="0" w:type="auto"/>
            <w:vAlign w:val="center"/>
          </w:tcPr>
          <w:p>
            <w:pPr>
              <w:pStyle w:val="16"/>
              <w:rPr>
                <w:szCs w:val="21"/>
              </w:rPr>
            </w:pPr>
          </w:p>
        </w:tc>
        <w:tc>
          <w:tcPr>
            <w:tcW w:w="0" w:type="auto"/>
            <w:vAlign w:val="center"/>
          </w:tcPr>
          <w:p>
            <w:pPr>
              <w:pStyle w:val="15"/>
              <w:rPr>
                <w:szCs w:val="21"/>
              </w:rPr>
            </w:pPr>
          </w:p>
        </w:tc>
        <w:tc>
          <w:tcPr>
            <w:tcW w:w="0" w:type="auto"/>
            <w:vAlign w:val="center"/>
          </w:tcPr>
          <w:p>
            <w:pPr>
              <w:pStyle w:val="15"/>
              <w:rPr>
                <w:szCs w:val="21"/>
              </w:rPr>
            </w:pPr>
          </w:p>
        </w:tc>
        <w:tc>
          <w:tcPr>
            <w:tcW w:w="1056" w:type="dxa"/>
            <w:vAlign w:val="center"/>
          </w:tcPr>
          <w:p>
            <w:pPr>
              <w:pStyle w:val="15"/>
              <w:rPr>
                <w:szCs w:val="21"/>
              </w:rPr>
            </w:pPr>
          </w:p>
        </w:tc>
      </w:tr>
    </w:tbl>
    <w:p>
      <w:pPr>
        <w:ind w:firstLine="2887" w:firstLineChars="1375"/>
        <w:sectPr>
          <w:pgSz w:w="16838" w:h="11900" w:orient="landscape"/>
          <w:pgMar w:top="1361" w:right="1020" w:bottom="1134" w:left="1020" w:header="720" w:footer="720" w:gutter="0"/>
          <w:cols w:space="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4217"/>
        <w:gridCol w:w="822"/>
        <w:gridCol w:w="2316"/>
        <w:gridCol w:w="2106"/>
        <w:gridCol w:w="2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预算单位编码及名称：[303]石家庄市鹿泉区发展和改革局</w:t>
            </w:r>
          </w:p>
        </w:tc>
        <w:tc>
          <w:tcPr>
            <w:tcW w:w="0" w:type="auto"/>
            <w:tcBorders>
              <w:top w:val="single" w:color="FFFFFF" w:sz="6" w:space="0"/>
              <w:left w:val="single" w:color="FFFFFF" w:sz="6" w:space="0"/>
              <w:right w:val="single" w:color="FFFFFF" w:sz="6" w:space="0"/>
            </w:tcBorders>
            <w:vAlign w:val="center"/>
          </w:tcPr>
          <w:p>
            <w:pPr>
              <w:jc w:val="center"/>
              <w:textAlignment w:val="center"/>
              <w:rPr>
                <w:rFonts w:ascii="宋体" w:hAnsi="宋体" w:eastAsia="宋体" w:cs="宋体"/>
                <w:sz w:val="21"/>
                <w:szCs w:val="21"/>
              </w:rPr>
            </w:pPr>
          </w:p>
        </w:tc>
        <w:tc>
          <w:tcPr>
            <w:tcW w:w="0" w:type="auto"/>
            <w:gridSpan w:val="2"/>
            <w:tcBorders>
              <w:top w:val="single" w:color="FFFFFF" w:sz="6" w:space="0"/>
              <w:left w:val="single" w:color="FFFFFF" w:sz="6" w:space="0"/>
              <w:right w:val="single" w:color="FFFFFF" w:sz="6" w:space="0"/>
            </w:tcBorders>
            <w:vAlign w:val="center"/>
          </w:tcPr>
          <w:p>
            <w:pPr>
              <w:jc w:val="right"/>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预算年度：2021             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rPr>
                <w:szCs w:val="21"/>
              </w:rPr>
            </w:pPr>
            <w:r>
              <w:rPr>
                <w:rFonts w:hint="eastAsia"/>
                <w:szCs w:val="21"/>
              </w:rPr>
              <w:t>序号</w:t>
            </w:r>
          </w:p>
        </w:tc>
        <w:tc>
          <w:tcPr>
            <w:tcW w:w="0" w:type="auto"/>
            <w:vMerge w:val="restart"/>
            <w:vAlign w:val="center"/>
          </w:tcPr>
          <w:p>
            <w:pPr>
              <w:pStyle w:val="14"/>
              <w:rPr>
                <w:szCs w:val="21"/>
              </w:rPr>
            </w:pPr>
            <w:r>
              <w:rPr>
                <w:rFonts w:hint="eastAsia"/>
                <w:szCs w:val="21"/>
              </w:rPr>
              <w:t>项  目</w:t>
            </w:r>
          </w:p>
        </w:tc>
        <w:tc>
          <w:tcPr>
            <w:tcW w:w="0" w:type="auto"/>
            <w:gridSpan w:val="4"/>
            <w:vAlign w:val="center"/>
          </w:tcPr>
          <w:p>
            <w:pPr>
              <w:pStyle w:val="14"/>
              <w:rPr>
                <w:szCs w:val="21"/>
              </w:rPr>
            </w:pPr>
            <w:r>
              <w:rPr>
                <w:rFonts w:hint="eastAsia"/>
                <w:szCs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0" w:type="auto"/>
            <w:vMerge w:val="continue"/>
          </w:tcPr>
          <w:p>
            <w:pPr>
              <w:rPr>
                <w:rFonts w:ascii="方正书宋_GBK" w:hAnsi="方正书宋_GBK" w:eastAsia="方正书宋_GBK" w:cs="方正书宋_GBK"/>
                <w:b/>
                <w:sz w:val="21"/>
                <w:szCs w:val="21"/>
              </w:rPr>
            </w:pPr>
          </w:p>
        </w:tc>
        <w:tc>
          <w:tcPr>
            <w:tcW w:w="0" w:type="auto"/>
            <w:vMerge w:val="continue"/>
          </w:tcPr>
          <w:p>
            <w:pPr>
              <w:rPr>
                <w:rFonts w:ascii="方正书宋_GBK" w:hAnsi="方正书宋_GBK" w:eastAsia="方正书宋_GBK" w:cs="方正书宋_GBK"/>
                <w:b/>
                <w:sz w:val="21"/>
                <w:szCs w:val="21"/>
              </w:rPr>
            </w:pPr>
          </w:p>
        </w:tc>
        <w:tc>
          <w:tcPr>
            <w:tcW w:w="0" w:type="auto"/>
            <w:vAlign w:val="center"/>
          </w:tcPr>
          <w:p>
            <w:pPr>
              <w:pStyle w:val="14"/>
              <w:rPr>
                <w:szCs w:val="21"/>
              </w:rPr>
            </w:pPr>
            <w:r>
              <w:rPr>
                <w:rFonts w:hint="eastAsia"/>
                <w:szCs w:val="21"/>
              </w:rPr>
              <w:t>合计</w:t>
            </w:r>
          </w:p>
        </w:tc>
        <w:tc>
          <w:tcPr>
            <w:tcW w:w="0" w:type="auto"/>
            <w:vAlign w:val="center"/>
          </w:tcPr>
          <w:p>
            <w:pPr>
              <w:pStyle w:val="14"/>
              <w:rPr>
                <w:szCs w:val="21"/>
              </w:rPr>
            </w:pPr>
            <w:r>
              <w:rPr>
                <w:rFonts w:hint="eastAsia"/>
                <w:szCs w:val="21"/>
              </w:rPr>
              <w:t>一般公共预算财政拨款</w:t>
            </w:r>
          </w:p>
        </w:tc>
        <w:tc>
          <w:tcPr>
            <w:tcW w:w="0" w:type="auto"/>
            <w:vAlign w:val="center"/>
          </w:tcPr>
          <w:p>
            <w:pPr>
              <w:pStyle w:val="14"/>
              <w:rPr>
                <w:szCs w:val="21"/>
              </w:rPr>
            </w:pPr>
            <w:r>
              <w:rPr>
                <w:rFonts w:hint="eastAsia"/>
                <w:szCs w:val="21"/>
              </w:rPr>
              <w:t>政府性基金预算拨款</w:t>
            </w:r>
          </w:p>
        </w:tc>
        <w:tc>
          <w:tcPr>
            <w:tcW w:w="0" w:type="auto"/>
            <w:vAlign w:val="center"/>
          </w:tcPr>
          <w:p>
            <w:pPr>
              <w:pStyle w:val="14"/>
              <w:rPr>
                <w:szCs w:val="21"/>
              </w:rPr>
            </w:pPr>
            <w:r>
              <w:rPr>
                <w:rFonts w:hint="eastAsia"/>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0" w:type="auto"/>
            <w:vAlign w:val="center"/>
          </w:tcPr>
          <w:p>
            <w:pPr>
              <w:pStyle w:val="14"/>
              <w:rPr>
                <w:szCs w:val="21"/>
              </w:rPr>
            </w:pPr>
            <w:r>
              <w:rPr>
                <w:rFonts w:hint="eastAsia"/>
                <w:szCs w:val="21"/>
              </w:rPr>
              <w:t>栏次</w:t>
            </w:r>
          </w:p>
        </w:tc>
        <w:tc>
          <w:tcPr>
            <w:tcW w:w="0" w:type="auto"/>
            <w:vAlign w:val="center"/>
          </w:tcPr>
          <w:p>
            <w:pPr>
              <w:pStyle w:val="14"/>
              <w:rPr>
                <w:szCs w:val="21"/>
              </w:rPr>
            </w:pPr>
            <w:r>
              <w:rPr>
                <w:rFonts w:hint="eastAsia"/>
                <w:szCs w:val="21"/>
              </w:rPr>
              <w:t>1</w:t>
            </w:r>
          </w:p>
        </w:tc>
        <w:tc>
          <w:tcPr>
            <w:tcW w:w="0" w:type="auto"/>
            <w:vAlign w:val="center"/>
          </w:tcPr>
          <w:p>
            <w:pPr>
              <w:pStyle w:val="14"/>
              <w:rPr>
                <w:szCs w:val="21"/>
              </w:rPr>
            </w:pPr>
            <w:r>
              <w:rPr>
                <w:rFonts w:hint="eastAsia"/>
                <w:szCs w:val="21"/>
              </w:rPr>
              <w:t>2</w:t>
            </w:r>
          </w:p>
        </w:tc>
        <w:tc>
          <w:tcPr>
            <w:tcW w:w="0" w:type="auto"/>
            <w:vAlign w:val="center"/>
          </w:tcPr>
          <w:p>
            <w:pPr>
              <w:pStyle w:val="14"/>
              <w:rPr>
                <w:szCs w:val="21"/>
              </w:rPr>
            </w:pPr>
            <w:r>
              <w:rPr>
                <w:rFonts w:hint="eastAsia"/>
                <w:szCs w:val="21"/>
              </w:rPr>
              <w:t>3</w:t>
            </w:r>
          </w:p>
        </w:tc>
        <w:tc>
          <w:tcPr>
            <w:tcW w:w="0" w:type="auto"/>
            <w:vAlign w:val="center"/>
          </w:tcPr>
          <w:p>
            <w:pPr>
              <w:pStyle w:val="14"/>
              <w:rPr>
                <w:szCs w:val="21"/>
              </w:rPr>
            </w:pPr>
            <w:r>
              <w:rPr>
                <w:rFonts w:hint="eastAsia"/>
                <w:szCs w:val="21"/>
              </w:rPr>
              <w:t>4</w:t>
            </w:r>
          </w:p>
        </w:tc>
        <w:tc>
          <w:tcPr>
            <w:tcW w:w="0" w:type="auto"/>
            <w:vAlign w:val="center"/>
          </w:tcPr>
          <w:p>
            <w:pPr>
              <w:pStyle w:val="14"/>
              <w:rPr>
                <w:szCs w:val="21"/>
              </w:rPr>
            </w:pPr>
            <w:r>
              <w:rPr>
                <w:rFonts w:hint="eastAsia"/>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0" w:type="auto"/>
            <w:vAlign w:val="center"/>
          </w:tcPr>
          <w:p>
            <w:pPr>
              <w:pStyle w:val="19"/>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9"/>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9"/>
              <w:rPr>
                <w:rFonts w:ascii="方正仿宋_GBK" w:hAnsi="方正仿宋_GBK" w:eastAsia="方正仿宋_GBK" w:cs="方正仿宋_GBK"/>
                <w:color w:val="000000"/>
                <w:sz w:val="22"/>
                <w:szCs w:val="22"/>
                <w:lang w:eastAsia="zh-CN" w:bidi="ar"/>
              </w:rPr>
            </w:pPr>
          </w:p>
        </w:tc>
        <w:tc>
          <w:tcPr>
            <w:tcW w:w="0" w:type="auto"/>
            <w:vAlign w:val="center"/>
          </w:tcPr>
          <w:p>
            <w:pPr>
              <w:pStyle w:val="19"/>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“三公”经费小计</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一、因公出国（境）费</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其中：教学科研人员因公出国（境）费</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其他因公出国（境）费</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二、公务用车购置及运维费</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其中：公务用车购置费</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公务用车运行维护费</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三、公务接待费</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5"/>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c>
          <w:tcPr>
            <w:tcW w:w="0" w:type="auto"/>
            <w:vAlign w:val="center"/>
          </w:tcPr>
          <w:p>
            <w:pPr>
              <w:pStyle w:val="15"/>
              <w:rPr>
                <w:rFonts w:ascii="方正仿宋_GBK" w:hAnsi="方正仿宋_GBK" w:eastAsia="方正仿宋_GBK" w:cs="方正仿宋_GBK"/>
                <w:color w:val="000000"/>
                <w:sz w:val="22"/>
                <w:szCs w:val="22"/>
                <w:lang w:eastAsia="zh-CN" w:bidi="ar"/>
              </w:rPr>
            </w:pPr>
          </w:p>
        </w:tc>
      </w:tr>
    </w:tbl>
    <w:p>
      <w:pPr>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br w:type="page"/>
      </w:r>
    </w:p>
    <w:p>
      <w:pPr>
        <w:spacing w:line="520" w:lineRule="atLeast"/>
        <w:jc w:val="center"/>
        <w:rPr>
          <w:rFonts w:ascii="方正小标宋_GBK" w:hAnsi="方正小标宋_GBK" w:eastAsia="方正小标宋_GBK" w:cs="方正小标宋_GBK"/>
          <w:color w:val="000000"/>
          <w:sz w:val="44"/>
          <w:lang w:eastAsia="zh-CN"/>
        </w:rPr>
        <w:sectPr>
          <w:pgSz w:w="16838" w:h="11900" w:orient="landscape"/>
          <w:pgMar w:top="1361" w:right="1020" w:bottom="1134" w:left="1020" w:header="720" w:footer="720" w:gutter="0"/>
          <w:cols w:space="0" w:num="1"/>
        </w:sectPr>
      </w:pPr>
    </w:p>
    <w:p>
      <w:pPr>
        <w:spacing w:line="520" w:lineRule="atLeast"/>
        <w:jc w:val="center"/>
      </w:pPr>
      <w:r>
        <w:rPr>
          <w:rFonts w:hint="eastAsia" w:ascii="方正小标宋_GBK" w:hAnsi="方正小标宋_GBK" w:eastAsia="方正小标宋_GBK" w:cs="方正小标宋_GBK"/>
          <w:color w:val="000000"/>
          <w:sz w:val="44"/>
          <w:lang w:eastAsia="zh-CN"/>
        </w:rPr>
        <w:t>石家庄市鹿泉区发展和改革局</w:t>
      </w:r>
      <w:r>
        <w:rPr>
          <w:rFonts w:ascii="方正小标宋_GBK" w:hAnsi="方正小标宋_GBK" w:eastAsia="方正小标宋_GBK" w:cs="方正小标宋_GBK"/>
          <w:color w:val="000000"/>
          <w:sz w:val="44"/>
        </w:rPr>
        <w:t>2021年部门预算信息公开情况说明</w:t>
      </w:r>
    </w:p>
    <w:p>
      <w:pPr>
        <w:pStyle w:val="21"/>
        <w:spacing w:line="520" w:lineRule="atLeast"/>
        <w:rPr>
          <w:color w:val="000000"/>
        </w:rPr>
      </w:pPr>
      <w:r>
        <w:rPr>
          <w:rFonts w:hint="eastAsia"/>
          <w:color w:val="000000"/>
        </w:rPr>
        <w:t>按照</w:t>
      </w:r>
      <w:r>
        <w:rPr>
          <w:rFonts w:hint="eastAsia"/>
          <w:color w:val="000000"/>
          <w:lang w:eastAsia="zh-CN"/>
        </w:rPr>
        <w:t>《中华人民共和国预算法》</w:t>
      </w:r>
      <w:r>
        <w:rPr>
          <w:rFonts w:hint="eastAsia"/>
          <w:color w:val="000000"/>
        </w:rPr>
        <w:t>、《地方预决算公开操作规程》和《河北省省级预算公开办法》规定，现将石家庄市鹿泉区发展和改革局2021年部门预算公开如下：</w:t>
      </w:r>
    </w:p>
    <w:p>
      <w:pPr>
        <w:pStyle w:val="21"/>
        <w:spacing w:line="520" w:lineRule="atLeast"/>
        <w:rPr>
          <w:b/>
          <w:bCs/>
          <w:color w:val="000000"/>
        </w:rPr>
      </w:pPr>
      <w:r>
        <w:rPr>
          <w:rFonts w:hint="eastAsia"/>
          <w:b/>
          <w:bCs/>
          <w:color w:val="000000"/>
        </w:rPr>
        <w:t>一、部门职责及机构设置情况</w:t>
      </w:r>
    </w:p>
    <w:p>
      <w:pPr>
        <w:pStyle w:val="21"/>
        <w:spacing w:line="520" w:lineRule="atLeast"/>
        <w:rPr>
          <w:b/>
          <w:bCs/>
          <w:color w:val="000000"/>
        </w:rPr>
      </w:pPr>
      <w:r>
        <w:rPr>
          <w:rFonts w:hint="eastAsia"/>
          <w:b/>
          <w:bCs/>
          <w:color w:val="000000"/>
        </w:rPr>
        <w:t>1.部门职责：</w:t>
      </w:r>
    </w:p>
    <w:p>
      <w:pPr>
        <w:pStyle w:val="21"/>
        <w:spacing w:line="520" w:lineRule="exact"/>
        <w:ind w:firstLine="561"/>
        <w:rPr>
          <w:color w:val="000000"/>
        </w:rPr>
      </w:pPr>
      <w:r>
        <w:rPr>
          <w:rFonts w:hint="eastAsia"/>
          <w:color w:val="000000"/>
        </w:rPr>
        <w:t>（一）贯彻落实上级国民经济和社会发展、经济体制改革和对外开放的有关地方性法规、政府规章，制定相关规范性文件。</w:t>
      </w:r>
    </w:p>
    <w:p>
      <w:pPr>
        <w:pStyle w:val="21"/>
        <w:spacing w:line="520" w:lineRule="exact"/>
        <w:ind w:firstLine="561"/>
        <w:rPr>
          <w:color w:val="000000"/>
        </w:rPr>
      </w:pPr>
      <w:r>
        <w:rPr>
          <w:rFonts w:hint="eastAsia"/>
          <w:color w:val="000000"/>
        </w:rPr>
        <w:t>（二）提出加快建设全区现代化经济体系、推动高质量发展的总体目标、重大任务以及相关政策。落实相关重大战略规划、重大政策、重大工程等的评估督导，提出相关调整建议。</w:t>
      </w:r>
    </w:p>
    <w:p>
      <w:pPr>
        <w:pStyle w:val="21"/>
        <w:spacing w:line="520" w:lineRule="exact"/>
        <w:ind w:firstLine="561"/>
        <w:rPr>
          <w:color w:val="000000"/>
        </w:rPr>
      </w:pPr>
      <w:r>
        <w:rPr>
          <w:rFonts w:hint="eastAsia"/>
          <w:color w:val="000000"/>
        </w:rPr>
        <w:t>（三）贯彻落实国家、省、市宏观调控政策，统筹提出全区国民经济和社会发展主要目标，监测预测预警宏观经济和社会发展态势趋势，提出经济调节政策建议。</w:t>
      </w:r>
    </w:p>
    <w:p>
      <w:pPr>
        <w:pStyle w:val="21"/>
        <w:spacing w:line="520" w:lineRule="exact"/>
        <w:ind w:firstLine="561"/>
        <w:rPr>
          <w:color w:val="000000"/>
        </w:rPr>
      </w:pPr>
      <w:r>
        <w:rPr>
          <w:rFonts w:hint="eastAsia"/>
          <w:color w:val="000000"/>
        </w:rPr>
        <w:t>（四）落实国家、省、市完善基本经济制度政策，推动现代化市场体系建设，会同有关部门组织实施市场准入负面清单制度。协调推进优化营商环境。负责生产经营类事业单位管理体制改革工作。</w:t>
      </w:r>
    </w:p>
    <w:p>
      <w:pPr>
        <w:pStyle w:val="21"/>
        <w:spacing w:line="520" w:lineRule="exact"/>
        <w:ind w:firstLine="561"/>
        <w:rPr>
          <w:color w:val="000000"/>
        </w:rPr>
      </w:pPr>
      <w:r>
        <w:rPr>
          <w:rFonts w:hint="eastAsia"/>
          <w:color w:val="000000"/>
        </w:rPr>
        <w:t>（五）提出全区利用外资和境外投资的战略、规划、总量平衡和结构优化政策。</w:t>
      </w:r>
    </w:p>
    <w:p>
      <w:pPr>
        <w:pStyle w:val="21"/>
        <w:spacing w:line="520" w:lineRule="exact"/>
        <w:ind w:firstLine="561"/>
        <w:rPr>
          <w:color w:val="000000"/>
        </w:rPr>
      </w:pPr>
      <w:r>
        <w:rPr>
          <w:rFonts w:hint="eastAsia"/>
          <w:color w:val="000000"/>
        </w:rPr>
        <w:t>（六）负责全区投资综合管理。</w:t>
      </w:r>
    </w:p>
    <w:p>
      <w:pPr>
        <w:pStyle w:val="21"/>
        <w:spacing w:line="520" w:lineRule="exact"/>
        <w:ind w:firstLine="561"/>
        <w:rPr>
          <w:color w:val="000000"/>
        </w:rPr>
      </w:pPr>
      <w:r>
        <w:rPr>
          <w:rFonts w:hint="eastAsia"/>
          <w:color w:val="000000"/>
        </w:rPr>
        <w:t>（七）推进落实区域协调发展战略、新型城镇化战略和重大政策。落实推进实施京津冀协同发展等区域发展战略。</w:t>
      </w:r>
    </w:p>
    <w:p>
      <w:pPr>
        <w:pStyle w:val="21"/>
        <w:spacing w:line="520" w:lineRule="exact"/>
        <w:ind w:firstLine="561"/>
        <w:rPr>
          <w:color w:val="000000"/>
        </w:rPr>
      </w:pPr>
      <w:r>
        <w:rPr>
          <w:rFonts w:hint="eastAsia"/>
          <w:color w:val="000000"/>
        </w:rPr>
        <w:t>（八）贯彻实施国家、省、市产业政策。协调一二三产业发展重大问题并统筹衔接相关发展规划和重大政策。</w:t>
      </w:r>
    </w:p>
    <w:p>
      <w:pPr>
        <w:pStyle w:val="21"/>
        <w:spacing w:line="520" w:lineRule="exact"/>
        <w:ind w:firstLine="561"/>
        <w:rPr>
          <w:color w:val="000000"/>
        </w:rPr>
      </w:pPr>
      <w:r>
        <w:rPr>
          <w:rFonts w:hint="eastAsia"/>
          <w:color w:val="000000"/>
        </w:rPr>
        <w:t>（九）推动实施全区创新驱动发展战略。</w:t>
      </w:r>
    </w:p>
    <w:p>
      <w:pPr>
        <w:pStyle w:val="21"/>
        <w:spacing w:line="520" w:lineRule="exact"/>
        <w:ind w:firstLine="561"/>
        <w:rPr>
          <w:color w:val="000000"/>
        </w:rPr>
      </w:pPr>
      <w:r>
        <w:rPr>
          <w:rFonts w:hint="eastAsia"/>
          <w:color w:val="000000"/>
        </w:rP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1"/>
        <w:spacing w:line="520" w:lineRule="exact"/>
        <w:ind w:firstLine="561"/>
        <w:rPr>
          <w:color w:val="000000"/>
        </w:rPr>
      </w:pPr>
      <w:r>
        <w:rPr>
          <w:rFonts w:hint="eastAsia"/>
          <w:color w:val="000000"/>
        </w:rPr>
        <w:t>（十一）负责全区社会发展与国民经济发展的政策衔接，协调有关重大问题。</w:t>
      </w:r>
    </w:p>
    <w:p>
      <w:pPr>
        <w:pStyle w:val="21"/>
        <w:spacing w:line="520" w:lineRule="exact"/>
        <w:ind w:firstLine="561"/>
        <w:rPr>
          <w:color w:val="000000"/>
        </w:rPr>
      </w:pPr>
      <w:r>
        <w:rPr>
          <w:rFonts w:hint="eastAsia"/>
          <w:color w:val="000000"/>
        </w:rPr>
        <w:t>（十二）推进实施可持续发展战略，推动生态文明建设和改革，协调生态环境保护与修复、能源资源节约和综合利用等工作。</w:t>
      </w:r>
    </w:p>
    <w:p>
      <w:pPr>
        <w:pStyle w:val="21"/>
        <w:spacing w:line="520" w:lineRule="exact"/>
        <w:ind w:firstLine="561"/>
        <w:rPr>
          <w:color w:val="000000"/>
        </w:rPr>
      </w:pPr>
      <w:r>
        <w:rPr>
          <w:rFonts w:hint="eastAsia"/>
          <w:color w:val="000000"/>
        </w:rPr>
        <w:t>（十三）落实上级经济建设与国防建设协调发展的战略和规划，组织推进经济建设项目贯彻国防要求。</w:t>
      </w:r>
    </w:p>
    <w:p>
      <w:pPr>
        <w:pStyle w:val="21"/>
        <w:spacing w:line="520" w:lineRule="exact"/>
        <w:ind w:firstLine="561"/>
        <w:rPr>
          <w:color w:val="000000"/>
        </w:rPr>
      </w:pPr>
      <w:r>
        <w:rPr>
          <w:rFonts w:hint="eastAsia"/>
          <w:color w:val="000000"/>
        </w:rPr>
        <w:t>（十四）拟订并组织实施有关价格政策，落实上级管理的重要商品、服务价格和重要收费标准。</w:t>
      </w:r>
    </w:p>
    <w:p>
      <w:pPr>
        <w:pStyle w:val="21"/>
        <w:spacing w:line="520" w:lineRule="exact"/>
        <w:ind w:firstLine="561"/>
        <w:rPr>
          <w:color w:val="000000"/>
        </w:rPr>
      </w:pPr>
      <w:r>
        <w:rPr>
          <w:rFonts w:hint="eastAsia"/>
          <w:color w:val="000000"/>
        </w:rPr>
        <w:t>（十五）提出全区能源发展战略建议，落实上级能源发展规划、产业政策和年度制定计划。</w:t>
      </w:r>
    </w:p>
    <w:p>
      <w:pPr>
        <w:pStyle w:val="21"/>
        <w:spacing w:line="520" w:lineRule="exact"/>
        <w:ind w:firstLine="561"/>
        <w:rPr>
          <w:color w:val="000000"/>
        </w:rPr>
      </w:pPr>
      <w:r>
        <w:rPr>
          <w:rFonts w:hint="eastAsia"/>
          <w:color w:val="000000"/>
        </w:rPr>
        <w:t>（十六）落实上级粮食流通规划。</w:t>
      </w:r>
    </w:p>
    <w:p>
      <w:pPr>
        <w:pStyle w:val="21"/>
        <w:spacing w:line="520" w:lineRule="exact"/>
        <w:ind w:firstLine="561"/>
        <w:rPr>
          <w:color w:val="000000"/>
        </w:rPr>
      </w:pPr>
      <w:r>
        <w:rPr>
          <w:rFonts w:hint="eastAsia"/>
          <w:color w:val="000000"/>
        </w:rP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1"/>
        <w:spacing w:line="520" w:lineRule="exact"/>
        <w:ind w:firstLine="561"/>
        <w:rPr>
          <w:color w:val="000000"/>
        </w:rPr>
      </w:pPr>
      <w:r>
        <w:rPr>
          <w:rFonts w:hint="eastAsia"/>
          <w:color w:val="000000"/>
        </w:rPr>
        <w:t>（十八）协调、管理、推动物流业发展，组织推动重大物流园区和物流项目建设等相关工作。</w:t>
      </w:r>
    </w:p>
    <w:p>
      <w:pPr>
        <w:pStyle w:val="21"/>
        <w:spacing w:line="520" w:lineRule="exact"/>
        <w:ind w:firstLine="561"/>
        <w:rPr>
          <w:color w:val="000000"/>
        </w:rPr>
      </w:pPr>
      <w:r>
        <w:rPr>
          <w:rFonts w:hint="eastAsia"/>
          <w:color w:val="000000"/>
        </w:rPr>
        <w:t>（十九）贯彻落实国家、省、市有关国内外贸易、国际经济合作的发展战略、方针、政策以及相关法律法规。</w:t>
      </w:r>
    </w:p>
    <w:p>
      <w:pPr>
        <w:pStyle w:val="21"/>
        <w:spacing w:line="520" w:lineRule="exact"/>
        <w:ind w:firstLine="561"/>
        <w:rPr>
          <w:color w:val="000000"/>
        </w:rPr>
      </w:pPr>
      <w:r>
        <w:rPr>
          <w:rFonts w:hint="eastAsia"/>
          <w:color w:val="000000"/>
        </w:rPr>
        <w:t>（二十）拟定全区国内贸易发展规划。</w:t>
      </w:r>
    </w:p>
    <w:p>
      <w:pPr>
        <w:pStyle w:val="21"/>
        <w:spacing w:line="520" w:lineRule="exact"/>
        <w:ind w:firstLine="561"/>
        <w:rPr>
          <w:color w:val="000000"/>
        </w:rPr>
      </w:pPr>
      <w:r>
        <w:rPr>
          <w:rFonts w:hint="eastAsia"/>
          <w:color w:val="000000"/>
        </w:rPr>
        <w:t>（二十一）提出流通体制改革建议。</w:t>
      </w:r>
    </w:p>
    <w:p>
      <w:pPr>
        <w:pStyle w:val="21"/>
        <w:spacing w:line="520" w:lineRule="exact"/>
        <w:ind w:firstLine="561"/>
        <w:rPr>
          <w:color w:val="000000"/>
        </w:rPr>
      </w:pPr>
      <w:r>
        <w:rPr>
          <w:rFonts w:hint="eastAsia"/>
          <w:color w:val="000000"/>
        </w:rPr>
        <w:t>（二十二）牵头推进商务领域信用体系建设，建立商务诚信公共服务平台。</w:t>
      </w:r>
    </w:p>
    <w:p>
      <w:pPr>
        <w:pStyle w:val="21"/>
        <w:spacing w:line="520" w:lineRule="exact"/>
        <w:ind w:firstLine="561"/>
        <w:rPr>
          <w:color w:val="000000"/>
        </w:rPr>
      </w:pPr>
      <w:r>
        <w:rPr>
          <w:rFonts w:hint="eastAsia"/>
          <w:color w:val="000000"/>
        </w:rPr>
        <w:t>（二十三）组织实施重要消费品市场调控。</w:t>
      </w:r>
    </w:p>
    <w:p>
      <w:pPr>
        <w:pStyle w:val="21"/>
        <w:spacing w:line="520" w:lineRule="exact"/>
        <w:ind w:firstLine="561"/>
        <w:rPr>
          <w:color w:val="000000"/>
        </w:rPr>
      </w:pPr>
      <w:r>
        <w:rPr>
          <w:rFonts w:hint="eastAsia"/>
          <w:color w:val="000000"/>
        </w:rP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1"/>
        <w:spacing w:line="520" w:lineRule="exact"/>
        <w:ind w:firstLine="561"/>
        <w:rPr>
          <w:color w:val="000000"/>
        </w:rPr>
      </w:pPr>
      <w:r>
        <w:rPr>
          <w:rFonts w:hint="eastAsia"/>
          <w:color w:val="000000"/>
        </w:rPr>
        <w:t>(二十五)贯彻执行国家对外技术贸易、进出口管制以及鼓励技术和成套设备进出口的贸易政策。贯彻落实科技兴贸战略，依法监督技术引进、设备进口、国家限制出口技术。</w:t>
      </w:r>
    </w:p>
    <w:p>
      <w:pPr>
        <w:pStyle w:val="21"/>
        <w:spacing w:line="520" w:lineRule="exact"/>
        <w:ind w:firstLine="561"/>
        <w:rPr>
          <w:color w:val="000000"/>
        </w:rPr>
      </w:pPr>
      <w:r>
        <w:rPr>
          <w:rFonts w:hint="eastAsia"/>
          <w:color w:val="000000"/>
        </w:rPr>
        <w:t>（二十六）会同有关部门贯彻执行国家促进服务出口和服务外包发展的规划、政策,牵头拟订全区服务贸易发展规划并组织实施。</w:t>
      </w:r>
    </w:p>
    <w:p>
      <w:pPr>
        <w:pStyle w:val="21"/>
        <w:spacing w:line="520" w:lineRule="exact"/>
        <w:ind w:firstLine="561"/>
        <w:rPr>
          <w:color w:val="000000"/>
        </w:rPr>
      </w:pPr>
      <w:r>
        <w:rPr>
          <w:rFonts w:hint="eastAsia"/>
          <w:color w:val="000000"/>
        </w:rPr>
        <w:t>(二十七)负责对外投资和经济合作工作。</w:t>
      </w:r>
    </w:p>
    <w:p>
      <w:pPr>
        <w:pStyle w:val="21"/>
        <w:spacing w:line="520" w:lineRule="exact"/>
        <w:ind w:firstLine="561"/>
        <w:rPr>
          <w:color w:val="000000"/>
        </w:rPr>
      </w:pPr>
      <w:r>
        <w:rPr>
          <w:rFonts w:hint="eastAsia"/>
          <w:color w:val="000000"/>
        </w:rPr>
        <w:t>(二十八)配合上级部门调查国(境)外对我国出口商品实施的歧视性贸易政策、法律法规及做法。</w:t>
      </w:r>
    </w:p>
    <w:p>
      <w:pPr>
        <w:pStyle w:val="21"/>
        <w:spacing w:line="520" w:lineRule="exact"/>
        <w:ind w:firstLine="561"/>
        <w:rPr>
          <w:color w:val="000000"/>
        </w:rPr>
      </w:pPr>
      <w:r>
        <w:rPr>
          <w:rFonts w:hint="eastAsia"/>
          <w:color w:val="000000"/>
        </w:rPr>
        <w:t>（二十九）负责上级交办的涉及世贸组织相关工作。贯彻执行上级制定的对自由贸易区国家和地区的经贸规划、政策并组织实施。</w:t>
      </w:r>
    </w:p>
    <w:p>
      <w:pPr>
        <w:pStyle w:val="21"/>
        <w:spacing w:line="520" w:lineRule="exact"/>
        <w:ind w:firstLine="561"/>
        <w:rPr>
          <w:color w:val="000000"/>
        </w:rPr>
      </w:pPr>
      <w:r>
        <w:rPr>
          <w:rFonts w:hint="eastAsia"/>
          <w:color w:val="000000"/>
        </w:rPr>
        <w:t>(三十)负责会展业促进与管理工作。</w:t>
      </w:r>
    </w:p>
    <w:p>
      <w:pPr>
        <w:pStyle w:val="21"/>
        <w:spacing w:line="520" w:lineRule="exact"/>
        <w:ind w:firstLine="561"/>
        <w:rPr>
          <w:color w:val="000000"/>
        </w:rPr>
      </w:pPr>
      <w:r>
        <w:rPr>
          <w:rFonts w:hint="eastAsia"/>
          <w:color w:val="000000"/>
        </w:rPr>
        <w:t>(三十一)负责经贸交流合作工作。建立联系国内友好关系城市。</w:t>
      </w:r>
    </w:p>
    <w:p>
      <w:pPr>
        <w:pStyle w:val="21"/>
        <w:spacing w:line="520" w:lineRule="exact"/>
        <w:ind w:firstLine="561"/>
        <w:rPr>
          <w:color w:val="000000"/>
        </w:rPr>
      </w:pPr>
      <w:r>
        <w:rPr>
          <w:rFonts w:hint="eastAsia"/>
          <w:color w:val="000000"/>
        </w:rPr>
        <w:t>（三十二）监测分析全区商务运行情况，承担全区商务系统对外宣传和信息发布工作。</w:t>
      </w:r>
    </w:p>
    <w:p>
      <w:pPr>
        <w:pStyle w:val="21"/>
        <w:spacing w:line="520" w:lineRule="exact"/>
        <w:ind w:firstLine="561"/>
        <w:rPr>
          <w:color w:val="000000"/>
        </w:rPr>
      </w:pPr>
      <w:r>
        <w:rPr>
          <w:rFonts w:hint="eastAsia"/>
          <w:color w:val="000000"/>
        </w:rPr>
        <w:t>(三十三)贯彻落实投资促进政策、法规，负责建立投资促进工作体系、工作机制,对利用国内外资金和经济技术合作情况进行统计、汇总、分析。</w:t>
      </w:r>
    </w:p>
    <w:p>
      <w:pPr>
        <w:pStyle w:val="21"/>
        <w:spacing w:line="520" w:lineRule="exact"/>
        <w:ind w:firstLine="561"/>
        <w:rPr>
          <w:color w:val="000000"/>
        </w:rPr>
      </w:pPr>
      <w:r>
        <w:rPr>
          <w:rFonts w:hint="eastAsia"/>
          <w:color w:val="000000"/>
        </w:rPr>
        <w:t>(三十四)负责促进资金、技术、人才、项目引进和产业对接,争取招商引资相关政策、资金和项目支持。</w:t>
      </w:r>
    </w:p>
    <w:p>
      <w:pPr>
        <w:pStyle w:val="21"/>
        <w:spacing w:line="520" w:lineRule="exact"/>
        <w:ind w:firstLine="561"/>
        <w:rPr>
          <w:color w:val="000000"/>
        </w:rPr>
      </w:pPr>
      <w:r>
        <w:rPr>
          <w:rFonts w:hint="eastAsia"/>
          <w:color w:val="000000"/>
        </w:rPr>
        <w:t>(三十五)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pStyle w:val="21"/>
        <w:spacing w:line="520" w:lineRule="exact"/>
        <w:ind w:firstLine="561"/>
        <w:rPr>
          <w:color w:val="000000"/>
        </w:rPr>
      </w:pPr>
      <w:r>
        <w:rPr>
          <w:rFonts w:hint="eastAsia"/>
          <w:color w:val="000000"/>
        </w:rPr>
        <w:t>(三十六)负责国(境)内外重大投资促进活动的谋划、方案制定和组织实施;牵头组织专业性、行业性投资促进活动;指导协调各乡镇和开发区(园区)开展招商活动。</w:t>
      </w:r>
    </w:p>
    <w:p>
      <w:pPr>
        <w:pStyle w:val="21"/>
        <w:spacing w:line="520" w:lineRule="exact"/>
        <w:ind w:firstLine="561"/>
        <w:rPr>
          <w:color w:val="000000"/>
        </w:rPr>
      </w:pPr>
      <w:r>
        <w:rPr>
          <w:rFonts w:hint="eastAsia"/>
          <w:color w:val="000000"/>
        </w:rPr>
        <w:t>(三十七)负责与国(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pStyle w:val="21"/>
        <w:spacing w:line="520" w:lineRule="exact"/>
        <w:ind w:firstLine="561"/>
        <w:rPr>
          <w:color w:val="000000"/>
        </w:rPr>
      </w:pPr>
      <w:r>
        <w:rPr>
          <w:rFonts w:hint="eastAsia"/>
          <w:color w:val="000000"/>
        </w:rPr>
        <w:t>(三十八)负责对国(境)内外重要客户的联络拓展、重要团组和客户来访考察、洽谈的组织。</w:t>
      </w:r>
    </w:p>
    <w:p>
      <w:pPr>
        <w:pStyle w:val="21"/>
        <w:spacing w:line="520" w:lineRule="exact"/>
        <w:ind w:firstLine="561"/>
        <w:rPr>
          <w:color w:val="000000"/>
        </w:rPr>
      </w:pPr>
      <w:r>
        <w:rPr>
          <w:rFonts w:hint="eastAsia"/>
          <w:color w:val="000000"/>
        </w:rPr>
        <w:t>(三十九)组织和促进委托招商、代理招商、中介招商、专业招商、网上招商等多种形式的招商活动,制订并落实奖励政策；加强招商引资专业人才队伍建设。</w:t>
      </w:r>
    </w:p>
    <w:p>
      <w:pPr>
        <w:pStyle w:val="21"/>
        <w:spacing w:line="520" w:lineRule="exact"/>
        <w:ind w:firstLine="561"/>
        <w:rPr>
          <w:color w:val="000000"/>
        </w:rPr>
      </w:pPr>
      <w:r>
        <w:rPr>
          <w:rFonts w:hint="eastAsia"/>
          <w:color w:val="000000"/>
        </w:rPr>
        <w:t>(四十)负责引进央企资金、项目及各项合作,促进合作项目的建设,负责为央企服务工作;负责外商投资项目建设的跟踪、协调和服务工作,负责引进资金到位统计工作。</w:t>
      </w:r>
    </w:p>
    <w:p>
      <w:pPr>
        <w:pStyle w:val="21"/>
        <w:spacing w:line="520" w:lineRule="exact"/>
        <w:ind w:firstLine="561"/>
        <w:rPr>
          <w:color w:val="000000"/>
        </w:rPr>
      </w:pPr>
      <w:r>
        <w:rPr>
          <w:rFonts w:hint="eastAsia"/>
          <w:color w:val="000000"/>
        </w:rPr>
        <w:t>（四十一）负责指导全区经济技术交流与区域经济技术合作工作,负责区域间资金、项目、人才、科研成果及产业合作工作，开展与省外重点大专院校、科研院所合作。</w:t>
      </w:r>
    </w:p>
    <w:p>
      <w:pPr>
        <w:pStyle w:val="21"/>
        <w:spacing w:line="520" w:lineRule="exact"/>
        <w:ind w:firstLine="561"/>
        <w:rPr>
          <w:rFonts w:ascii="方正楷体_GBK" w:hAnsi="方正楷体_GBK" w:eastAsia="方正楷体_GBK" w:cs="方正楷体_GBK"/>
          <w:b/>
          <w:color w:val="000000"/>
          <w:sz w:val="32"/>
          <w:lang w:eastAsia="zh-CN"/>
        </w:rPr>
      </w:pPr>
      <w:r>
        <w:rPr>
          <w:rFonts w:hint="eastAsia"/>
          <w:color w:val="000000"/>
        </w:rPr>
        <w:t>（四十二）完成区委、区政府交办的其他任务。</w:t>
      </w:r>
      <w:r>
        <w:t xml:space="preserve"> </w:t>
      </w:r>
    </w:p>
    <w:p>
      <w:pPr>
        <w:pStyle w:val="21"/>
        <w:spacing w:line="520" w:lineRule="exact"/>
        <w:ind w:firstLine="561"/>
      </w:pPr>
      <w:r>
        <w:rPr>
          <w:rFonts w:hint="eastAsia" w:ascii="方正楷体_GBK" w:hAnsi="方正楷体_GBK" w:eastAsia="方正楷体_GBK" w:cs="方正楷体_GBK"/>
          <w:b/>
          <w:color w:val="000000"/>
          <w:sz w:val="32"/>
          <w:lang w:eastAsia="zh-CN"/>
        </w:rPr>
        <w:t>2.</w:t>
      </w:r>
      <w:r>
        <w:rPr>
          <w:rFonts w:ascii="方正楷体_GBK" w:hAnsi="方正楷体_GBK" w:eastAsia="方正楷体_GBK" w:cs="方正楷体_GBK"/>
          <w:b/>
          <w:color w:val="000000"/>
          <w:sz w:val="32"/>
        </w:rPr>
        <w:t>机构设置：</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336"/>
        <w:gridCol w:w="1176"/>
        <w:gridCol w:w="1176"/>
        <w:gridCol w:w="21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0" w:type="auto"/>
            <w:vMerge w:val="restart"/>
            <w:vAlign w:val="center"/>
          </w:tcPr>
          <w:p>
            <w:pPr>
              <w:spacing w:line="300" w:lineRule="exact"/>
              <w:jc w:val="center"/>
              <w:rPr>
                <w:rFonts w:eastAsia="方正书宋_GBK"/>
                <w:b/>
              </w:rPr>
            </w:pPr>
            <w:r>
              <w:rPr>
                <w:rFonts w:eastAsia="方正书宋_GBK"/>
                <w:b/>
              </w:rPr>
              <w:t>单位名称</w:t>
            </w:r>
          </w:p>
        </w:tc>
        <w:tc>
          <w:tcPr>
            <w:tcW w:w="0" w:type="auto"/>
            <w:vMerge w:val="restart"/>
            <w:vAlign w:val="center"/>
          </w:tcPr>
          <w:p>
            <w:pPr>
              <w:spacing w:line="300" w:lineRule="exact"/>
              <w:jc w:val="center"/>
              <w:rPr>
                <w:rFonts w:eastAsia="方正书宋_GBK"/>
                <w:b/>
              </w:rPr>
            </w:pPr>
            <w:r>
              <w:rPr>
                <w:rFonts w:eastAsia="方正书宋_GBK"/>
                <w:b/>
              </w:rPr>
              <w:t>单位性质</w:t>
            </w:r>
          </w:p>
        </w:tc>
        <w:tc>
          <w:tcPr>
            <w:tcW w:w="0" w:type="auto"/>
            <w:vMerge w:val="restart"/>
            <w:vAlign w:val="center"/>
          </w:tcPr>
          <w:p>
            <w:pPr>
              <w:spacing w:line="300" w:lineRule="exact"/>
              <w:jc w:val="center"/>
              <w:rPr>
                <w:rFonts w:eastAsia="方正书宋_GBK"/>
                <w:b/>
              </w:rPr>
            </w:pPr>
            <w:r>
              <w:rPr>
                <w:rFonts w:eastAsia="方正书宋_GBK"/>
                <w:b/>
              </w:rPr>
              <w:t>单位规格</w:t>
            </w:r>
          </w:p>
        </w:tc>
        <w:tc>
          <w:tcPr>
            <w:tcW w:w="0" w:type="auto"/>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0" w:type="auto"/>
            <w:vAlign w:val="center"/>
          </w:tcPr>
          <w:p>
            <w:pPr>
              <w:spacing w:line="300" w:lineRule="exact"/>
              <w:rPr>
                <w:rFonts w:eastAsia="方正书宋_GBK"/>
              </w:rPr>
            </w:pPr>
            <w:r>
              <w:rPr>
                <w:rFonts w:hint="eastAsia" w:ascii="方正书宋_GBK" w:eastAsia="方正书宋_GBK"/>
              </w:rPr>
              <w:t>石家庄市鹿泉区发展和改革局</w:t>
            </w:r>
          </w:p>
        </w:tc>
        <w:tc>
          <w:tcPr>
            <w:tcW w:w="0" w:type="auto"/>
            <w:vAlign w:val="center"/>
          </w:tcPr>
          <w:p>
            <w:pPr>
              <w:spacing w:line="300" w:lineRule="exact"/>
              <w:jc w:val="center"/>
              <w:rPr>
                <w:rFonts w:eastAsia="方正书宋_GBK"/>
              </w:rPr>
            </w:pPr>
            <w:r>
              <w:rPr>
                <w:rFonts w:hint="eastAsia" w:ascii="方正书宋_GBK" w:eastAsia="方正书宋_GBK"/>
              </w:rPr>
              <w:t>行政</w:t>
            </w:r>
          </w:p>
        </w:tc>
        <w:tc>
          <w:tcPr>
            <w:tcW w:w="0" w:type="auto"/>
            <w:vAlign w:val="center"/>
          </w:tcPr>
          <w:p>
            <w:pPr>
              <w:spacing w:line="300" w:lineRule="exact"/>
              <w:jc w:val="center"/>
              <w:rPr>
                <w:rFonts w:eastAsia="方正书宋_GBK"/>
              </w:rPr>
            </w:pPr>
            <w:r>
              <w:rPr>
                <w:rFonts w:hint="eastAsia" w:ascii="方正书宋_GBK" w:eastAsia="方正书宋_GBK"/>
              </w:rPr>
              <w:t>正科级</w:t>
            </w:r>
          </w:p>
        </w:tc>
        <w:tc>
          <w:tcPr>
            <w:tcW w:w="0" w:type="auto"/>
            <w:vAlign w:val="center"/>
          </w:tcPr>
          <w:p>
            <w:pPr>
              <w:spacing w:line="300" w:lineRule="exact"/>
              <w:jc w:val="center"/>
              <w:rPr>
                <w:rFonts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0" w:type="auto"/>
            <w:vAlign w:val="center"/>
          </w:tcPr>
          <w:p>
            <w:pPr>
              <w:spacing w:line="300" w:lineRule="exact"/>
              <w:rPr>
                <w:rFonts w:eastAsia="方正书宋_GBK"/>
              </w:rPr>
            </w:pPr>
            <w:r>
              <w:rPr>
                <w:rFonts w:hint="eastAsia" w:ascii="方正书宋_GBK" w:eastAsia="方正书宋_GBK"/>
              </w:rPr>
              <w:t>石家庄市鹿泉区价格认证中心</w:t>
            </w:r>
          </w:p>
        </w:tc>
        <w:tc>
          <w:tcPr>
            <w:tcW w:w="0" w:type="auto"/>
            <w:vAlign w:val="center"/>
          </w:tcPr>
          <w:p>
            <w:pPr>
              <w:spacing w:line="300" w:lineRule="exact"/>
              <w:jc w:val="center"/>
              <w:rPr>
                <w:rFonts w:eastAsia="方正书宋_GBK"/>
              </w:rPr>
            </w:pPr>
            <w:r>
              <w:rPr>
                <w:rFonts w:hint="eastAsia" w:ascii="方正书宋_GBK" w:eastAsia="方正书宋_GBK"/>
              </w:rPr>
              <w:t>事业</w:t>
            </w:r>
          </w:p>
        </w:tc>
        <w:tc>
          <w:tcPr>
            <w:tcW w:w="0" w:type="auto"/>
            <w:vAlign w:val="center"/>
          </w:tcPr>
          <w:p>
            <w:pPr>
              <w:spacing w:line="300" w:lineRule="exact"/>
              <w:jc w:val="center"/>
              <w:rPr>
                <w:rFonts w:eastAsia="方正书宋_GBK"/>
              </w:rPr>
            </w:pPr>
            <w:r>
              <w:rPr>
                <w:rFonts w:hint="eastAsia" w:ascii="方正书宋_GBK" w:eastAsia="方正书宋_GBK"/>
              </w:rPr>
              <w:t>正股级</w:t>
            </w:r>
          </w:p>
        </w:tc>
        <w:tc>
          <w:tcPr>
            <w:tcW w:w="0" w:type="auto"/>
            <w:vAlign w:val="center"/>
          </w:tcPr>
          <w:p>
            <w:pPr>
              <w:spacing w:line="300" w:lineRule="exact"/>
              <w:jc w:val="center"/>
              <w:rPr>
                <w:rFonts w:eastAsia="方正书宋_GBK"/>
              </w:rPr>
            </w:pPr>
            <w:r>
              <w:rPr>
                <w:rFonts w:hint="eastAsia" w:ascii="方正书宋_GBK" w:eastAsia="方正书宋_GBK"/>
              </w:rPr>
              <w:t>财政性资金零补助</w:t>
            </w:r>
          </w:p>
        </w:tc>
      </w:tr>
    </w:tbl>
    <w:p>
      <w:pPr>
        <w:ind w:firstLine="640"/>
      </w:pPr>
    </w:p>
    <w:p>
      <w:pPr>
        <w:spacing w:before="10" w:after="10" w:line="520" w:lineRule="exact"/>
        <w:ind w:firstLine="641"/>
        <w:outlineLvl w:val="2"/>
        <w:rPr>
          <w:rFonts w:eastAsia="方正仿宋_GBK"/>
          <w:b/>
          <w:bCs/>
          <w:color w:val="000000"/>
          <w:sz w:val="28"/>
        </w:rPr>
      </w:pPr>
      <w:bookmarkStart w:id="9" w:name="_Toc_3_3_0000000011"/>
      <w:r>
        <w:rPr>
          <w:rFonts w:hint="eastAsia" w:eastAsia="方正仿宋_GBK"/>
          <w:b/>
          <w:bCs/>
          <w:color w:val="000000"/>
          <w:sz w:val="28"/>
        </w:rPr>
        <w:t>二、部门预算安排的总体情况</w:t>
      </w:r>
      <w:bookmarkEnd w:id="9"/>
    </w:p>
    <w:p>
      <w:pPr>
        <w:spacing w:before="10" w:after="10" w:line="520" w:lineRule="exact"/>
        <w:ind w:firstLine="641"/>
        <w:outlineLvl w:val="2"/>
        <w:rPr>
          <w:rFonts w:eastAsia="方正仿宋_GBK"/>
          <w:color w:val="000000"/>
          <w:sz w:val="28"/>
        </w:rPr>
      </w:pPr>
      <w:bookmarkStart w:id="10" w:name="_Toc_3_3_0000000014"/>
      <w:r>
        <w:rPr>
          <w:rFonts w:hint="eastAsia" w:eastAsia="方正仿宋_GBK"/>
          <w:color w:val="000000"/>
          <w:sz w:val="28"/>
        </w:rPr>
        <w:t>按照预算管理有关规定，目前我省部门预算的编制实行综合预算管理，即全部收入和支出都反映的预算中。石家庄市鹿泉区发展和改革局</w:t>
      </w:r>
      <w:r>
        <w:rPr>
          <w:rFonts w:hint="eastAsia" w:eastAsia="方正仿宋_GBK"/>
          <w:color w:val="000000"/>
          <w:sz w:val="28"/>
          <w:lang w:eastAsia="zh-CN"/>
        </w:rPr>
        <w:t>本级</w:t>
      </w:r>
      <w:r>
        <w:rPr>
          <w:rFonts w:hint="eastAsia" w:eastAsia="方正仿宋_GBK"/>
          <w:color w:val="000000"/>
          <w:sz w:val="28"/>
        </w:rPr>
        <w:t>及所属事业单位的收支包含在部门预算中。</w:t>
      </w:r>
    </w:p>
    <w:p>
      <w:pPr>
        <w:spacing w:before="10" w:after="10" w:line="520" w:lineRule="exact"/>
        <w:ind w:firstLine="641"/>
        <w:outlineLvl w:val="2"/>
        <w:rPr>
          <w:rFonts w:eastAsia="方正仿宋_GBK"/>
          <w:color w:val="000000"/>
          <w:sz w:val="28"/>
        </w:rPr>
      </w:pPr>
      <w:r>
        <w:rPr>
          <w:rFonts w:hint="eastAsia" w:eastAsia="方正仿宋_GBK"/>
          <w:color w:val="000000"/>
          <w:sz w:val="28"/>
        </w:rPr>
        <w:t>1、收入说明</w:t>
      </w:r>
    </w:p>
    <w:p>
      <w:pPr>
        <w:spacing w:before="10" w:after="10" w:line="520" w:lineRule="exact"/>
        <w:ind w:firstLine="641"/>
        <w:outlineLvl w:val="2"/>
        <w:rPr>
          <w:rFonts w:eastAsia="方正仿宋_GBK"/>
          <w:color w:val="000000"/>
          <w:sz w:val="28"/>
        </w:rPr>
      </w:pPr>
      <w:r>
        <w:rPr>
          <w:rFonts w:hint="eastAsia" w:eastAsia="方正仿宋_GBK"/>
          <w:color w:val="000000"/>
          <w:sz w:val="28"/>
        </w:rPr>
        <w:t>反映本部门当年全部收入。2021年预算收入4593.20万元，其中：一般公共预算收入4373.20万元，基金 预算收入220万元，财政专户核拨收入0万元，其他来源收入0万元。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2、支出说明</w:t>
      </w:r>
    </w:p>
    <w:p>
      <w:pPr>
        <w:spacing w:before="10" w:after="10" w:line="520" w:lineRule="exact"/>
        <w:ind w:firstLine="641"/>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石家庄市鹿泉区发展和改革局年度部门预算中支出预算的总体情况。2021年部门支出预算为4593.2万元，其中基本支出1576.14万元，包括人员经费1312.52万元和日常公用经费263.62万元；项目支出3017.06万元，包括本级支出3017.06万元，对下补助支出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3、比上年增减情况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部门预算收支安排4593.2万元，较2020年减少884.18万元，其中：基本支出减少97.74万元，主要是人员减少，相应减少人员经费和日常公用经费；项目支出减少786.44万元，主要是2020年10月智慧城市相关项目转移至新成立单位石家庄市鹿泉区大数据中心。</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三、机关运行经费安排情况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2021年，我部门机关运行经费共计安排263.62万元，主要用于保证机关正常运转的办公及印刷费、邮电费、差旅费、劳务费、办公用房水电费、办公用房取暖费、公务车运行维护费等支出。</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四、财政拨款“三公”经费预算情况及增减变化原因</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2021年，我部门财政拨款“三公”经费预算安排18.5万元，与2020年度持平，其中：</w:t>
      </w:r>
    </w:p>
    <w:p>
      <w:pPr>
        <w:spacing w:before="10" w:after="10" w:line="520" w:lineRule="exact"/>
        <w:ind w:firstLine="641"/>
        <w:outlineLvl w:val="2"/>
        <w:rPr>
          <w:rFonts w:eastAsia="方正仿宋_GBK"/>
          <w:color w:val="000000"/>
          <w:sz w:val="28"/>
        </w:rPr>
      </w:pPr>
      <w:r>
        <w:rPr>
          <w:rFonts w:hint="eastAsia" w:eastAsia="方正仿宋_GBK"/>
          <w:color w:val="000000"/>
          <w:sz w:val="28"/>
        </w:rPr>
        <w:t>1</w:t>
      </w:r>
      <w:r>
        <w:rPr>
          <w:rFonts w:hint="eastAsia" w:eastAsia="方正仿宋_GBK"/>
          <w:color w:val="000000"/>
          <w:sz w:val="28"/>
          <w:lang w:eastAsia="zh-CN"/>
        </w:rPr>
        <w:t>、</w:t>
      </w:r>
      <w:r>
        <w:rPr>
          <w:rFonts w:hint="eastAsia" w:eastAsia="方正仿宋_GBK"/>
          <w:color w:val="000000"/>
          <w:sz w:val="28"/>
        </w:rPr>
        <w:t>因公出国（境）费0万元，与2020年度持平</w:t>
      </w:r>
      <w:r>
        <w:rPr>
          <w:rFonts w:hint="eastAsia" w:eastAsia="方正仿宋_GBK"/>
          <w:color w:val="000000"/>
          <w:sz w:val="28"/>
          <w:lang w:eastAsia="zh-CN"/>
        </w:rPr>
        <w:t>，</w:t>
      </w:r>
      <w:r>
        <w:rPr>
          <w:rFonts w:hint="eastAsia" w:eastAsia="方正仿宋_GBK"/>
          <w:color w:val="000000"/>
          <w:sz w:val="28"/>
        </w:rPr>
        <w:t>无增减变化。</w:t>
      </w:r>
    </w:p>
    <w:p>
      <w:pPr>
        <w:spacing w:before="10" w:after="10" w:line="520" w:lineRule="exact"/>
        <w:ind w:firstLine="641"/>
        <w:outlineLvl w:val="2"/>
        <w:rPr>
          <w:rFonts w:eastAsia="方正仿宋_GBK"/>
          <w:color w:val="000000"/>
          <w:sz w:val="28"/>
        </w:rPr>
      </w:pPr>
      <w:r>
        <w:rPr>
          <w:rFonts w:hint="eastAsia" w:eastAsia="方正仿宋_GBK"/>
          <w:color w:val="000000"/>
          <w:sz w:val="28"/>
        </w:rPr>
        <w:t>2</w:t>
      </w:r>
      <w:r>
        <w:rPr>
          <w:rFonts w:hint="eastAsia" w:eastAsia="方正仿宋_GBK"/>
          <w:color w:val="000000"/>
          <w:sz w:val="28"/>
          <w:lang w:eastAsia="zh-CN"/>
        </w:rPr>
        <w:t>、</w:t>
      </w:r>
      <w:r>
        <w:rPr>
          <w:rFonts w:hint="eastAsia" w:eastAsia="方正仿宋_GBK"/>
          <w:color w:val="000000"/>
          <w:sz w:val="28"/>
        </w:rPr>
        <w:t>公务用车购置及运维费13.5万元（其中：公务用车购置费0万元，公务用车运行维护费13.5万元)</w:t>
      </w:r>
      <w:r>
        <w:rPr>
          <w:rFonts w:hint="eastAsia" w:eastAsia="方正仿宋_GBK"/>
          <w:color w:val="000000"/>
          <w:sz w:val="28"/>
          <w:lang w:eastAsia="zh-CN"/>
        </w:rPr>
        <w:t>，</w:t>
      </w:r>
      <w:r>
        <w:rPr>
          <w:rFonts w:hint="eastAsia" w:eastAsia="方正仿宋_GBK"/>
          <w:color w:val="000000"/>
          <w:sz w:val="28"/>
        </w:rPr>
        <w:t>与2020年度持平</w:t>
      </w:r>
      <w:r>
        <w:rPr>
          <w:rFonts w:hint="eastAsia" w:eastAsia="方正仿宋_GBK"/>
          <w:color w:val="000000"/>
          <w:sz w:val="28"/>
          <w:lang w:eastAsia="zh-CN"/>
        </w:rPr>
        <w:t>，</w:t>
      </w:r>
      <w:r>
        <w:rPr>
          <w:rFonts w:hint="eastAsia" w:eastAsia="方正仿宋_GBK"/>
          <w:color w:val="000000"/>
          <w:sz w:val="28"/>
        </w:rPr>
        <w:t>无增减变化。</w:t>
      </w:r>
    </w:p>
    <w:p>
      <w:pPr>
        <w:spacing w:before="10" w:after="10" w:line="520" w:lineRule="exact"/>
        <w:ind w:firstLine="641"/>
        <w:outlineLvl w:val="2"/>
        <w:rPr>
          <w:rFonts w:eastAsia="方正仿宋_GBK"/>
          <w:color w:val="000000"/>
          <w:sz w:val="28"/>
        </w:rPr>
      </w:pPr>
      <w:r>
        <w:rPr>
          <w:rFonts w:hint="eastAsia" w:eastAsia="方正仿宋_GBK"/>
          <w:color w:val="000000"/>
          <w:sz w:val="28"/>
        </w:rPr>
        <w:t>3</w:t>
      </w:r>
      <w:r>
        <w:rPr>
          <w:rFonts w:hint="eastAsia" w:eastAsia="方正仿宋_GBK"/>
          <w:color w:val="000000"/>
          <w:sz w:val="28"/>
          <w:lang w:eastAsia="zh-CN"/>
        </w:rPr>
        <w:t>、</w:t>
      </w:r>
      <w:r>
        <w:rPr>
          <w:rFonts w:hint="eastAsia" w:eastAsia="方正仿宋_GBK"/>
          <w:color w:val="000000"/>
          <w:sz w:val="28"/>
        </w:rPr>
        <w:t>公务接待费5万元</w:t>
      </w:r>
      <w:r>
        <w:rPr>
          <w:rFonts w:hint="eastAsia" w:eastAsia="方正仿宋_GBK"/>
          <w:color w:val="000000"/>
          <w:sz w:val="28"/>
          <w:lang w:eastAsia="zh-CN"/>
        </w:rPr>
        <w:t>，</w:t>
      </w:r>
      <w:r>
        <w:rPr>
          <w:rFonts w:hint="eastAsia" w:eastAsia="方正仿宋_GBK"/>
          <w:color w:val="000000"/>
          <w:sz w:val="28"/>
        </w:rPr>
        <w:t>与2020年度相比持平。</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五、预算绩效信息</w:t>
      </w:r>
      <w:bookmarkEnd w:id="10"/>
    </w:p>
    <w:p>
      <w:pPr>
        <w:pStyle w:val="21"/>
        <w:rPr>
          <w:b/>
          <w:bCs/>
          <w:color w:val="000000"/>
        </w:rPr>
      </w:pPr>
      <w:r>
        <w:rPr>
          <w:b/>
          <w:bCs/>
          <w:color w:val="000000"/>
        </w:rPr>
        <w:t>第一部分 部门整体绩效目标</w:t>
      </w:r>
    </w:p>
    <w:p>
      <w:pPr>
        <w:pStyle w:val="21"/>
        <w:rPr>
          <w:b/>
          <w:bCs/>
          <w:lang w:eastAsia="zh-CN"/>
        </w:rPr>
      </w:pPr>
      <w:r>
        <w:rPr>
          <w:b/>
          <w:bCs/>
          <w:color w:val="000000"/>
        </w:rPr>
        <w:t>（</w:t>
      </w:r>
      <w:r>
        <w:rPr>
          <w:b/>
          <w:bCs/>
          <w:lang w:eastAsia="zh-CN"/>
        </w:rPr>
        <w:t>一）总体绩效目标</w:t>
      </w:r>
    </w:p>
    <w:p>
      <w:pPr>
        <w:pStyle w:val="21"/>
        <w:rPr>
          <w:lang w:eastAsia="zh-CN"/>
        </w:rPr>
      </w:pPr>
      <w:r>
        <w:rPr>
          <w:rFonts w:hint="eastAsia"/>
          <w:lang w:eastAsia="zh-CN"/>
        </w:rPr>
        <w:t xml:space="preserve"> 一是推进经济社会发展，力争完成经济社会主要预期目标，突出打造园区经济新高地。</w:t>
      </w:r>
    </w:p>
    <w:p>
      <w:pPr>
        <w:pStyle w:val="21"/>
        <w:rPr>
          <w:lang w:eastAsia="zh-CN"/>
        </w:rPr>
      </w:pPr>
      <w:r>
        <w:rPr>
          <w:rFonts w:hint="eastAsia"/>
          <w:lang w:eastAsia="zh-CN"/>
        </w:rPr>
        <w:t>二是项目建设方面较真碰硬抓项目、精准对接抓招商。着力培育壮大主导产业，常态化开展项目集中开工、观摩拉练和通报排队。</w:t>
      </w:r>
    </w:p>
    <w:p>
      <w:pPr>
        <w:pStyle w:val="21"/>
        <w:rPr>
          <w:lang w:eastAsia="zh-CN"/>
        </w:rPr>
      </w:pPr>
      <w:r>
        <w:rPr>
          <w:rFonts w:hint="eastAsia"/>
          <w:lang w:eastAsia="zh-CN"/>
        </w:rPr>
        <w:t xml:space="preserve">三是壮大产业新体系，推动产业发展。 </w:t>
      </w:r>
    </w:p>
    <w:p>
      <w:pPr>
        <w:pStyle w:val="21"/>
        <w:rPr>
          <w:lang w:eastAsia="zh-CN"/>
        </w:rPr>
      </w:pPr>
      <w:r>
        <w:rPr>
          <w:rFonts w:hint="eastAsia"/>
          <w:lang w:eastAsia="zh-CN"/>
        </w:rPr>
        <w:t>四是坚持把优化发展环境作为核心工作，打造全省最优营商环境。</w:t>
      </w:r>
    </w:p>
    <w:p>
      <w:pPr>
        <w:pStyle w:val="21"/>
        <w:rPr>
          <w:lang w:eastAsia="zh-CN"/>
        </w:rPr>
      </w:pPr>
      <w:r>
        <w:rPr>
          <w:rFonts w:hint="eastAsia"/>
          <w:lang w:eastAsia="zh-CN"/>
        </w:rPr>
        <w:t>五是加快城乡建设，促进城市经济发展。</w:t>
      </w:r>
    </w:p>
    <w:p>
      <w:pPr>
        <w:pStyle w:val="21"/>
        <w:rPr>
          <w:b/>
          <w:bCs/>
          <w:lang w:eastAsia="zh-CN"/>
        </w:rPr>
      </w:pPr>
      <w:r>
        <w:rPr>
          <w:b/>
          <w:bCs/>
          <w:lang w:eastAsia="zh-CN"/>
        </w:rPr>
        <w:t>（二）分项绩效目标</w:t>
      </w:r>
    </w:p>
    <w:p>
      <w:pPr>
        <w:pStyle w:val="21"/>
        <w:rPr>
          <w:lang w:eastAsia="zh-CN"/>
        </w:rPr>
      </w:pPr>
      <w:r>
        <w:rPr>
          <w:rFonts w:hint="eastAsia"/>
          <w:lang w:eastAsia="zh-CN"/>
        </w:rPr>
        <w:t>1.推进经济社会发展</w:t>
      </w:r>
    </w:p>
    <w:p>
      <w:pPr>
        <w:pStyle w:val="21"/>
        <w:rPr>
          <w:lang w:eastAsia="zh-CN"/>
        </w:rPr>
      </w:pPr>
      <w:r>
        <w:rPr>
          <w:rFonts w:hint="eastAsia"/>
          <w:lang w:eastAsia="zh-CN"/>
        </w:rPr>
        <w:t>绩效目标：力争完成经济社会主要预期目标</w:t>
      </w:r>
    </w:p>
    <w:p>
      <w:pPr>
        <w:pStyle w:val="21"/>
        <w:rPr>
          <w:lang w:eastAsia="zh-CN"/>
        </w:rPr>
      </w:pPr>
      <w:r>
        <w:rPr>
          <w:rFonts w:hint="eastAsia"/>
          <w:lang w:eastAsia="zh-CN"/>
        </w:rPr>
        <w:t>绩效指标：地区生产总值增长6%左右，固定资产投资增长6%左右，社会消费品零售总额增长7.5%左右。</w:t>
      </w:r>
    </w:p>
    <w:p>
      <w:pPr>
        <w:pStyle w:val="21"/>
        <w:rPr>
          <w:lang w:eastAsia="zh-CN"/>
        </w:rPr>
      </w:pPr>
      <w:r>
        <w:rPr>
          <w:rFonts w:hint="eastAsia"/>
          <w:lang w:eastAsia="zh-CN"/>
        </w:rPr>
        <w:t>2.项目建设</w:t>
      </w:r>
    </w:p>
    <w:p>
      <w:pPr>
        <w:pStyle w:val="21"/>
        <w:rPr>
          <w:lang w:eastAsia="zh-CN"/>
        </w:rPr>
      </w:pPr>
      <w:r>
        <w:rPr>
          <w:rFonts w:hint="eastAsia"/>
          <w:lang w:eastAsia="zh-CN"/>
        </w:rPr>
        <w:t>绩效目标：较真碰硬抓项目、精准对接抓招商</w:t>
      </w:r>
    </w:p>
    <w:p>
      <w:pPr>
        <w:pStyle w:val="21"/>
        <w:rPr>
          <w:lang w:eastAsia="zh-CN"/>
        </w:rPr>
      </w:pPr>
      <w:r>
        <w:rPr>
          <w:rFonts w:hint="eastAsia"/>
          <w:lang w:eastAsia="zh-CN"/>
        </w:rPr>
        <w:t>绩效指标：实施项目建设提速行动，全年共安排亿元以上项目115个，总投资789亿元，全部明确节点、挂图作战；力促梦巢小镇、深圳电子信息产业园等25个项目开工建设，加快推进九州通医药产业园、云杉商业中心等33个续建项目尽快投产达效。加快推进科创中心、人才公寓等项目建设，新增电子信息企业50家以上，税收增长20%以上，倾力打造千亿级新一代电子信息产业园区。围绕“1+3”现代产业体系，精准对接北京、深圳等先进地区，充分发挥、招商平台和驻京招商小分队作用，力争年内签约亿元项目20个以上，保持开工一批、在建一批、竣工一批、储备一批的滚动发展格局。</w:t>
      </w:r>
    </w:p>
    <w:p>
      <w:pPr>
        <w:pStyle w:val="21"/>
        <w:rPr>
          <w:lang w:eastAsia="zh-CN"/>
        </w:rPr>
      </w:pPr>
      <w:r>
        <w:rPr>
          <w:rFonts w:hint="eastAsia"/>
          <w:lang w:eastAsia="zh-CN"/>
        </w:rPr>
        <w:t>3.产业发展</w:t>
      </w:r>
    </w:p>
    <w:p>
      <w:pPr>
        <w:pStyle w:val="21"/>
        <w:rPr>
          <w:lang w:eastAsia="zh-CN"/>
        </w:rPr>
      </w:pPr>
      <w:r>
        <w:rPr>
          <w:rFonts w:hint="eastAsia"/>
          <w:lang w:eastAsia="zh-CN"/>
        </w:rPr>
        <w:t>绩效目标：壮大产业新体系</w:t>
      </w:r>
    </w:p>
    <w:p>
      <w:pPr>
        <w:pStyle w:val="21"/>
        <w:keepNext w:val="0"/>
        <w:keepLines w:val="0"/>
        <w:pageBreakBefore w:val="0"/>
        <w:widowControl w:val="0"/>
        <w:kinsoku/>
        <w:wordWrap/>
        <w:overflowPunct/>
        <w:topLinePunct w:val="0"/>
        <w:autoSpaceDE/>
        <w:autoSpaceDN/>
        <w:bidi w:val="0"/>
        <w:adjustRightInd/>
        <w:snapToGrid/>
        <w:ind w:firstLine="561"/>
        <w:textAlignment w:val="auto"/>
        <w:rPr>
          <w:lang w:eastAsia="zh-CN"/>
        </w:rPr>
      </w:pPr>
      <w:r>
        <w:rPr>
          <w:rFonts w:hint="eastAsia"/>
          <w:lang w:eastAsia="zh-CN"/>
        </w:rPr>
        <w:t>绩效指标：启动国家全域旅游示范区创建，力促奥莱三期等文旅项目开工建设，确保龙泉古镇和西部长青小三亚等项目竣工营业。扶持君乐宝、科林电气持续做大做强，力促绿色食品业、智能制造业产值增长8%以上。瞄准物联网、区块链、大数据、人工智能等前沿科技，谋划建设5G产业园、软件产业园，做大做强数字经济产业园，抢占未来产业发展制高点。</w:t>
      </w:r>
    </w:p>
    <w:p>
      <w:pPr>
        <w:pStyle w:val="21"/>
        <w:rPr>
          <w:lang w:eastAsia="zh-CN"/>
        </w:rPr>
      </w:pPr>
      <w:r>
        <w:rPr>
          <w:rFonts w:hint="eastAsia"/>
          <w:lang w:eastAsia="zh-CN"/>
        </w:rPr>
        <w:t>4.改革创新</w:t>
      </w:r>
    </w:p>
    <w:p>
      <w:pPr>
        <w:pStyle w:val="21"/>
        <w:rPr>
          <w:lang w:eastAsia="zh-CN"/>
        </w:rPr>
      </w:pPr>
      <w:r>
        <w:rPr>
          <w:rFonts w:hint="eastAsia"/>
          <w:lang w:eastAsia="zh-CN"/>
        </w:rPr>
        <w:t>绩效目标：打造全省最优营商环境</w:t>
      </w:r>
    </w:p>
    <w:p>
      <w:pPr>
        <w:pStyle w:val="21"/>
        <w:rPr>
          <w:lang w:eastAsia="zh-CN"/>
        </w:rPr>
      </w:pPr>
      <w:r>
        <w:rPr>
          <w:rFonts w:hint="eastAsia"/>
          <w:lang w:eastAsia="zh-CN"/>
        </w:rPr>
        <w:t>绩效指标：坚持把优化发展环境作为核心工作，研究制定系列政策措施，落实十大专项行动，打出优化营商环境的“组合拳”。设立项目建设荣辱榜，举办“领帮代”人员擂台赛，推行项目联合审批专班和土地组卷报批专班制度，大力营造“大干快上、全力抓项目”的浓厚氛围。</w:t>
      </w:r>
    </w:p>
    <w:p>
      <w:pPr>
        <w:pStyle w:val="21"/>
        <w:rPr>
          <w:lang w:eastAsia="zh-CN"/>
        </w:rPr>
      </w:pPr>
      <w:r>
        <w:rPr>
          <w:rFonts w:hint="eastAsia"/>
          <w:lang w:eastAsia="zh-CN"/>
        </w:rPr>
        <w:t>5.城乡建设</w:t>
      </w:r>
    </w:p>
    <w:p>
      <w:pPr>
        <w:pStyle w:val="21"/>
        <w:rPr>
          <w:lang w:eastAsia="zh-CN"/>
        </w:rPr>
      </w:pPr>
      <w:r>
        <w:rPr>
          <w:rFonts w:hint="eastAsia"/>
          <w:lang w:eastAsia="zh-CN"/>
        </w:rPr>
        <w:t>绩效目标：加快城乡建设</w:t>
      </w:r>
    </w:p>
    <w:p>
      <w:pPr>
        <w:pStyle w:val="21"/>
        <w:keepNext w:val="0"/>
        <w:keepLines w:val="0"/>
        <w:pageBreakBefore w:val="0"/>
        <w:widowControl w:val="0"/>
        <w:kinsoku/>
        <w:wordWrap/>
        <w:overflowPunct/>
        <w:topLinePunct w:val="0"/>
        <w:autoSpaceDE/>
        <w:autoSpaceDN/>
        <w:bidi w:val="0"/>
        <w:adjustRightInd/>
        <w:snapToGrid/>
        <w:ind w:firstLine="561"/>
        <w:textAlignment w:val="auto"/>
        <w:rPr>
          <w:lang w:eastAsia="zh-CN"/>
        </w:rPr>
      </w:pPr>
      <w:r>
        <w:rPr>
          <w:rFonts w:hint="eastAsia"/>
          <w:lang w:eastAsia="zh-CN"/>
        </w:rPr>
        <w:t>绩效指标：加快金鑫大厦、全民健身中心建设，确保泰华洲际酒店主体完工，力争再引进一批总部企业，让中央商务活力区成为城市经济的重要增长极。</w:t>
      </w:r>
    </w:p>
    <w:p>
      <w:pPr>
        <w:pStyle w:val="21"/>
        <w:keepNext w:val="0"/>
        <w:keepLines/>
        <w:pageBreakBefore w:val="0"/>
        <w:widowControl w:val="0"/>
        <w:kinsoku/>
        <w:wordWrap/>
        <w:overflowPunct/>
        <w:topLinePunct w:val="0"/>
        <w:autoSpaceDE/>
        <w:autoSpaceDN/>
        <w:bidi w:val="0"/>
        <w:adjustRightInd/>
        <w:snapToGrid/>
        <w:ind w:firstLine="561"/>
        <w:textAlignment w:val="auto"/>
        <w:rPr>
          <w:b/>
          <w:bCs/>
          <w:lang w:eastAsia="zh-CN"/>
        </w:rPr>
      </w:pPr>
      <w:r>
        <w:rPr>
          <w:b/>
          <w:bCs/>
          <w:lang w:eastAsia="zh-CN"/>
        </w:rPr>
        <w:t>（三）工作保障措施</w:t>
      </w:r>
    </w:p>
    <w:p>
      <w:pPr>
        <w:pStyle w:val="21"/>
        <w:rPr>
          <w:lang w:eastAsia="zh-CN"/>
        </w:rPr>
      </w:pPr>
      <w:r>
        <w:rPr>
          <w:rFonts w:hint="eastAsia"/>
          <w:lang w:eastAsia="zh-CN"/>
        </w:rPr>
        <w:t>1.完善制度建设</w:t>
      </w:r>
    </w:p>
    <w:p>
      <w:pPr>
        <w:pStyle w:val="21"/>
        <w:rPr>
          <w:lang w:eastAsia="zh-CN"/>
        </w:rPr>
      </w:pPr>
      <w:r>
        <w:rPr>
          <w:rFonts w:hint="eastAsia"/>
          <w:lang w:eastAsia="zh-CN"/>
        </w:rPr>
        <w:t>制定完善预算绩效管理制度、资金管理办法，工作保障制度等，为全年预算绩效目标的实现奠定制度基础。</w:t>
      </w:r>
    </w:p>
    <w:p>
      <w:pPr>
        <w:pStyle w:val="21"/>
        <w:rPr>
          <w:lang w:eastAsia="zh-CN"/>
        </w:rPr>
      </w:pPr>
      <w:r>
        <w:rPr>
          <w:rFonts w:hint="eastAsia"/>
          <w:lang w:eastAsia="zh-CN"/>
        </w:rPr>
        <w:t>2.加强支出管理</w:t>
      </w:r>
    </w:p>
    <w:p>
      <w:pPr>
        <w:pStyle w:val="21"/>
        <w:rPr>
          <w:lang w:eastAsia="zh-CN"/>
        </w:rPr>
      </w:pPr>
      <w:r>
        <w:rPr>
          <w:rFonts w:hint="eastAsia"/>
          <w:lang w:eastAsia="zh-CN"/>
        </w:rPr>
        <w:t>通过优化支出结构、编细编实预算、加快履行政府采购手续、尽快启动项目、及时支付资金、6月底前细化代编预算、按规定及时下达资金等多种措施，确保支出进度达标。</w:t>
      </w:r>
    </w:p>
    <w:p>
      <w:pPr>
        <w:pStyle w:val="21"/>
        <w:rPr>
          <w:lang w:eastAsia="zh-CN"/>
        </w:rPr>
      </w:pPr>
      <w:r>
        <w:rPr>
          <w:rFonts w:hint="eastAsia"/>
          <w:lang w:eastAsia="zh-CN"/>
        </w:rPr>
        <w:t>3.加强绩效运行监控</w:t>
      </w:r>
    </w:p>
    <w:p>
      <w:pPr>
        <w:pStyle w:val="21"/>
        <w:rPr>
          <w:lang w:eastAsia="zh-CN"/>
        </w:rPr>
      </w:pPr>
      <w:r>
        <w:rPr>
          <w:rFonts w:hint="eastAsia"/>
          <w:lang w:eastAsia="zh-CN"/>
        </w:rPr>
        <w:t>按要求开展绩效运行监控，发现问题及时采取措施，确保绩效目标如期保质实现。</w:t>
      </w:r>
    </w:p>
    <w:p>
      <w:pPr>
        <w:pStyle w:val="21"/>
        <w:rPr>
          <w:lang w:eastAsia="zh-CN"/>
        </w:rPr>
      </w:pPr>
      <w:r>
        <w:rPr>
          <w:rFonts w:hint="eastAsia"/>
          <w:lang w:eastAsia="zh-CN"/>
        </w:rPr>
        <w:t>4.做好绩效自评</w:t>
      </w:r>
    </w:p>
    <w:p>
      <w:pPr>
        <w:pStyle w:val="21"/>
        <w:rPr>
          <w:lang w:eastAsia="zh-CN"/>
        </w:rPr>
      </w:pPr>
      <w:r>
        <w:rPr>
          <w:rFonts w:hint="eastAsia"/>
          <w:lang w:eastAsia="zh-CN"/>
        </w:rPr>
        <w:t>按要求开展上年度部门预算绩效自评和重点评价工作，对评价中发现的问题及时整改，调整优化支出结构，提高财政资金使用效益。</w:t>
      </w:r>
    </w:p>
    <w:p>
      <w:pPr>
        <w:pStyle w:val="21"/>
        <w:rPr>
          <w:lang w:eastAsia="zh-CN"/>
        </w:rPr>
      </w:pPr>
      <w:r>
        <w:rPr>
          <w:rFonts w:hint="eastAsia"/>
          <w:lang w:eastAsia="zh-CN"/>
        </w:rPr>
        <w:t>5.规范财务资产管理</w:t>
      </w:r>
    </w:p>
    <w:p>
      <w:pPr>
        <w:pStyle w:val="21"/>
        <w:rPr>
          <w:lang w:eastAsia="zh-CN"/>
        </w:rPr>
      </w:pPr>
      <w:r>
        <w:rPr>
          <w:rFonts w:hint="eastAsia"/>
          <w:lang w:eastAsia="zh-CN"/>
        </w:rPr>
        <w:t>完善财务管理制度，严格审批程序，加强固定资产登记、使用和报废处置管理，做到支出合理，物尽其用。</w:t>
      </w:r>
    </w:p>
    <w:p>
      <w:pPr>
        <w:pStyle w:val="21"/>
        <w:rPr>
          <w:lang w:eastAsia="zh-CN"/>
        </w:rPr>
      </w:pPr>
      <w:r>
        <w:rPr>
          <w:rFonts w:hint="eastAsia"/>
          <w:lang w:eastAsia="zh-CN"/>
        </w:rPr>
        <w:t>6.加强内部监督</w:t>
      </w:r>
    </w:p>
    <w:p>
      <w:pPr>
        <w:pStyle w:val="21"/>
        <w:rPr>
          <w:lang w:eastAsia="zh-CN"/>
        </w:rPr>
      </w:pPr>
      <w:r>
        <w:rPr>
          <w:rFonts w:hint="eastAsia"/>
          <w:lang w:eastAsia="zh-CN"/>
        </w:rP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1"/>
        <w:rPr>
          <w:lang w:eastAsia="zh-CN"/>
        </w:rPr>
      </w:pPr>
      <w:r>
        <w:rPr>
          <w:rFonts w:hint="eastAsia"/>
          <w:lang w:eastAsia="zh-CN"/>
        </w:rPr>
        <w:t>7.加强宣传培训调研</w:t>
      </w:r>
    </w:p>
    <w:p>
      <w:pPr>
        <w:pStyle w:val="21"/>
        <w:rPr>
          <w:rFonts w:hint="eastAsia"/>
          <w:lang w:eastAsia="zh-CN"/>
        </w:rPr>
      </w:pPr>
      <w:r>
        <w:rPr>
          <w:rFonts w:hint="eastAsia"/>
          <w:lang w:eastAsia="zh-CN"/>
        </w:rPr>
        <w:t>加强人员培训，提高本部门职工业务素质；加强调研，提出优化财政资金配置、提高资金使用效益的意见和建议；加宣传力度，强化预算绩效管理意识，促进预算绩效管理水平进一步提升。</w:t>
      </w:r>
    </w:p>
    <w:p>
      <w:pPr>
        <w:pStyle w:val="21"/>
        <w:rPr>
          <w:rFonts w:hint="eastAsia"/>
          <w:lang w:eastAsia="zh-CN"/>
        </w:rPr>
      </w:pPr>
    </w:p>
    <w:p>
      <w:pPr>
        <w:pStyle w:val="21"/>
        <w:numPr>
          <w:ilvl w:val="0"/>
          <w:numId w:val="1"/>
        </w:numPr>
        <w:ind w:left="630" w:leftChars="0" w:firstLine="0" w:firstLineChars="0"/>
        <w:rPr>
          <w:b/>
          <w:bCs/>
          <w:color w:val="000000"/>
        </w:rPr>
      </w:pPr>
      <w:r>
        <w:rPr>
          <w:b/>
          <w:bCs/>
          <w:color w:val="000000"/>
        </w:rPr>
        <w:t>预算项目绩效目标</w:t>
      </w:r>
      <w:bookmarkStart w:id="11" w:name="_Toc67986602"/>
    </w:p>
    <w:p>
      <w:pPr>
        <w:pStyle w:val="21"/>
        <w:numPr>
          <w:ilvl w:val="0"/>
          <w:numId w:val="0"/>
        </w:numPr>
        <w:rPr>
          <w:b/>
          <w:bCs/>
          <w:color w:val="000000"/>
        </w:rPr>
      </w:pPr>
    </w:p>
    <w:p>
      <w:pPr>
        <w:rPr>
          <w:rFonts w:hAnsi="宋体"/>
          <w:b/>
          <w:sz w:val="28"/>
        </w:rPr>
      </w:pPr>
      <w:r>
        <w:rPr>
          <w:rFonts w:hint="eastAsia" w:ascii="仿宋" w:hAnsi="仿宋" w:eastAsia="仿宋" w:cs="仿宋"/>
          <w:b/>
          <w:sz w:val="28"/>
        </w:rPr>
        <w:t>1、新增服务业、限额以上企业奖励绩效目标表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1、新增服务业、限额以上企业奖励绩效目标表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8"/>
        <w:gridCol w:w="1393"/>
        <w:gridCol w:w="1569"/>
        <w:gridCol w:w="1520"/>
        <w:gridCol w:w="1232"/>
        <w:gridCol w:w="1208"/>
        <w:gridCol w:w="16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130110210NE800BC1OG3X</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新增服务业、限额以上企业奖励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9.00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9.00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根据市石市商务局《关于推进社会消费品零售总额有关工作的通知》精神，每新增一个限额以上企业，奖励</w:t>
            </w:r>
            <w:r>
              <w:rPr>
                <w:rFonts w:ascii="方正书宋_GBK" w:eastAsia="方正书宋_GBK"/>
                <w:sz w:val="21"/>
                <w:szCs w:val="21"/>
              </w:rPr>
              <w:t>1</w:t>
            </w:r>
            <w:r>
              <w:rPr>
                <w:rFonts w:hint="eastAsia" w:ascii="方正书宋_GBK" w:eastAsia="方正书宋_GBK"/>
                <w:sz w:val="21"/>
                <w:szCs w:val="21"/>
              </w:rPr>
              <w:t>万元，同时按照每人每月</w:t>
            </w:r>
            <w:r>
              <w:rPr>
                <w:rFonts w:ascii="方正书宋_GBK" w:eastAsia="方正书宋_GBK"/>
                <w:sz w:val="21"/>
                <w:szCs w:val="21"/>
              </w:rPr>
              <w:t>100</w:t>
            </w:r>
            <w:r>
              <w:rPr>
                <w:rFonts w:hint="eastAsia" w:ascii="方正书宋_GBK" w:eastAsia="方正书宋_GBK"/>
                <w:sz w:val="21"/>
                <w:szCs w:val="21"/>
              </w:rPr>
              <w:t>元的标准对统计信息员进行奖补，信息员</w:t>
            </w:r>
            <w:r>
              <w:rPr>
                <w:rFonts w:ascii="方正书宋_GBK" w:eastAsia="方正书宋_GBK"/>
                <w:sz w:val="21"/>
                <w:szCs w:val="21"/>
              </w:rPr>
              <w:t>75</w:t>
            </w:r>
            <w:r>
              <w:rPr>
                <w:rFonts w:hint="eastAsia" w:ascii="方正书宋_GBK" w:eastAsia="方正书宋_GBK"/>
                <w:sz w:val="21"/>
                <w:szCs w:val="21"/>
              </w:rPr>
              <w:t>人，共奖补</w:t>
            </w:r>
            <w:r>
              <w:rPr>
                <w:rFonts w:ascii="方正书宋_GBK" w:eastAsia="方正书宋_GBK"/>
                <w:sz w:val="21"/>
                <w:szCs w:val="21"/>
              </w:rPr>
              <w:t>9</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9</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鼓励达到入统条件的企业积极入统，全面反映我市商贸经济发展成果。</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569"/>
        <w:gridCol w:w="2933"/>
        <w:gridCol w:w="1060"/>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1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2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5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优秀统计员人数</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每年优秀统计员奖励人数</w:t>
            </w:r>
          </w:p>
        </w:tc>
        <w:tc>
          <w:tcPr>
            <w:tcW w:w="551" w:type="pct"/>
            <w:vAlign w:val="center"/>
          </w:tcPr>
          <w:p>
            <w:pPr>
              <w:spacing w:line="300" w:lineRule="exact"/>
              <w:rPr>
                <w:rFonts w:ascii="方正书宋_GBK" w:eastAsia="方正书宋_GBK"/>
                <w:sz w:val="21"/>
                <w:szCs w:val="21"/>
              </w:rPr>
            </w:pPr>
            <w:r>
              <w:rPr>
                <w:rFonts w:ascii="方正书宋_GBK" w:eastAsia="方正书宋_GBK"/>
                <w:sz w:val="21"/>
                <w:szCs w:val="21"/>
              </w:rPr>
              <w:t>55</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对企业及信息员奖励资金发放率</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当年对企业及统计信息员奖补资金发放率</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奖补资金发放及时性</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对企业及信息员奖补资金发放及时性</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年底之前</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优秀统计员奖励成本</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优秀统计员没人每年奖励金额</w:t>
            </w:r>
          </w:p>
        </w:tc>
        <w:tc>
          <w:tcPr>
            <w:tcW w:w="551" w:type="pct"/>
            <w:vAlign w:val="center"/>
          </w:tcPr>
          <w:p>
            <w:pPr>
              <w:spacing w:line="300" w:lineRule="exact"/>
              <w:rPr>
                <w:rFonts w:ascii="方正书宋_GBK" w:eastAsia="方正书宋_GBK"/>
                <w:sz w:val="21"/>
                <w:szCs w:val="21"/>
              </w:rPr>
            </w:pPr>
            <w:r>
              <w:rPr>
                <w:rFonts w:ascii="方正书宋_GBK" w:eastAsia="方正书宋_GBK"/>
                <w:sz w:val="21"/>
                <w:szCs w:val="21"/>
              </w:rPr>
              <w:t>1200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年</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带动限额以上企业发展</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全区社会消费品零售总额比上年的增长比率</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接受奖补资金单位满意度</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headerReference r:id="rId8" w:type="default"/>
          <w:footerReference r:id="rId9" w:type="default"/>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2" w:name="_Toc67986603"/>
      <w:r>
        <w:rPr>
          <w:rFonts w:hint="eastAsia" w:ascii="仿宋" w:hAnsi="仿宋" w:eastAsia="仿宋" w:cs="仿宋"/>
          <w:b/>
          <w:sz w:val="28"/>
        </w:rPr>
        <w:t>2、夜经济建设经费绩效目标表</w:t>
      </w:r>
      <w:bookmarkEnd w:id="12"/>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2、夜经济建设经费绩效目标表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6"/>
        <w:gridCol w:w="1350"/>
        <w:gridCol w:w="1521"/>
        <w:gridCol w:w="1538"/>
        <w:gridCol w:w="1250"/>
        <w:gridCol w:w="1227"/>
        <w:gridCol w:w="1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130110211O0Y4GVL7FIOP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夜经济建设经费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73.00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73.00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用于支持夜经济和特色商业街区设施改造、宣传推介、公共服务、活动举办、业态调整引进、品牌打造、示范奖励等夜经济建设活动。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通过对两个新建商业街进行补贴、发放夜经济惠民红包、对商户进行电费补贴及对游客进行补贴，进一步加快推进夜经济高质量发展，促进消费升级。</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415"/>
        <w:gridCol w:w="2843"/>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奖励商业街数量</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对新增两个商业街进行奖励</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个</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商业街奖励金额</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w:t>
            </w:r>
            <w:r>
              <w:rPr>
                <w:rFonts w:ascii="方正书宋_GBK" w:eastAsia="方正书宋_GBK"/>
                <w:sz w:val="21"/>
                <w:szCs w:val="21"/>
              </w:rPr>
              <w:t>2</w:t>
            </w:r>
            <w:r>
              <w:rPr>
                <w:rFonts w:hint="eastAsia" w:ascii="方正书宋_GBK" w:eastAsia="方正书宋_GBK"/>
                <w:sz w:val="21"/>
                <w:szCs w:val="21"/>
              </w:rPr>
              <w:t>个新建商业街进行奖励金额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20</w:t>
            </w:r>
            <w:r>
              <w:rPr>
                <w:rFonts w:hint="eastAsia" w:ascii="方正书宋_GBK" w:eastAsia="方正书宋_GBK"/>
                <w:sz w:val="21"/>
                <w:szCs w:val="21"/>
              </w:rPr>
              <w:t>万元</w:t>
            </w:r>
            <w:r>
              <w:rPr>
                <w:rFonts w:ascii="方正书宋_GBK" w:eastAsia="方正书宋_GBK"/>
                <w:sz w:val="21"/>
                <w:szCs w:val="21"/>
              </w:rPr>
              <w:t>/</w:t>
            </w:r>
            <w:r>
              <w:rPr>
                <w:rFonts w:hint="eastAsia" w:ascii="方正书宋_GBK" w:eastAsia="方正书宋_GBK"/>
                <w:sz w:val="21"/>
                <w:szCs w:val="21"/>
              </w:rPr>
              <w:t>个</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游客补贴发放人数</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游客补贴发放人数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100000</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受补贴企业营业时间</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对企业营业时间段的补贴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晚</w:t>
            </w:r>
            <w:r>
              <w:rPr>
                <w:rFonts w:ascii="方正书宋_GBK" w:eastAsia="方正书宋_GBK"/>
                <w:sz w:val="21"/>
                <w:szCs w:val="21"/>
              </w:rPr>
              <w:t>6</w:t>
            </w:r>
            <w:r>
              <w:rPr>
                <w:rFonts w:hint="eastAsia" w:ascii="方正书宋_GBK" w:eastAsia="方正书宋_GBK"/>
                <w:sz w:val="21"/>
                <w:szCs w:val="21"/>
              </w:rPr>
              <w:t>：</w:t>
            </w:r>
            <w:r>
              <w:rPr>
                <w:rFonts w:ascii="方正书宋_GBK" w:eastAsia="方正书宋_GBK"/>
                <w:sz w:val="21"/>
                <w:szCs w:val="21"/>
              </w:rPr>
              <w:t>30-10:30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电费补贴成本</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对企业补贴电费费用总额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40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游客补贴金额</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来鹿泉旅游过夜的旅客补贴金额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全区夜经济对经济发展的贡献率</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较去年增长的夜经济营业额占去年夜经济营业额的比例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企业营业时间</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保证商户营业时间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小时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市民及消费者满意度</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3" w:name="_Toc67986604"/>
      <w:r>
        <w:rPr>
          <w:rFonts w:hint="eastAsia" w:ascii="仿宋" w:hAnsi="仿宋" w:eastAsia="仿宋" w:cs="仿宋"/>
          <w:b/>
          <w:sz w:val="28"/>
        </w:rPr>
        <w:t>3、2021年军粮供应和集约化保障建设资金绩效目标表</w:t>
      </w:r>
      <w:bookmarkEnd w:id="13"/>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3、2021年军粮供应和集约化保障建设资金绩效目标表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8"/>
        <w:gridCol w:w="1415"/>
        <w:gridCol w:w="1594"/>
        <w:gridCol w:w="1511"/>
        <w:gridCol w:w="1223"/>
        <w:gridCol w:w="1199"/>
        <w:gridCol w:w="1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1301102124D1G9YYGW15P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年军粮供应和集约化保障建设资金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137</w:t>
            </w:r>
            <w:r>
              <w:rPr>
                <w:rFonts w:hint="eastAsia" w:ascii="方正书宋_GBK" w:eastAsia="方正书宋_GBK"/>
                <w:sz w:val="21"/>
                <w:szCs w:val="21"/>
                <w:lang w:eastAsia="zh-CN"/>
              </w:rPr>
              <w:t>.</w:t>
            </w:r>
            <w:r>
              <w:rPr>
                <w:rFonts w:ascii="方正书宋_GBK" w:eastAsia="方正书宋_GBK"/>
                <w:sz w:val="21"/>
                <w:szCs w:val="21"/>
              </w:rPr>
              <w:t>90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137</w:t>
            </w:r>
            <w:r>
              <w:rPr>
                <w:rFonts w:hint="eastAsia" w:ascii="方正书宋_GBK" w:eastAsia="方正书宋_GBK"/>
                <w:sz w:val="21"/>
                <w:szCs w:val="21"/>
                <w:lang w:eastAsia="zh-CN"/>
              </w:rPr>
              <w:t>.</w:t>
            </w:r>
            <w:r>
              <w:rPr>
                <w:rFonts w:ascii="方正书宋_GBK" w:eastAsia="方正书宋_GBK"/>
                <w:sz w:val="21"/>
                <w:szCs w:val="21"/>
              </w:rPr>
              <w:t>90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年集约化保障建设资金</w:t>
            </w:r>
            <w:r>
              <w:rPr>
                <w:rFonts w:ascii="方正书宋_GBK" w:eastAsia="方正书宋_GBK"/>
                <w:sz w:val="21"/>
                <w:szCs w:val="21"/>
              </w:rPr>
              <w:t>103.5</w:t>
            </w:r>
            <w:r>
              <w:rPr>
                <w:rFonts w:hint="eastAsia" w:ascii="方正书宋_GBK" w:eastAsia="方正书宋_GBK"/>
                <w:sz w:val="21"/>
                <w:szCs w:val="21"/>
              </w:rPr>
              <w:t>万元：可视化展厅超市创意及设计费</w:t>
            </w:r>
            <w:r>
              <w:rPr>
                <w:rFonts w:ascii="方正书宋_GBK" w:eastAsia="方正书宋_GBK"/>
                <w:sz w:val="21"/>
                <w:szCs w:val="21"/>
              </w:rPr>
              <w:t>10</w:t>
            </w:r>
            <w:r>
              <w:rPr>
                <w:rFonts w:hint="eastAsia" w:ascii="方正书宋_GBK" w:eastAsia="方正书宋_GBK"/>
                <w:sz w:val="21"/>
                <w:szCs w:val="21"/>
              </w:rPr>
              <w:t>万元、材料及制作费</w:t>
            </w:r>
            <w:r>
              <w:rPr>
                <w:rFonts w:ascii="方正书宋_GBK" w:eastAsia="方正书宋_GBK"/>
                <w:sz w:val="21"/>
                <w:szCs w:val="21"/>
              </w:rPr>
              <w:t>76.5</w:t>
            </w:r>
            <w:r>
              <w:rPr>
                <w:rFonts w:hint="eastAsia" w:ascii="方正书宋_GBK" w:eastAsia="方正书宋_GBK"/>
                <w:sz w:val="21"/>
                <w:szCs w:val="21"/>
              </w:rPr>
              <w:t>万元、各项人工费</w:t>
            </w:r>
            <w:r>
              <w:rPr>
                <w:rFonts w:ascii="方正书宋_GBK" w:eastAsia="方正书宋_GBK"/>
                <w:sz w:val="21"/>
                <w:szCs w:val="21"/>
              </w:rPr>
              <w:t>10</w:t>
            </w:r>
            <w:r>
              <w:rPr>
                <w:rFonts w:hint="eastAsia" w:ascii="方正书宋_GBK" w:eastAsia="方正书宋_GBK"/>
                <w:sz w:val="21"/>
                <w:szCs w:val="21"/>
              </w:rPr>
              <w:t>万元、展厅可视化设备</w:t>
            </w:r>
            <w:r>
              <w:rPr>
                <w:rFonts w:ascii="方正书宋_GBK" w:eastAsia="方正书宋_GBK"/>
                <w:sz w:val="21"/>
                <w:szCs w:val="21"/>
              </w:rPr>
              <w:t>7</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年军粮供应补贴</w:t>
            </w:r>
            <w:r>
              <w:rPr>
                <w:rFonts w:ascii="方正书宋_GBK" w:eastAsia="方正书宋_GBK"/>
                <w:sz w:val="21"/>
                <w:szCs w:val="21"/>
              </w:rPr>
              <w:t>34.4</w:t>
            </w:r>
            <w:r>
              <w:rPr>
                <w:rFonts w:hint="eastAsia" w:ascii="方正书宋_GBK" w:eastAsia="方正书宋_GBK"/>
                <w:sz w:val="21"/>
                <w:szCs w:val="21"/>
              </w:rPr>
              <w:t>万元</w:t>
            </w:r>
            <w:r>
              <w:rPr>
                <w:rFonts w:hint="eastAsia" w:ascii="方正书宋_GBK" w:eastAsia="方正书宋_GBK"/>
                <w:sz w:val="21"/>
                <w:szCs w:val="21"/>
                <w:lang w:eastAsia="zh-CN"/>
              </w:rPr>
              <w:t>，</w:t>
            </w:r>
            <w:r>
              <w:rPr>
                <w:rFonts w:hint="eastAsia" w:ascii="方正书宋_GBK" w:eastAsia="方正书宋_GBK"/>
                <w:sz w:val="21"/>
                <w:szCs w:val="21"/>
              </w:rPr>
              <w:t>共计</w:t>
            </w:r>
            <w:r>
              <w:rPr>
                <w:rFonts w:ascii="方正书宋_GBK" w:eastAsia="方正书宋_GBK"/>
                <w:sz w:val="21"/>
                <w:szCs w:val="21"/>
              </w:rPr>
              <w:t>137.9</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加大河北军粮产品的销售渠道，提升销售额</w:t>
            </w:r>
            <w:r>
              <w:rPr>
                <w:rFonts w:ascii="方正书宋_GBK" w:eastAsia="方正书宋_GBK"/>
                <w:sz w:val="21"/>
                <w:szCs w:val="21"/>
              </w:rPr>
              <w:t>5%</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提升主副食的采购质量和保障能力</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受补贴项目数量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受补贴的项目数量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主副食采购质量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可视化超市主副食采购质量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提升主副食的采购质量</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展厅项目开始时间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项目开始时间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月开始</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材料及制作成本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可视化展厅超市材料及制作费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76.5</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人工成本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可视化展厅超市各项人工费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创意及设计成本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可视化展厅超市创意及设计费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展厅可视化设备费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河北军粮产品销售渠道</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河北军粮产品销售渠道</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加大销售渠道</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4" w:name="_Toc67986605"/>
      <w:r>
        <w:rPr>
          <w:rFonts w:hint="eastAsia" w:ascii="仿宋" w:hAnsi="仿宋" w:eastAsia="仿宋" w:cs="仿宋"/>
          <w:b/>
          <w:sz w:val="28"/>
        </w:rPr>
        <w:t>4、项目招商经费绩效目标表</w:t>
      </w:r>
      <w:bookmarkEnd w:id="14"/>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4、项目招商经费绩效目标表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3"/>
        <w:gridCol w:w="1428"/>
        <w:gridCol w:w="1609"/>
        <w:gridCol w:w="1505"/>
        <w:gridCol w:w="1217"/>
        <w:gridCol w:w="1193"/>
        <w:gridCol w:w="16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130110212TRM8CV03A2GN</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60</w:t>
            </w:r>
            <w:r>
              <w:rPr>
                <w:rFonts w:hint="eastAsia" w:ascii="方正书宋_GBK" w:eastAsia="方正书宋_GBK"/>
                <w:sz w:val="21"/>
                <w:szCs w:val="21"/>
                <w:lang w:eastAsia="zh-CN"/>
              </w:rPr>
              <w:t>.</w:t>
            </w:r>
            <w:r>
              <w:rPr>
                <w:rFonts w:ascii="方正书宋_GBK" w:eastAsia="方正书宋_GBK"/>
                <w:sz w:val="21"/>
                <w:szCs w:val="21"/>
              </w:rPr>
              <w:t>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60.00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全区重大招商引资项目的洽谈、签约、考察、协调、对接、接待等工作，组织项目观摩活动；组织各有关部门参加廊洽会、石洽会等各种大型招商活动。</w:t>
            </w:r>
            <w:r>
              <w:rPr>
                <w:rFonts w:ascii="方正书宋_GBK" w:eastAsia="方正书宋_GBK"/>
                <w:sz w:val="21"/>
                <w:szCs w:val="21"/>
              </w:rPr>
              <w:t>2.</w:t>
            </w:r>
            <w:r>
              <w:rPr>
                <w:rFonts w:hint="eastAsia" w:ascii="方正书宋_GBK" w:eastAsia="方正书宋_GBK"/>
                <w:sz w:val="21"/>
                <w:szCs w:val="21"/>
              </w:rPr>
              <w:t>根据区政府工作安排，我单位开展驻京招商工作，涉及租用办公场地、交通往返、食宿、出差补贴等多项费用。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引进更多大企业、大集轩到我区投资建设，拉动经济建设，促进经济发展。</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依托中关村相关项目资源、拓宽招商渠道，力争扩大我区影响，为我区引入更多符合产业要求的优质企业落户。</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96"/>
        <w:gridCol w:w="2862"/>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2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8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一年招商工作接待天数</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一年招商工作接待次数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&gt;8</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驻京招商人数</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5</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招商考察会议场次</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外出参加招商考察会议次数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r>
              <w:rPr>
                <w:rFonts w:ascii="方正书宋_GBK" w:eastAsia="方正书宋_GBK"/>
                <w:sz w:val="21"/>
                <w:szCs w:val="21"/>
              </w:rPr>
              <w:t>%</w:t>
            </w:r>
            <w:r>
              <w:rPr>
                <w:rFonts w:hint="eastAsia" w:ascii="方正书宋_GBK" w:eastAsia="方正书宋_GBK"/>
                <w:sz w:val="21"/>
                <w:szCs w:val="21"/>
              </w:rPr>
              <w:t>）</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驻京招商人均标准</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伙食补助没人每天</w:t>
            </w:r>
            <w:r>
              <w:rPr>
                <w:rFonts w:ascii="方正书宋_GBK" w:eastAsia="方正书宋_GBK"/>
                <w:sz w:val="21"/>
                <w:szCs w:val="21"/>
              </w:rPr>
              <w:t>100</w:t>
            </w:r>
            <w:r>
              <w:rPr>
                <w:rFonts w:hint="eastAsia" w:ascii="方正书宋_GBK" w:eastAsia="方正书宋_GBK"/>
                <w:sz w:val="21"/>
                <w:szCs w:val="21"/>
              </w:rPr>
              <w:t>元，市内交通费</w:t>
            </w:r>
            <w:r>
              <w:rPr>
                <w:rFonts w:ascii="方正书宋_GBK" w:eastAsia="方正书宋_GBK"/>
                <w:sz w:val="21"/>
                <w:szCs w:val="21"/>
              </w:rPr>
              <w:t>80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人天，住宿费</w:t>
            </w:r>
            <w:r>
              <w:rPr>
                <w:rFonts w:ascii="方正书宋_GBK" w:eastAsia="方正书宋_GBK"/>
                <w:sz w:val="21"/>
                <w:szCs w:val="21"/>
              </w:rPr>
              <w:t>500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人天</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680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鹿财字【</w:t>
            </w:r>
            <w:r>
              <w:rPr>
                <w:rFonts w:ascii="方正书宋_GBK" w:eastAsia="方正书宋_GBK"/>
                <w:sz w:val="21"/>
                <w:szCs w:val="21"/>
              </w:rPr>
              <w:t>2016</w:t>
            </w:r>
            <w:r>
              <w:rPr>
                <w:rFonts w:hint="eastAsia" w:ascii="方正书宋_GBK" w:eastAsia="方正书宋_GBK"/>
                <w:sz w:val="21"/>
                <w:szCs w:val="21"/>
              </w:rPr>
              <w:t>】</w:t>
            </w:r>
            <w:r>
              <w:rPr>
                <w:rFonts w:ascii="方正书宋_GBK" w:eastAsia="方正书宋_GBK"/>
                <w:sz w:val="21"/>
                <w:szCs w:val="21"/>
              </w:rPr>
              <w:t>39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招商招待标准</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接待客商标准，陪客标准不超过来客</w:t>
            </w:r>
            <w:r>
              <w:rPr>
                <w:rFonts w:ascii="方正书宋_GBK" w:eastAsia="方正书宋_GBK"/>
                <w:sz w:val="21"/>
                <w:szCs w:val="21"/>
              </w:rPr>
              <w:t>1/3</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鹿财字【</w:t>
            </w:r>
            <w:r>
              <w:rPr>
                <w:rFonts w:ascii="方正书宋_GBK" w:eastAsia="方正书宋_GBK"/>
                <w:sz w:val="21"/>
                <w:szCs w:val="21"/>
              </w:rPr>
              <w:t>2016</w:t>
            </w:r>
            <w:r>
              <w:rPr>
                <w:rFonts w:hint="eastAsia" w:ascii="方正书宋_GBK" w:eastAsia="方正书宋_GBK"/>
                <w:sz w:val="21"/>
                <w:szCs w:val="21"/>
              </w:rPr>
              <w:t>】</w:t>
            </w:r>
            <w:r>
              <w:rPr>
                <w:rFonts w:ascii="方正书宋_GBK" w:eastAsia="方正书宋_GBK"/>
                <w:sz w:val="21"/>
                <w:szCs w:val="21"/>
              </w:rPr>
              <w:t>39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项目成功签约率</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引进我区项目成功签约率（</w:t>
            </w:r>
            <w:r>
              <w:rPr>
                <w:rFonts w:ascii="方正书宋_GBK" w:eastAsia="方正书宋_GBK"/>
                <w:sz w:val="21"/>
                <w:szCs w:val="21"/>
              </w:rPr>
              <w:t>%</w:t>
            </w:r>
            <w:r>
              <w:rPr>
                <w:rFonts w:hint="eastAsia" w:ascii="方正书宋_GBK" w:eastAsia="方正书宋_GBK"/>
                <w:sz w:val="21"/>
                <w:szCs w:val="21"/>
              </w:rPr>
              <w:t>）</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5" w:name="_Toc67986606"/>
      <w:r>
        <w:rPr>
          <w:rFonts w:hint="eastAsia" w:ascii="仿宋" w:hAnsi="仿宋" w:eastAsia="仿宋" w:cs="仿宋"/>
          <w:b/>
          <w:sz w:val="28"/>
        </w:rPr>
        <w:t>5、救灾物资储备绩效目标表</w:t>
      </w:r>
      <w:bookmarkEnd w:id="15"/>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5、救灾物资储备绩效目标表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0"/>
        <w:gridCol w:w="1457"/>
        <w:gridCol w:w="1642"/>
        <w:gridCol w:w="1493"/>
        <w:gridCol w:w="1205"/>
        <w:gridCol w:w="1181"/>
        <w:gridCol w:w="16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130110213NK2W1UYSQCO6</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救灾物资储备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对于救灾物资石家庄市级启动Ⅱ级响应规定，按最低标准救助</w:t>
            </w:r>
            <w:r>
              <w:rPr>
                <w:rFonts w:ascii="方正书宋_GBK" w:eastAsia="方正书宋_GBK"/>
                <w:sz w:val="21"/>
                <w:szCs w:val="21"/>
              </w:rPr>
              <w:t>5</w:t>
            </w:r>
            <w:r>
              <w:rPr>
                <w:rFonts w:hint="eastAsia" w:ascii="方正书宋_GBK" w:eastAsia="方正书宋_GBK"/>
                <w:sz w:val="21"/>
                <w:szCs w:val="21"/>
              </w:rPr>
              <w:t>万人测算，</w:t>
            </w:r>
            <w:r>
              <w:rPr>
                <w:rFonts w:ascii="方正书宋_GBK" w:eastAsia="方正书宋_GBK"/>
                <w:sz w:val="21"/>
                <w:szCs w:val="21"/>
              </w:rPr>
              <w:t>2020</w:t>
            </w:r>
            <w:r>
              <w:rPr>
                <w:rFonts w:hint="eastAsia" w:ascii="方正书宋_GBK" w:eastAsia="方正书宋_GBK"/>
                <w:sz w:val="21"/>
                <w:szCs w:val="21"/>
              </w:rPr>
              <w:t>年储备货值规模应达到</w:t>
            </w:r>
            <w:r>
              <w:rPr>
                <w:rFonts w:ascii="方正书宋_GBK" w:eastAsia="方正书宋_GBK"/>
                <w:sz w:val="21"/>
                <w:szCs w:val="21"/>
              </w:rPr>
              <w:t>5880</w:t>
            </w:r>
            <w:r>
              <w:rPr>
                <w:rFonts w:hint="eastAsia" w:ascii="方正书宋_GBK" w:eastAsia="方正书宋_GBK"/>
                <w:sz w:val="21"/>
                <w:szCs w:val="21"/>
              </w:rPr>
              <w:t>万元，鹿泉区按最低</w:t>
            </w:r>
            <w:r>
              <w:rPr>
                <w:rFonts w:ascii="方正书宋_GBK" w:eastAsia="方正书宋_GBK"/>
                <w:sz w:val="21"/>
                <w:szCs w:val="21"/>
              </w:rPr>
              <w:t>5000</w:t>
            </w:r>
            <w:r>
              <w:rPr>
                <w:rFonts w:hint="eastAsia" w:ascii="方正书宋_GBK" w:eastAsia="方正书宋_GBK"/>
                <w:sz w:val="21"/>
                <w:szCs w:val="21"/>
              </w:rPr>
              <w:t>人测算，需储备货值规模达到</w:t>
            </w:r>
            <w:r>
              <w:rPr>
                <w:rFonts w:ascii="方正书宋_GBK" w:eastAsia="方正书宋_GBK"/>
                <w:sz w:val="21"/>
                <w:szCs w:val="21"/>
              </w:rPr>
              <w:t>588</w:t>
            </w:r>
            <w:r>
              <w:rPr>
                <w:rFonts w:hint="eastAsia" w:ascii="方正书宋_GBK" w:eastAsia="方正书宋_GBK"/>
                <w:sz w:val="21"/>
                <w:szCs w:val="21"/>
              </w:rPr>
              <w:t>万元</w:t>
            </w:r>
            <w:r>
              <w:rPr>
                <w:rFonts w:hint="cs" w:ascii="方正书宋_GBK" w:eastAsia="方正书宋_GBK"/>
                <w:sz w:val="21"/>
                <w:szCs w:val="21"/>
                <w:cs/>
              </w:rPr>
              <w:t>×</w:t>
            </w:r>
            <w:r>
              <w:rPr>
                <w:rFonts w:ascii="方正书宋_GBK" w:eastAsia="方正书宋_GBK"/>
                <w:sz w:val="21"/>
                <w:szCs w:val="21"/>
              </w:rPr>
              <w:t>50%=294</w:t>
            </w:r>
            <w:r>
              <w:rPr>
                <w:rFonts w:hint="eastAsia" w:ascii="方正书宋_GBK" w:eastAsia="方正书宋_GBK"/>
                <w:sz w:val="21"/>
                <w:szCs w:val="21"/>
              </w:rPr>
              <w:t>万元，租库保管费用</w:t>
            </w:r>
            <w:r>
              <w:rPr>
                <w:rFonts w:ascii="方正书宋_GBK" w:eastAsia="方正书宋_GBK"/>
                <w:sz w:val="21"/>
                <w:szCs w:val="21"/>
              </w:rPr>
              <w:t>10</w:t>
            </w:r>
            <w:r>
              <w:rPr>
                <w:rFonts w:hint="eastAsia" w:ascii="方正书宋_GBK" w:eastAsia="方正书宋_GBK"/>
                <w:sz w:val="21"/>
                <w:szCs w:val="21"/>
              </w:rPr>
              <w:t>万元。特申请</w:t>
            </w:r>
            <w:r>
              <w:rPr>
                <w:rFonts w:ascii="方正书宋_GBK" w:eastAsia="方正书宋_GBK"/>
                <w:sz w:val="21"/>
                <w:szCs w:val="21"/>
              </w:rPr>
              <w:t>2021</w:t>
            </w:r>
            <w:r>
              <w:rPr>
                <w:rFonts w:hint="eastAsia" w:ascii="方正书宋_GBK" w:eastAsia="方正书宋_GBK"/>
                <w:sz w:val="21"/>
                <w:szCs w:val="21"/>
              </w:rPr>
              <w:t>年抗灾救灾物资储备货值</w:t>
            </w:r>
            <w:r>
              <w:rPr>
                <w:rFonts w:ascii="方正书宋_GBK" w:eastAsia="方正书宋_GBK"/>
                <w:sz w:val="21"/>
                <w:szCs w:val="21"/>
              </w:rPr>
              <w:t>304</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解决遭受自然灾害的居民克服衣、食、住、医等临时困难，紧急转移安置和抢救受灾群众，恢复重建倒损房屋。</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采购、管理、储运救灾物资的资金，切实保障受灾群众基本生活。</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578"/>
        <w:gridCol w:w="3577"/>
        <w:gridCol w:w="914"/>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2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85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47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4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储备救灾物资救助人数</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储备救灾物资可以达到救助的人数</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人</w:t>
            </w:r>
            <w:r>
              <w:rPr>
                <w:rFonts w:ascii="方正书宋_GBK" w:eastAsia="方正书宋_GBK"/>
                <w:sz w:val="21"/>
                <w:szCs w:val="21"/>
              </w:rPr>
              <w:t xml:space="preserve"> </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灾后救助率</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灾难发生后，抗灾救灾任务的完成数量占抗灾任务总数的比例（百分比）</w:t>
            </w:r>
          </w:p>
        </w:tc>
        <w:tc>
          <w:tcPr>
            <w:tcW w:w="475"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储备就在物品完成率</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按照要求和计划完成的抗灾救灾物资储备数量占计划总数量的比率</w:t>
            </w:r>
          </w:p>
        </w:tc>
        <w:tc>
          <w:tcPr>
            <w:tcW w:w="475"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救灾物资保管成本</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储备救灾物资租库、保管成本</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社会影响力</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在全区产生的重要影响，得到广大民众的充分认可。</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得到认可</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受益人数</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灾害发生时的受益人数</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人</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受益人员</w:t>
            </w:r>
            <w:r>
              <w:rPr>
                <w:rFonts w:ascii="方正书宋_GBK" w:eastAsia="方正书宋_GBK"/>
                <w:sz w:val="21"/>
                <w:szCs w:val="21"/>
              </w:rPr>
              <w:t xml:space="preserve"> </w:t>
            </w:r>
            <w:r>
              <w:rPr>
                <w:rFonts w:hint="eastAsia" w:ascii="方正书宋_GBK" w:eastAsia="方正书宋_GBK"/>
                <w:sz w:val="21"/>
                <w:szCs w:val="21"/>
              </w:rPr>
              <w:t>满意度</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通过问卷调查，满意和较满意的受益对象占全部调研对象的比率</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6" w:name="_Toc67986607"/>
      <w:r>
        <w:rPr>
          <w:rFonts w:hint="eastAsia" w:ascii="仿宋" w:hAnsi="仿宋" w:eastAsia="仿宋" w:cs="仿宋"/>
          <w:b/>
          <w:sz w:val="28"/>
        </w:rPr>
        <w:t>6、市场价格监测管理费用绩效目标表</w:t>
      </w:r>
      <w:bookmarkEnd w:id="16"/>
      <w:r>
        <w:rPr>
          <w:rFonts w:hint="eastAsia" w:ascii="仿宋" w:hAnsi="仿宋" w:eastAsia="仿宋" w:cs="仿宋"/>
          <w:b/>
          <w:sz w:val="21"/>
          <w:szCs w:val="21"/>
        </w:rPr>
        <w:fldChar w:fldCharType="begin"/>
      </w:r>
      <w:r>
        <w:rPr>
          <w:rFonts w:hint="eastAsia" w:ascii="仿宋" w:hAnsi="仿宋" w:eastAsia="仿宋" w:cs="仿宋"/>
          <w:b/>
          <w:sz w:val="21"/>
          <w:szCs w:val="21"/>
        </w:rPr>
        <w:instrText xml:space="preserve"> TC 6、市场价格监测管理费用绩效目标表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1"/>
        <w:gridCol w:w="1433"/>
        <w:gridCol w:w="1613"/>
        <w:gridCol w:w="1503"/>
        <w:gridCol w:w="1215"/>
        <w:gridCol w:w="1192"/>
        <w:gridCol w:w="16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130110213T6RGFY8MHPGO</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市场价格监测管理费用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冀纪字</w:t>
            </w:r>
            <w:r>
              <w:rPr>
                <w:rFonts w:ascii="方正书宋_GBK" w:eastAsia="方正书宋_GBK"/>
                <w:sz w:val="21"/>
                <w:szCs w:val="21"/>
              </w:rPr>
              <w:t>[2013]2</w:t>
            </w:r>
            <w:r>
              <w:rPr>
                <w:rFonts w:hint="eastAsia" w:ascii="方正书宋_GBK" w:eastAsia="方正书宋_GBK"/>
                <w:sz w:val="21"/>
                <w:szCs w:val="21"/>
              </w:rPr>
              <w:t>号，价格认定机构对纪检监察机关查办案件涉案财物行价格认定不收费，该经费由同级财政预算安排。发改厅</w:t>
            </w:r>
            <w:r>
              <w:rPr>
                <w:rFonts w:ascii="方正书宋_GBK" w:eastAsia="方正书宋_GBK"/>
                <w:sz w:val="21"/>
                <w:szCs w:val="21"/>
              </w:rPr>
              <w:t>[2008]1392</w:t>
            </w:r>
            <w:r>
              <w:rPr>
                <w:rFonts w:hint="eastAsia" w:ascii="方正书宋_GBK" w:eastAsia="方正书宋_GBK"/>
                <w:sz w:val="21"/>
                <w:szCs w:val="21"/>
              </w:rPr>
              <w:t>号、财税</w:t>
            </w:r>
            <w:r>
              <w:rPr>
                <w:rFonts w:ascii="方正书宋_GBK" w:eastAsia="方正书宋_GBK"/>
                <w:sz w:val="21"/>
                <w:szCs w:val="21"/>
              </w:rPr>
              <w:t>[2017]20</w:t>
            </w:r>
            <w:r>
              <w:rPr>
                <w:rFonts w:hint="eastAsia" w:ascii="方正书宋_GBK" w:eastAsia="方正书宋_GBK"/>
                <w:sz w:val="21"/>
                <w:szCs w:val="21"/>
              </w:rPr>
              <w:t>号规定，鉴定费等工作经费由同级财政部门根据价格认证中心业务量大小，核定专项经费或补贴。冀价认字</w:t>
            </w:r>
            <w:r>
              <w:rPr>
                <w:rFonts w:ascii="方正书宋_GBK" w:eastAsia="方正书宋_GBK"/>
                <w:sz w:val="21"/>
                <w:szCs w:val="21"/>
              </w:rPr>
              <w:t>[2011]4</w:t>
            </w:r>
            <w:r>
              <w:rPr>
                <w:rFonts w:hint="eastAsia" w:ascii="方正书宋_GBK" w:eastAsia="方正书宋_GBK"/>
                <w:sz w:val="21"/>
                <w:szCs w:val="21"/>
              </w:rPr>
              <w:t>号，刑事案件、法院、司法、纪检价格鉴定及交通事故价格鉴证工作、价格争议、纠纷调解工作价格争议调解处理不得收取调解费，所需经费向当地财政部门申请解决。</w:t>
            </w:r>
            <w:r>
              <w:rPr>
                <w:rFonts w:ascii="方正书宋_GBK" w:eastAsia="方正书宋_GBK"/>
                <w:sz w:val="21"/>
                <w:szCs w:val="21"/>
              </w:rPr>
              <w:t>2021</w:t>
            </w:r>
            <w:r>
              <w:rPr>
                <w:rFonts w:hint="eastAsia" w:ascii="方正书宋_GBK" w:eastAsia="方正书宋_GBK"/>
                <w:sz w:val="21"/>
                <w:szCs w:val="21"/>
              </w:rPr>
              <w:t>年申请预算</w:t>
            </w:r>
            <w:r>
              <w:rPr>
                <w:rFonts w:ascii="方正书宋_GBK" w:eastAsia="方正书宋_GBK"/>
                <w:sz w:val="21"/>
                <w:szCs w:val="21"/>
              </w:rPr>
              <w:t>2</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及时处理价格鉴证等问题</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保证价格平稳运行</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7"/>
        <w:gridCol w:w="1158"/>
        <w:gridCol w:w="1763"/>
        <w:gridCol w:w="2952"/>
        <w:gridCol w:w="1028"/>
        <w:gridCol w:w="15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91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价格争议纠纷调</w:t>
            </w:r>
            <w:r>
              <w:rPr>
                <w:rFonts w:hint="eastAsia" w:ascii="方正书宋_GBK" w:eastAsia="方正书宋_GBK"/>
                <w:sz w:val="21"/>
                <w:szCs w:val="21"/>
                <w:lang w:eastAsia="zh-CN"/>
              </w:rPr>
              <w:t>解</w:t>
            </w:r>
            <w:r>
              <w:rPr>
                <w:rFonts w:hint="eastAsia" w:ascii="方正书宋_GBK" w:eastAsia="方正书宋_GBK"/>
                <w:sz w:val="21"/>
                <w:szCs w:val="21"/>
              </w:rPr>
              <w:t>工作次数</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参与价格争议纠纷调</w:t>
            </w:r>
            <w:r>
              <w:rPr>
                <w:rFonts w:hint="eastAsia" w:ascii="方正书宋_GBK" w:eastAsia="方正书宋_GBK"/>
                <w:sz w:val="21"/>
                <w:szCs w:val="21"/>
                <w:lang w:eastAsia="zh-CN"/>
              </w:rPr>
              <w:t>解</w:t>
            </w:r>
            <w:r>
              <w:rPr>
                <w:rFonts w:hint="eastAsia" w:ascii="方正书宋_GBK" w:eastAsia="方正书宋_GBK"/>
                <w:sz w:val="21"/>
                <w:szCs w:val="21"/>
              </w:rPr>
              <w:t>工作的次数</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次数</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听证会的次数</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参与水电暖天然气等听证会的次数</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鉴证工作到位率</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实际到位占应到位次数的比例</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市场调查用车总成本</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刑事案件农本调查等市场调查用车金额</w:t>
            </w:r>
          </w:p>
        </w:tc>
        <w:tc>
          <w:tcPr>
            <w:tcW w:w="5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听证会场地租金</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听证会场地租金需要金额</w:t>
            </w:r>
          </w:p>
        </w:tc>
        <w:tc>
          <w:tcPr>
            <w:tcW w:w="5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事件处置完成率</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处置完成事件占应处置事件数量的比例</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7" w:name="_Toc67986608"/>
      <w:r>
        <w:rPr>
          <w:rFonts w:hint="eastAsia" w:ascii="仿宋" w:hAnsi="仿宋" w:eastAsia="仿宋" w:cs="仿宋"/>
          <w:b/>
          <w:sz w:val="28"/>
        </w:rPr>
        <w:t>7、外经贸企业奖补资金绩效目标表</w:t>
      </w:r>
      <w:bookmarkEnd w:id="17"/>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7、外经贸企业奖补资金绩效目标表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0"/>
        <w:gridCol w:w="1275"/>
        <w:gridCol w:w="1624"/>
        <w:gridCol w:w="1543"/>
        <w:gridCol w:w="1185"/>
        <w:gridCol w:w="1056"/>
        <w:gridCol w:w="18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9"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1010"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332"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130110214Y12PXZA5QZ3F</w:t>
            </w:r>
          </w:p>
        </w:tc>
        <w:tc>
          <w:tcPr>
            <w:tcW w:w="83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4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外经贸企业奖补资金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8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45" w:type="pct"/>
            <w:vAlign w:val="center"/>
          </w:tcPr>
          <w:p>
            <w:pPr>
              <w:spacing w:line="300" w:lineRule="exact"/>
              <w:rPr>
                <w:rFonts w:ascii="方正书宋_GBK" w:eastAsia="方正书宋_GBK"/>
                <w:sz w:val="21"/>
                <w:szCs w:val="21"/>
              </w:rPr>
            </w:pPr>
            <w:r>
              <w:rPr>
                <w:rFonts w:ascii="方正书宋_GBK" w:eastAsia="方正书宋_GBK"/>
                <w:sz w:val="21"/>
                <w:szCs w:val="21"/>
              </w:rPr>
              <w:t>50.00</w:t>
            </w:r>
          </w:p>
        </w:tc>
        <w:tc>
          <w:tcPr>
            <w:tcW w:w="83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51" w:type="pct"/>
            <w:vAlign w:val="center"/>
          </w:tcPr>
          <w:p>
            <w:pPr>
              <w:spacing w:line="300" w:lineRule="exact"/>
              <w:rPr>
                <w:rFonts w:ascii="方正书宋_GBK" w:eastAsia="方正书宋_GBK"/>
                <w:sz w:val="21"/>
                <w:szCs w:val="21"/>
              </w:rPr>
            </w:pPr>
            <w:r>
              <w:rPr>
                <w:rFonts w:ascii="方正书宋_GBK" w:eastAsia="方正书宋_GBK"/>
                <w:sz w:val="21"/>
                <w:szCs w:val="21"/>
              </w:rPr>
              <w:t>50.00</w:t>
            </w:r>
          </w:p>
        </w:tc>
        <w:tc>
          <w:tcPr>
            <w:tcW w:w="5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010"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continue"/>
            <w:vAlign w:val="center"/>
          </w:tcPr>
          <w:p>
            <w:pPr>
              <w:spacing w:line="300" w:lineRule="exact"/>
              <w:outlineLvl w:val="3"/>
              <w:rPr>
                <w:sz w:val="21"/>
                <w:szCs w:val="21"/>
              </w:rPr>
            </w:pPr>
          </w:p>
        </w:tc>
        <w:tc>
          <w:tcPr>
            <w:tcW w:w="441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促进国际投资与合作，加快融入</w:t>
            </w:r>
            <w:r>
              <w:rPr>
                <w:rFonts w:hint="cs" w:ascii="方正书宋_GBK" w:eastAsia="方正书宋_GBK"/>
                <w:sz w:val="21"/>
                <w:szCs w:val="21"/>
                <w:cs/>
              </w:rPr>
              <w:t>“</w:t>
            </w:r>
            <w:r>
              <w:rPr>
                <w:rFonts w:hint="eastAsia" w:ascii="方正书宋_GBK" w:eastAsia="方正书宋_GBK"/>
                <w:sz w:val="21"/>
                <w:szCs w:val="21"/>
              </w:rPr>
              <w:t>一带一路</w:t>
            </w:r>
            <w:r>
              <w:rPr>
                <w:rFonts w:hint="cs" w:ascii="方正书宋_GBK" w:eastAsia="方正书宋_GBK"/>
                <w:sz w:val="21"/>
                <w:szCs w:val="21"/>
                <w:cs/>
              </w:rPr>
              <w:t>”</w:t>
            </w:r>
            <w:r>
              <w:rPr>
                <w:rFonts w:hint="eastAsia" w:ascii="方正书宋_GBK" w:eastAsia="方正书宋_GBK"/>
                <w:sz w:val="21"/>
                <w:szCs w:val="21"/>
              </w:rPr>
              <w:t>建设，推动我区外贸企业高质量发展，促进外贸持续稳定增长，区财政每年安排专项资金列入年度预算，并制定专项资金管理办法。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332"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37"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5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9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continue"/>
            <w:tcBorders>
              <w:bottom w:val="single" w:color="000000" w:sz="6" w:space="0"/>
            </w:tcBorders>
            <w:vAlign w:val="center"/>
          </w:tcPr>
          <w:p>
            <w:pPr>
              <w:spacing w:line="300" w:lineRule="exact"/>
              <w:outlineLvl w:val="3"/>
              <w:rPr>
                <w:sz w:val="21"/>
                <w:szCs w:val="21"/>
              </w:rPr>
            </w:pPr>
          </w:p>
        </w:tc>
        <w:tc>
          <w:tcPr>
            <w:tcW w:w="1332"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37"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5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9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1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对外贸企业境外参展、外贸企业信保、服务外包离岸执行、设备引进和技术革新进行补贴，加快推动我区外经贸转型升级，推动外贸出口增长，增加企业的销售额，和出口增长率。</w:t>
            </w:r>
          </w:p>
        </w:tc>
      </w:tr>
    </w:tbl>
    <w:tbl>
      <w:tblPr>
        <w:tblStyle w:val="8"/>
        <w:tblpPr w:leftFromText="180" w:rightFromText="180" w:vertAnchor="text" w:horzAnchor="page" w:tblpXSpec="center" w:tblpY="15"/>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25"/>
        <w:gridCol w:w="1126"/>
        <w:gridCol w:w="1818"/>
        <w:gridCol w:w="2221"/>
        <w:gridCol w:w="1682"/>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8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8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94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15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87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5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服务外包离岸执行奖励标准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每个企业离岸执行额达到</w:t>
            </w:r>
            <w:r>
              <w:rPr>
                <w:rFonts w:ascii="方正书宋_GBK" w:eastAsia="方正书宋_GBK"/>
                <w:sz w:val="21"/>
                <w:szCs w:val="21"/>
              </w:rPr>
              <w:t>100</w:t>
            </w:r>
            <w:r>
              <w:rPr>
                <w:rFonts w:hint="eastAsia" w:ascii="方正书宋_GBK" w:eastAsia="方正书宋_GBK"/>
                <w:sz w:val="21"/>
                <w:szCs w:val="21"/>
              </w:rPr>
              <w:t>万元以上的企业补助标准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符合条件申报对象覆盖率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实际补助外贸企业数占达到补助标准的申报的外贸企业总数的比例</w:t>
            </w:r>
          </w:p>
        </w:tc>
        <w:tc>
          <w:tcPr>
            <w:tcW w:w="874"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补贴资金发放及时率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补贴企业下达资金及时性</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外贸企业境外参展补贴标准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境外参展展位费补贴标准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境外参展展位费</w:t>
            </w:r>
            <w:r>
              <w:rPr>
                <w:rFonts w:ascii="方正书宋_GBK" w:eastAsia="方正书宋_GBK"/>
                <w:sz w:val="21"/>
                <w:szCs w:val="21"/>
              </w:rPr>
              <w:t>*30%</w:t>
            </w:r>
            <w:r>
              <w:rPr>
                <w:rFonts w:hint="eastAsia" w:ascii="方正书宋_GBK" w:eastAsia="方正书宋_GBK"/>
                <w:sz w:val="21"/>
                <w:szCs w:val="21"/>
              </w:rPr>
              <w:t>，单个展会最高不超</w:t>
            </w:r>
            <w:r>
              <w:rPr>
                <w:rFonts w:ascii="方正书宋_GBK" w:eastAsia="方正书宋_GBK"/>
                <w:sz w:val="21"/>
                <w:szCs w:val="21"/>
              </w:rPr>
              <w:t>2</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设备引进和技术革新补贴标准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设备引进和技术革新补贴标准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不超过投资额</w:t>
            </w:r>
            <w:r>
              <w:rPr>
                <w:rFonts w:ascii="方正书宋_GBK" w:eastAsia="方正书宋_GBK"/>
                <w:sz w:val="21"/>
                <w:szCs w:val="21"/>
              </w:rPr>
              <w:t>*30%</w:t>
            </w:r>
            <w:r>
              <w:rPr>
                <w:rFonts w:hint="eastAsia" w:ascii="方正书宋_GBK" w:eastAsia="方正书宋_GBK"/>
                <w:sz w:val="21"/>
                <w:szCs w:val="21"/>
              </w:rPr>
              <w:t>，单个企业奖励不超过</w:t>
            </w:r>
            <w:r>
              <w:rPr>
                <w:rFonts w:ascii="方正书宋_GBK" w:eastAsia="方正书宋_GBK"/>
                <w:sz w:val="21"/>
                <w:szCs w:val="21"/>
              </w:rPr>
              <w:t>10</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外贸总额增加率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平均年外贸出口增长率</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海外仓申报企业数量</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外城海外仓申报企业数量</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个</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服务贸易离岸外包企业数量</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服务贸易离岸外包</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w:t>
            </w:r>
            <w:r>
              <w:rPr>
                <w:rFonts w:hint="eastAsia" w:ascii="方正书宋_GBK" w:eastAsia="方正书宋_GBK"/>
                <w:sz w:val="21"/>
                <w:szCs w:val="21"/>
              </w:rPr>
              <w:t>家</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发放企业满意度</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满意和较满意企业个数占被补贴企业个数的比例</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bl>
    <w:p>
      <w:pPr>
        <w:spacing w:line="14" w:lineRule="exact"/>
        <w:jc w:val="center"/>
        <w:rPr>
          <w:rFonts w:hAnsi="宋体"/>
        </w:rPr>
      </w:pPr>
      <w:r>
        <w:rPr>
          <w:rFonts w:ascii="方正书宋_GBK" w:eastAsia="方正书宋_GBK"/>
        </w:rPr>
        <w:t xml:space="preserve"> </w:t>
      </w:r>
    </w:p>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8" w:name="_Toc67986609"/>
      <w:r>
        <w:rPr>
          <w:rFonts w:hint="eastAsia" w:ascii="仿宋" w:hAnsi="仿宋" w:eastAsia="仿宋" w:cs="仿宋"/>
          <w:b/>
          <w:sz w:val="28"/>
        </w:rPr>
        <w:t>8、中关村创新中心租金、运营费绩效目标表</w:t>
      </w:r>
      <w:bookmarkEnd w:id="18"/>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8、中关村创新中心租金、运营费绩效目标表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6"/>
        <w:gridCol w:w="1373"/>
        <w:gridCol w:w="1547"/>
        <w:gridCol w:w="1528"/>
        <w:gridCol w:w="1241"/>
        <w:gridCol w:w="1217"/>
        <w:gridCol w:w="1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1301102150I0MRR9VUTV9</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中关村创新中心租金、运营费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434.00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434.00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区政府与石家庄中关村协同发展有限公司签署了《中关村</w:t>
            </w:r>
            <w:r>
              <w:rPr>
                <w:rFonts w:hint="cs" w:ascii="方正书宋_GBK" w:eastAsia="方正书宋_GBK"/>
                <w:sz w:val="21"/>
                <w:szCs w:val="21"/>
                <w:cs/>
              </w:rPr>
              <w:t>·</w:t>
            </w:r>
            <w:r>
              <w:rPr>
                <w:rFonts w:hint="eastAsia" w:ascii="方正书宋_GBK" w:eastAsia="方正书宋_GBK"/>
                <w:sz w:val="21"/>
                <w:szCs w:val="21"/>
              </w:rPr>
              <w:t>石家庄（鹿泉）协同创新中心合作协议》；</w:t>
            </w: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5</w:t>
            </w:r>
            <w:r>
              <w:rPr>
                <w:rFonts w:hint="eastAsia" w:ascii="方正书宋_GBK" w:eastAsia="方正书宋_GBK"/>
                <w:sz w:val="21"/>
                <w:szCs w:val="21"/>
              </w:rPr>
              <w:t>月又签订了双方进一步合作建设</w:t>
            </w:r>
            <w:r>
              <w:rPr>
                <w:rFonts w:hint="cs" w:ascii="方正书宋_GBK" w:eastAsia="方正书宋_GBK"/>
                <w:sz w:val="21"/>
                <w:szCs w:val="21"/>
                <w:cs/>
              </w:rPr>
              <w:t>“</w:t>
            </w:r>
            <w:r>
              <w:rPr>
                <w:rFonts w:hint="eastAsia" w:ascii="方正书宋_GBK" w:eastAsia="方正书宋_GBK"/>
                <w:sz w:val="21"/>
                <w:szCs w:val="21"/>
              </w:rPr>
              <w:t>一中心三基地</w:t>
            </w:r>
            <w:r>
              <w:rPr>
                <w:rFonts w:hint="cs" w:ascii="方正书宋_GBK" w:eastAsia="方正书宋_GBK"/>
                <w:sz w:val="21"/>
                <w:szCs w:val="21"/>
                <w:cs/>
              </w:rPr>
              <w:t>”</w:t>
            </w:r>
            <w:r>
              <w:rPr>
                <w:rFonts w:hint="eastAsia" w:ascii="方正书宋_GBK" w:eastAsia="方正书宋_GBK"/>
                <w:sz w:val="21"/>
                <w:szCs w:val="21"/>
              </w:rPr>
              <w:t>的《石家庄中关村创新中心项目战略合作框架协议》。按照区政府安排，我局与石家庄中关村协同发展有限公司进行对接，该公司提出需新增</w:t>
            </w:r>
            <w:r>
              <w:rPr>
                <w:rFonts w:ascii="方正书宋_GBK" w:eastAsia="方正书宋_GBK"/>
                <w:sz w:val="21"/>
                <w:szCs w:val="21"/>
              </w:rPr>
              <w:t>8000</w:t>
            </w:r>
            <w:r>
              <w:rPr>
                <w:rFonts w:hint="eastAsia" w:ascii="方正书宋_GBK" w:eastAsia="方正书宋_GBK"/>
                <w:sz w:val="21"/>
                <w:szCs w:val="21"/>
              </w:rPr>
              <w:t>平方米左右的办公场所用于建设项目孵化中心，要求我区提供，为加快北京中关村示范区创新创业资源有序向我区辐射、转移，提出该项目。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租赁</w:t>
            </w:r>
            <w:r>
              <w:rPr>
                <w:rFonts w:ascii="方正书宋_GBK" w:eastAsia="方正书宋_GBK"/>
                <w:sz w:val="21"/>
                <w:szCs w:val="21"/>
              </w:rPr>
              <w:t>7118</w:t>
            </w:r>
            <w:r>
              <w:rPr>
                <w:rFonts w:hint="eastAsia" w:ascii="方正书宋_GBK" w:eastAsia="方正书宋_GBK"/>
                <w:sz w:val="21"/>
                <w:szCs w:val="21"/>
              </w:rPr>
              <w:t>平米办公场所，建设</w:t>
            </w:r>
            <w:r>
              <w:rPr>
                <w:rFonts w:ascii="方正书宋_GBK" w:eastAsia="方正书宋_GBK"/>
                <w:sz w:val="21"/>
                <w:szCs w:val="21"/>
              </w:rPr>
              <w:t>2</w:t>
            </w:r>
            <w:r>
              <w:rPr>
                <w:rFonts w:hint="eastAsia" w:ascii="方正书宋_GBK" w:eastAsia="方正书宋_GBK"/>
                <w:sz w:val="21"/>
                <w:szCs w:val="21"/>
              </w:rPr>
              <w:t>个服务平台，引入在孵企业</w:t>
            </w:r>
            <w:r>
              <w:rPr>
                <w:rFonts w:ascii="方正书宋_GBK" w:eastAsia="方正书宋_GBK"/>
                <w:sz w:val="21"/>
                <w:szCs w:val="21"/>
              </w:rPr>
              <w:t>10</w:t>
            </w:r>
            <w:r>
              <w:rPr>
                <w:rFonts w:hint="eastAsia" w:ascii="方正书宋_GBK" w:eastAsia="方正书宋_GBK"/>
                <w:sz w:val="21"/>
                <w:szCs w:val="21"/>
              </w:rPr>
              <w:t>个以上，入住率达到</w:t>
            </w:r>
            <w:r>
              <w:rPr>
                <w:rFonts w:ascii="方正书宋_GBK" w:eastAsia="方正书宋_GBK"/>
                <w:sz w:val="21"/>
                <w:szCs w:val="21"/>
              </w:rPr>
              <w:t>40%</w:t>
            </w:r>
            <w:r>
              <w:rPr>
                <w:rFonts w:hint="eastAsia" w:ascii="方正书宋_GBK" w:eastAsia="方正书宋_GBK"/>
                <w:sz w:val="21"/>
                <w:szCs w:val="21"/>
              </w:rPr>
              <w:t>。</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入住注册企业第一年达到的税收收入达到</w:t>
            </w:r>
            <w:r>
              <w:rPr>
                <w:rFonts w:ascii="方正书宋_GBK" w:eastAsia="方正书宋_GBK"/>
                <w:sz w:val="21"/>
                <w:szCs w:val="21"/>
              </w:rPr>
              <w:t>1000</w:t>
            </w:r>
            <w:r>
              <w:rPr>
                <w:rFonts w:hint="eastAsia" w:ascii="方正书宋_GBK" w:eastAsia="方正书宋_GBK"/>
                <w:sz w:val="21"/>
                <w:szCs w:val="21"/>
              </w:rPr>
              <w:t>万元，</w:t>
            </w:r>
            <w:r>
              <w:rPr>
                <w:rFonts w:ascii="方正书宋_GBK" w:eastAsia="方正书宋_GBK"/>
                <w:sz w:val="21"/>
                <w:szCs w:val="21"/>
              </w:rPr>
              <w:t>2</w:t>
            </w:r>
            <w:r>
              <w:rPr>
                <w:rFonts w:hint="eastAsia" w:ascii="方正书宋_GBK" w:eastAsia="方正书宋_GBK"/>
                <w:sz w:val="21"/>
                <w:szCs w:val="21"/>
              </w:rPr>
              <w:t>个实体项目落地，加快北京中关村示范区创新创业资源有序向我区辐射、转移。</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08"/>
        <w:gridCol w:w="1159"/>
        <w:gridCol w:w="154"/>
        <w:gridCol w:w="2027"/>
        <w:gridCol w:w="2508"/>
        <w:gridCol w:w="1375"/>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44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2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175" w:type="pct"/>
            <w:gridSpan w:val="2"/>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32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4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促进合作研发项目数量（个）</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促成合作研发项目的数量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中关村租赁面积</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租赁协同创新孵化中心办公场所面积</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7118</w:t>
            </w:r>
            <w:r>
              <w:rPr>
                <w:rFonts w:hint="eastAsia" w:ascii="方正书宋_GBK" w:eastAsia="方正书宋_GBK"/>
                <w:sz w:val="21"/>
                <w:szCs w:val="21"/>
              </w:rPr>
              <w:t>平方米</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中关村在孵企业数量（个）</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招商引进在孵企业数量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家</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引入科技创新及产业服务机构数量</w:t>
            </w:r>
          </w:p>
        </w:tc>
        <w:tc>
          <w:tcPr>
            <w:tcW w:w="1324"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年内引入科技创新及产业服务机构数量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开展大型活动的次数</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创新中心运营费</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700</w:t>
            </w:r>
            <w:r>
              <w:rPr>
                <w:rFonts w:hint="eastAsia" w:ascii="方正书宋_GBK" w:eastAsia="方正书宋_GBK"/>
                <w:sz w:val="21"/>
                <w:szCs w:val="21"/>
              </w:rPr>
              <w:t>万元</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考核合格率（</w:t>
            </w:r>
            <w:r>
              <w:rPr>
                <w:rFonts w:ascii="方正书宋_GBK" w:eastAsia="方正书宋_GBK"/>
                <w:sz w:val="21"/>
                <w:szCs w:val="21"/>
              </w:rPr>
              <w:t>%)</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中关村考核项目合格率</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75%</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租金及运营费拨付时间</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中关村租金及运营费拨付时间</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w:t>
            </w:r>
            <w:r>
              <w:rPr>
                <w:rFonts w:ascii="方正书宋_GBK" w:eastAsia="方正书宋_GBK"/>
                <w:sz w:val="21"/>
                <w:szCs w:val="21"/>
              </w:rPr>
              <w:t>12</w:t>
            </w:r>
            <w:r>
              <w:rPr>
                <w:rFonts w:hint="eastAsia" w:ascii="方正书宋_GBK" w:eastAsia="方正书宋_GBK"/>
                <w:sz w:val="21"/>
                <w:szCs w:val="21"/>
              </w:rPr>
              <w:t>月底</w:t>
            </w:r>
          </w:p>
        </w:tc>
        <w:tc>
          <w:tcPr>
            <w:tcW w:w="845" w:type="pct"/>
            <w:vAlign w:val="center"/>
          </w:tcPr>
          <w:p>
            <w:pPr>
              <w:spacing w:line="300" w:lineRule="exac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年度租赁费</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协同创新孵化中心租赁费用</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6677450.74</w:t>
            </w:r>
            <w:r>
              <w:rPr>
                <w:rFonts w:hint="eastAsia" w:ascii="方正书宋_GBK" w:eastAsia="方正书宋_GBK"/>
                <w:sz w:val="21"/>
                <w:szCs w:val="21"/>
              </w:rPr>
              <w:t>元</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入驻企业税收收入</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入住注册企业第一年达到的税收收入</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w:t>
            </w:r>
            <w:r>
              <w:rPr>
                <w:rFonts w:hint="eastAsia" w:ascii="方正书宋_GBK" w:eastAsia="方正书宋_GBK"/>
                <w:sz w:val="21"/>
                <w:szCs w:val="21"/>
              </w:rPr>
              <w:t>万</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落地实体项目或专业园区数量</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落地实体项目或专业园区数量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724"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10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9" w:name="_Toc67986610"/>
      <w:r>
        <w:rPr>
          <w:rFonts w:hint="eastAsia" w:ascii="仿宋" w:hAnsi="仿宋" w:eastAsia="仿宋" w:cs="仿宋"/>
          <w:b/>
          <w:sz w:val="28"/>
        </w:rPr>
        <w:t>9、开展存量房计税价格认定项目绩效目标表</w:t>
      </w:r>
      <w:bookmarkEnd w:id="19"/>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9、开展存量房计税价格认定项目绩效目标表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2"/>
        <w:gridCol w:w="1384"/>
        <w:gridCol w:w="1558"/>
        <w:gridCol w:w="1524"/>
        <w:gridCol w:w="1236"/>
        <w:gridCol w:w="121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130110216GN0KYCNGPI8Y</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开展存量房计税价格认定项目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实现房地产服务中心的网签合同价与税务局的存量房评估价信息实时共享，从而避免网签合同的价格低于评估价的情况。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通过购买服务的形式聘请社会评估机构对我区存量房进行测算评估，作为我单位市场调查的专家意见，保证工作的顺利进行，减少税收流失。</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886"/>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9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开展存量房后税收减少率</w:t>
            </w:r>
            <w:r>
              <w:rPr>
                <w:rFonts w:ascii="方正书宋_GBK" w:eastAsia="方正书宋_GBK"/>
                <w:sz w:val="21"/>
                <w:szCs w:val="21"/>
              </w:rPr>
              <w:t>(%)</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通过购买聘请社会评估机对我区存量房进行测算评估后税收减少数量</w:t>
            </w:r>
            <w:r>
              <w:rPr>
                <w:rFonts w:ascii="方正书宋_GBK" w:eastAsia="方正书宋_GBK"/>
                <w:sz w:val="21"/>
                <w:szCs w:val="21"/>
              </w:rPr>
              <w:t>/</w:t>
            </w:r>
            <w:r>
              <w:rPr>
                <w:rFonts w:hint="eastAsia" w:ascii="方正书宋_GBK" w:eastAsia="方正书宋_GBK"/>
                <w:sz w:val="21"/>
                <w:szCs w:val="21"/>
              </w:rPr>
              <w:t>测算评估前税收数量</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存量房鉴定结果是否公正</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鉴定结果是否公平公正</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按文件要求进行测算评估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存量房测算评估资金发放率</w:t>
            </w:r>
            <w:r>
              <w:rPr>
                <w:rFonts w:ascii="方正书宋_GBK" w:eastAsia="方正书宋_GBK"/>
                <w:sz w:val="21"/>
                <w:szCs w:val="21"/>
              </w:rPr>
              <w:t>(%)</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资金发放率</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年度存量房测算成本</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存量房测算评估效率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聘请社会评估机构对我区存量房进行测算评估情况</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按合同要求对存量房进行测算</w:t>
            </w:r>
            <w:r>
              <w:rPr>
                <w:rFonts w:ascii="方正书宋_GBK" w:eastAsia="方正书宋_GBK"/>
                <w:sz w:val="21"/>
                <w:szCs w:val="21"/>
              </w:rPr>
              <w:t>,</w:t>
            </w:r>
            <w:r>
              <w:rPr>
                <w:rFonts w:hint="eastAsia" w:ascii="方正书宋_GBK" w:eastAsia="方正书宋_GBK"/>
                <w:sz w:val="21"/>
                <w:szCs w:val="21"/>
              </w:rPr>
              <w:t>有效减少税收</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0" w:name="_Toc67986611"/>
      <w:r>
        <w:rPr>
          <w:rFonts w:hint="eastAsia" w:ascii="仿宋" w:hAnsi="仿宋" w:eastAsia="仿宋" w:cs="仿宋"/>
          <w:b/>
          <w:sz w:val="28"/>
        </w:rPr>
        <w:t>10、粮食储备贷款贴息及保管轮换费绩效目标表</w:t>
      </w:r>
      <w:bookmarkEnd w:id="20"/>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10、粮食储备贷款贴息及保管轮换费绩效目标表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7"/>
        <w:gridCol w:w="1262"/>
        <w:gridCol w:w="1640"/>
        <w:gridCol w:w="1755"/>
        <w:gridCol w:w="1331"/>
        <w:gridCol w:w="1158"/>
        <w:gridCol w:w="1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29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70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508"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130110216SCTUUQ790G5I</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001"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粮食储备贷款贴息及保管轮换费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5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851" w:type="pct"/>
            <w:vAlign w:val="center"/>
          </w:tcPr>
          <w:p>
            <w:pPr>
              <w:spacing w:line="300" w:lineRule="exact"/>
              <w:rPr>
                <w:rFonts w:ascii="方正书宋_GBK" w:eastAsia="方正书宋_GBK"/>
                <w:sz w:val="21"/>
                <w:szCs w:val="21"/>
              </w:rPr>
            </w:pPr>
            <w:r>
              <w:rPr>
                <w:rFonts w:ascii="方正书宋_GBK" w:eastAsia="方正书宋_GBK"/>
                <w:sz w:val="21"/>
                <w:szCs w:val="21"/>
              </w:rPr>
              <w:t>304</w:t>
            </w:r>
            <w:r>
              <w:rPr>
                <w:rFonts w:hint="eastAsia" w:ascii="方正书宋_GBK" w:eastAsia="方正书宋_GBK"/>
                <w:sz w:val="21"/>
                <w:szCs w:val="21"/>
                <w:lang w:eastAsia="zh-CN"/>
              </w:rPr>
              <w:t>.</w:t>
            </w:r>
            <w:r>
              <w:rPr>
                <w:rFonts w:ascii="方正书宋_GBK" w:eastAsia="方正书宋_GBK"/>
                <w:sz w:val="21"/>
                <w:szCs w:val="21"/>
              </w:rPr>
              <w:t>32</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304</w:t>
            </w:r>
            <w:r>
              <w:rPr>
                <w:rFonts w:hint="eastAsia" w:ascii="方正书宋_GBK" w:eastAsia="方正书宋_GBK"/>
                <w:sz w:val="21"/>
                <w:szCs w:val="21"/>
                <w:lang w:eastAsia="zh-CN"/>
              </w:rPr>
              <w:t>.</w:t>
            </w:r>
            <w:r>
              <w:rPr>
                <w:rFonts w:ascii="方正书宋_GBK" w:eastAsia="方正书宋_GBK"/>
                <w:sz w:val="21"/>
                <w:szCs w:val="21"/>
              </w:rPr>
              <w:t>32</w:t>
            </w:r>
          </w:p>
        </w:tc>
        <w:tc>
          <w:tcPr>
            <w:tcW w:w="59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70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continue"/>
            <w:vAlign w:val="center"/>
          </w:tcPr>
          <w:p>
            <w:pPr>
              <w:spacing w:line="300" w:lineRule="exact"/>
              <w:outlineLvl w:val="3"/>
              <w:rPr>
                <w:sz w:val="21"/>
                <w:szCs w:val="21"/>
              </w:rPr>
            </w:pPr>
          </w:p>
        </w:tc>
        <w:tc>
          <w:tcPr>
            <w:tcW w:w="442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促进我区粮食生产发展，保障粮食安全，应对我区粮食突发事件，根据区政府和相关文件要求，我区承储区级小麦储备</w:t>
            </w:r>
            <w:r>
              <w:rPr>
                <w:rFonts w:ascii="方正书宋_GBK" w:eastAsia="方正书宋_GBK"/>
                <w:sz w:val="21"/>
                <w:szCs w:val="21"/>
              </w:rPr>
              <w:t>19500</w:t>
            </w:r>
            <w:r>
              <w:rPr>
                <w:rFonts w:hint="eastAsia" w:ascii="方正书宋_GBK" w:eastAsia="方正书宋_GBK"/>
                <w:sz w:val="21"/>
                <w:szCs w:val="21"/>
              </w:rPr>
              <w:t>吨，玉米</w:t>
            </w:r>
            <w:r>
              <w:rPr>
                <w:rFonts w:ascii="方正书宋_GBK" w:eastAsia="方正书宋_GBK"/>
                <w:sz w:val="21"/>
                <w:szCs w:val="21"/>
              </w:rPr>
              <w:t>1500</w:t>
            </w:r>
            <w:r>
              <w:rPr>
                <w:rFonts w:hint="eastAsia" w:ascii="方正书宋_GBK" w:eastAsia="方正书宋_GBK"/>
                <w:sz w:val="21"/>
                <w:szCs w:val="21"/>
              </w:rPr>
              <w:t>吨，区级应急小麦</w:t>
            </w:r>
            <w:r>
              <w:rPr>
                <w:rFonts w:ascii="方正书宋_GBK" w:eastAsia="方正书宋_GBK"/>
                <w:sz w:val="21"/>
                <w:szCs w:val="21"/>
              </w:rPr>
              <w:t>700</w:t>
            </w:r>
            <w:r>
              <w:rPr>
                <w:rFonts w:hint="eastAsia" w:ascii="方正书宋_GBK" w:eastAsia="方正书宋_GBK"/>
                <w:sz w:val="21"/>
                <w:szCs w:val="21"/>
              </w:rPr>
              <w:t>。</w:t>
            </w:r>
            <w:r>
              <w:rPr>
                <w:rFonts w:ascii="方正书宋_GBK" w:eastAsia="方正书宋_GBK"/>
                <w:sz w:val="21"/>
                <w:szCs w:val="21"/>
              </w:rPr>
              <w:t>19500</w:t>
            </w:r>
            <w:r>
              <w:rPr>
                <w:rFonts w:hint="eastAsia" w:ascii="方正书宋_GBK" w:eastAsia="方正书宋_GBK"/>
                <w:sz w:val="21"/>
                <w:szCs w:val="21"/>
              </w:rPr>
              <w:t>吨区级储备小麦全年保管费补贴、利息补贴共</w:t>
            </w:r>
            <w:r>
              <w:rPr>
                <w:rFonts w:ascii="方正书宋_GBK" w:eastAsia="方正书宋_GBK"/>
                <w:sz w:val="21"/>
                <w:szCs w:val="21"/>
              </w:rPr>
              <w:t>358.67</w:t>
            </w:r>
            <w:r>
              <w:rPr>
                <w:rFonts w:hint="eastAsia" w:ascii="方正书宋_GBK" w:eastAsia="方正书宋_GBK"/>
                <w:sz w:val="21"/>
                <w:szCs w:val="21"/>
              </w:rPr>
              <w:t>万元；</w:t>
            </w:r>
            <w:r>
              <w:rPr>
                <w:rFonts w:ascii="方正书宋_GBK" w:eastAsia="方正书宋_GBK"/>
                <w:sz w:val="21"/>
                <w:szCs w:val="21"/>
              </w:rPr>
              <w:t>1500</w:t>
            </w:r>
            <w:r>
              <w:rPr>
                <w:rFonts w:hint="eastAsia" w:ascii="方正书宋_GBK" w:eastAsia="方正书宋_GBK"/>
                <w:sz w:val="21"/>
                <w:szCs w:val="21"/>
              </w:rPr>
              <w:t>吨区级储备玉米保管费、轮换费补贴共计</w:t>
            </w:r>
            <w:r>
              <w:rPr>
                <w:rFonts w:ascii="方正书宋_GBK" w:eastAsia="方正书宋_GBK"/>
                <w:sz w:val="21"/>
                <w:szCs w:val="21"/>
              </w:rPr>
              <w:t>25.65</w:t>
            </w:r>
            <w:r>
              <w:rPr>
                <w:rFonts w:hint="eastAsia" w:ascii="方正书宋_GBK" w:eastAsia="方正书宋_GBK"/>
                <w:sz w:val="21"/>
                <w:szCs w:val="21"/>
              </w:rPr>
              <w:t>万元；</w:t>
            </w:r>
            <w:r>
              <w:rPr>
                <w:rFonts w:ascii="方正书宋_GBK" w:eastAsia="方正书宋_GBK"/>
                <w:sz w:val="21"/>
                <w:szCs w:val="21"/>
              </w:rPr>
              <w:t>700</w:t>
            </w:r>
            <w:r>
              <w:rPr>
                <w:rFonts w:hint="eastAsia" w:ascii="方正书宋_GBK" w:eastAsia="方正书宋_GBK"/>
                <w:sz w:val="21"/>
                <w:szCs w:val="21"/>
              </w:rPr>
              <w:t>吨区级应急小麦利息保管费及轮换费</w:t>
            </w:r>
            <w:r>
              <w:rPr>
                <w:rFonts w:ascii="方正书宋_GBK" w:eastAsia="方正书宋_GBK"/>
                <w:sz w:val="21"/>
                <w:szCs w:val="21"/>
              </w:rPr>
              <w:t>20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年度预算共计</w:t>
            </w:r>
            <w:r>
              <w:rPr>
                <w:rFonts w:ascii="方正书宋_GBK" w:eastAsia="方正书宋_GBK"/>
                <w:sz w:val="21"/>
                <w:szCs w:val="21"/>
              </w:rPr>
              <w:t>404.32</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50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30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continue"/>
            <w:tcBorders>
              <w:bottom w:val="single" w:color="000000" w:sz="6" w:space="0"/>
            </w:tcBorders>
            <w:vAlign w:val="center"/>
          </w:tcPr>
          <w:p>
            <w:pPr>
              <w:spacing w:line="300" w:lineRule="exact"/>
              <w:outlineLvl w:val="3"/>
              <w:rPr>
                <w:sz w:val="21"/>
                <w:szCs w:val="21"/>
              </w:rPr>
            </w:pPr>
          </w:p>
        </w:tc>
        <w:tc>
          <w:tcPr>
            <w:tcW w:w="150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91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30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2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促进我区粮食生产发展，保障粮食安全</w:t>
            </w:r>
            <w:r>
              <w:rPr>
                <w:rFonts w:ascii="方正书宋_GBK" w:eastAsia="方正书宋_GBK"/>
                <w:sz w:val="21"/>
                <w:szCs w:val="21"/>
              </w:rPr>
              <w:t>2.</w:t>
            </w:r>
            <w:r>
              <w:rPr>
                <w:rFonts w:hint="eastAsia" w:ascii="方正书宋_GBK" w:eastAsia="方正书宋_GBK"/>
                <w:sz w:val="21"/>
                <w:szCs w:val="21"/>
              </w:rPr>
              <w:t>应对我区粮食突发事件</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382"/>
        <w:gridCol w:w="1952"/>
        <w:gridCol w:w="2084"/>
        <w:gridCol w:w="1751"/>
        <w:gridCol w:w="1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71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01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08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全年玉米储备吨数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应急小麦储备数量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全年应急小麦储备吨数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700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新增小麦储备数量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全年新增小麦储备吨数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15000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成品粮储备数量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我区增加成品粮储备数量</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石家庄市及标准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储备粮安全存放完好率（</w:t>
            </w:r>
            <w:r>
              <w:rPr>
                <w:rFonts w:ascii="方正书宋_GBK" w:eastAsia="方正书宋_GBK"/>
                <w:sz w:val="21"/>
                <w:szCs w:val="21"/>
              </w:rPr>
              <w:t>%</w:t>
            </w:r>
            <w:r>
              <w:rPr>
                <w:rFonts w:hint="eastAsia" w:ascii="方正书宋_GBK" w:eastAsia="方正书宋_GBK"/>
                <w:sz w:val="21"/>
                <w:szCs w:val="21"/>
              </w:rPr>
              <w:t>）</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储备粮安全存放率</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储备期限</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成品粮储备期限</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5</w:t>
            </w:r>
            <w:r>
              <w:rPr>
                <w:rFonts w:hint="eastAsia" w:ascii="方正书宋_GBK" w:eastAsia="方正书宋_GBK"/>
                <w:sz w:val="21"/>
                <w:szCs w:val="21"/>
              </w:rPr>
              <w:t>个月</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玉米保管补贴标准</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玉米仓储补贴成本</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86</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小麦保管补贴标准</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小麦补贴成本</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86</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保证粮食突发事件能力</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应对粮食突发事件能力，保持社会粮食价格稳定</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在突发事件内，可以有效保持市场粮食价格</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完成总仓储数量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完成总仓储的数量</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21700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1" w:name="_Toc67986612"/>
      <w:r>
        <w:rPr>
          <w:rFonts w:hint="eastAsia" w:ascii="仿宋" w:hAnsi="仿宋" w:eastAsia="仿宋" w:cs="仿宋"/>
          <w:b/>
          <w:sz w:val="28"/>
        </w:rPr>
        <w:t>11、扩大内需促进消费惠民补贴项目绩效目标表</w:t>
      </w:r>
      <w:bookmarkEnd w:id="21"/>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11、扩大内需促进消费惠民补贴项目绩效目标表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0"/>
        <w:gridCol w:w="1412"/>
        <w:gridCol w:w="1591"/>
        <w:gridCol w:w="1512"/>
        <w:gridCol w:w="1224"/>
        <w:gridCol w:w="1200"/>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1301102175N3DU9ZN1UTT</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扩大内需促进消费惠民补贴项目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拉动鹿泉区消费活力，提振内需，引导消费者到鹿泉区购物、餐饮、游玩。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通过对顾客购买汽车补贴，拉动消费，刺激经济发展。</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通过发放消费券，拉动消费，刺激经济发展。</w:t>
            </w:r>
          </w:p>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通过对购买家电进行补贴，拉动消费，刺激经济发展。</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665"/>
        <w:gridCol w:w="13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86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71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活动项目数量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惠民补贴活动项目数量</w:t>
            </w:r>
          </w:p>
        </w:tc>
        <w:tc>
          <w:tcPr>
            <w:tcW w:w="865"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项</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消费券使用率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活动期间消费券使用数量占抽中消费券总数量比率</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惠民补贴活动时间</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惠民补贴活动时间范围</w:t>
            </w:r>
          </w:p>
        </w:tc>
        <w:tc>
          <w:tcPr>
            <w:tcW w:w="865"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月</w:t>
            </w:r>
            <w:r>
              <w:rPr>
                <w:rFonts w:ascii="方正书宋_GBK" w:eastAsia="方正书宋_GBK"/>
                <w:sz w:val="21"/>
                <w:szCs w:val="21"/>
              </w:rPr>
              <w:t>10</w:t>
            </w:r>
            <w:r>
              <w:rPr>
                <w:rFonts w:hint="eastAsia" w:ascii="方正书宋_GBK" w:eastAsia="方正书宋_GBK"/>
                <w:sz w:val="21"/>
                <w:szCs w:val="21"/>
              </w:rPr>
              <w:t>日</w:t>
            </w:r>
            <w:r>
              <w:rPr>
                <w:rFonts w:ascii="方正书宋_GBK" w:eastAsia="方正书宋_GBK"/>
                <w:sz w:val="21"/>
                <w:szCs w:val="21"/>
              </w:rPr>
              <w:t>-3</w:t>
            </w:r>
            <w:r>
              <w:rPr>
                <w:rFonts w:hint="eastAsia" w:ascii="方正书宋_GBK" w:eastAsia="方正书宋_GBK"/>
                <w:sz w:val="21"/>
                <w:szCs w:val="21"/>
              </w:rPr>
              <w:t>月</w:t>
            </w:r>
            <w:r>
              <w:rPr>
                <w:rFonts w:ascii="方正书宋_GBK" w:eastAsia="方正书宋_GBK"/>
                <w:sz w:val="21"/>
                <w:szCs w:val="21"/>
              </w:rPr>
              <w:t>31</w:t>
            </w:r>
            <w:r>
              <w:rPr>
                <w:rFonts w:hint="eastAsia" w:ascii="方正书宋_GBK" w:eastAsia="方正书宋_GBK"/>
                <w:sz w:val="21"/>
                <w:szCs w:val="21"/>
              </w:rPr>
              <w:t>日</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惠民补贴活动成本</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w:t>
            </w:r>
            <w:r>
              <w:rPr>
                <w:rFonts w:hint="eastAsia" w:ascii="方正书宋_GBK" w:eastAsia="方正书宋_GBK"/>
                <w:sz w:val="21"/>
                <w:szCs w:val="21"/>
              </w:rPr>
              <w:t>万元</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拉动消费的金额</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活动期间拉动消费的金额</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直接拉动消费近</w:t>
            </w:r>
            <w:r>
              <w:rPr>
                <w:rFonts w:ascii="方正书宋_GBK" w:eastAsia="方正书宋_GBK"/>
                <w:sz w:val="21"/>
                <w:szCs w:val="21"/>
              </w:rPr>
              <w:t>1</w:t>
            </w:r>
            <w:r>
              <w:rPr>
                <w:rFonts w:hint="eastAsia" w:ascii="方正书宋_GBK" w:eastAsia="方正书宋_GBK"/>
                <w:sz w:val="21"/>
                <w:szCs w:val="21"/>
              </w:rPr>
              <w:t>亿元，间接拉动消费</w:t>
            </w:r>
            <w:r>
              <w:rPr>
                <w:rFonts w:ascii="方正书宋_GBK" w:eastAsia="方正书宋_GBK"/>
                <w:sz w:val="21"/>
                <w:szCs w:val="21"/>
              </w:rPr>
              <w:t>2-3</w:t>
            </w:r>
            <w:r>
              <w:rPr>
                <w:rFonts w:hint="eastAsia" w:ascii="方正书宋_GBK" w:eastAsia="方正书宋_GBK"/>
                <w:sz w:val="21"/>
                <w:szCs w:val="21"/>
              </w:rPr>
              <w:t>亿元</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r>
              <w:rPr>
                <w:rFonts w:ascii="方正书宋_GBK" w:eastAsia="方正书宋_GBK"/>
                <w:sz w:val="21"/>
                <w:szCs w:val="21"/>
              </w:rPr>
              <w:t>2-3</w:t>
            </w:r>
            <w:r>
              <w:rPr>
                <w:rFonts w:hint="eastAsia" w:ascii="方正书宋_GBK" w:eastAsia="方正书宋_GBK"/>
                <w:sz w:val="21"/>
                <w:szCs w:val="21"/>
              </w:rPr>
              <w:t>个百分点</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群众对惠民补贴的整体满意度</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r>
              <w:rPr>
                <w:rFonts w:hint="eastAsia" w:ascii="方正书宋_GBK" w:eastAsia="方正书宋_GBK"/>
                <w:sz w:val="21"/>
                <w:szCs w:val="21"/>
              </w:rPr>
              <w:t>百分比</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2" w:name="_Toc67986613"/>
      <w:r>
        <w:rPr>
          <w:rFonts w:hint="eastAsia" w:ascii="仿宋" w:hAnsi="仿宋" w:eastAsia="仿宋" w:cs="仿宋"/>
          <w:b/>
          <w:sz w:val="28"/>
        </w:rPr>
        <w:t>12、储备库整体置换外迁费用绩效目标表</w:t>
      </w:r>
      <w:bookmarkEnd w:id="22"/>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12、储备库整体置换外迁费用绩效目标表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7"/>
        <w:gridCol w:w="1347"/>
        <w:gridCol w:w="1517"/>
        <w:gridCol w:w="1540"/>
        <w:gridCol w:w="1252"/>
        <w:gridCol w:w="1228"/>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13011021877T01SBE6PXQ</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储备库整体置换外迁费用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170.00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170.00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储备库整体置换外迁，现工程已完工，根据审计报告，该项目总投资</w:t>
            </w:r>
            <w:r>
              <w:rPr>
                <w:rFonts w:ascii="方正书宋_GBK" w:eastAsia="方正书宋_GBK"/>
                <w:sz w:val="21"/>
                <w:szCs w:val="21"/>
              </w:rPr>
              <w:t>14481.4064</w:t>
            </w:r>
            <w:r>
              <w:rPr>
                <w:rFonts w:hint="eastAsia" w:ascii="方正书宋_GBK" w:eastAsia="方正书宋_GBK"/>
                <w:sz w:val="21"/>
                <w:szCs w:val="21"/>
              </w:rPr>
              <w:t>万元，根据财力，财政已拨付</w:t>
            </w:r>
            <w:r>
              <w:rPr>
                <w:rFonts w:ascii="方正书宋_GBK" w:eastAsia="方正书宋_GBK"/>
                <w:sz w:val="21"/>
                <w:szCs w:val="21"/>
              </w:rPr>
              <w:t>14192</w:t>
            </w:r>
            <w:r>
              <w:rPr>
                <w:rFonts w:hint="eastAsia" w:ascii="方正书宋_GBK" w:eastAsia="方正书宋_GBK"/>
                <w:sz w:val="21"/>
                <w:szCs w:val="21"/>
              </w:rPr>
              <w:t>万元，尚欠</w:t>
            </w:r>
            <w:r>
              <w:rPr>
                <w:rFonts w:ascii="方正书宋_GBK" w:eastAsia="方正书宋_GBK"/>
                <w:sz w:val="21"/>
                <w:szCs w:val="21"/>
              </w:rPr>
              <w:t>269.4064</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100.41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石家庄市鹿泉区省级粮食储备库建成后面积为</w:t>
            </w:r>
            <w:r>
              <w:rPr>
                <w:rFonts w:ascii="方正书宋_GBK" w:eastAsia="方正书宋_GBK"/>
                <w:sz w:val="21"/>
                <w:szCs w:val="21"/>
              </w:rPr>
              <w:t>82299</w:t>
            </w:r>
            <w:r>
              <w:rPr>
                <w:rFonts w:hint="eastAsia" w:ascii="方正书宋_GBK" w:eastAsia="方正书宋_GBK"/>
                <w:sz w:val="21"/>
                <w:szCs w:val="21"/>
              </w:rPr>
              <w:t>平方米，可以容纳小麦和玉米存储</w:t>
            </w:r>
            <w:r>
              <w:rPr>
                <w:rFonts w:ascii="方正书宋_GBK" w:eastAsia="方正书宋_GBK"/>
                <w:sz w:val="21"/>
                <w:szCs w:val="21"/>
              </w:rPr>
              <w:t>10000</w:t>
            </w:r>
            <w:r>
              <w:rPr>
                <w:rFonts w:hint="eastAsia" w:ascii="方正书宋_GBK" w:eastAsia="方正书宋_GBK"/>
                <w:sz w:val="21"/>
                <w:szCs w:val="21"/>
              </w:rPr>
              <w:t>吨以上。</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达到国家粮食仓储设施建设标准，提升粮食存储能力，可以保障我区应对粮食突发情况，同时还可以改善我区仓容紧张和仓储水平落后的局面。</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仓储面积</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粮食仓储面积</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82299</w:t>
            </w:r>
            <w:r>
              <w:rPr>
                <w:rFonts w:hint="eastAsia" w:ascii="方正书宋_GBK" w:eastAsia="方正书宋_GBK"/>
                <w:sz w:val="21"/>
                <w:szCs w:val="21"/>
              </w:rPr>
              <w:t>平方米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储备库建设标准</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否达到在国家粮食仓储设施建设标准</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达到</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项目资金支付时间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项目资金支付时间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补助资金金额</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本次补助储备库金额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1700000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仓储容纳量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容纳小麦玉米的总量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rPr>
              <w:t>万吨</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提升粮食存储能力</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增加的粮食储备量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w:t>
            </w:r>
            <w:r>
              <w:rPr>
                <w:rFonts w:hint="eastAsia" w:ascii="方正书宋_GBK" w:eastAsia="方正书宋_GBK"/>
                <w:sz w:val="21"/>
                <w:szCs w:val="21"/>
              </w:rPr>
              <w:t>万吨</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储备库对我局补贴储备库搬迁经费的满意度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3" w:name="_Toc67986614"/>
      <w:r>
        <w:rPr>
          <w:rFonts w:hint="eastAsia" w:ascii="仿宋" w:hAnsi="仿宋" w:eastAsia="仿宋" w:cs="仿宋"/>
          <w:b/>
          <w:sz w:val="28"/>
        </w:rPr>
        <w:t>13、粮食流通监督检查费绩效目标表</w:t>
      </w:r>
      <w:bookmarkEnd w:id="23"/>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13、粮食流通监督检查费绩效目标表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3"/>
        <w:gridCol w:w="1403"/>
        <w:gridCol w:w="1581"/>
        <w:gridCol w:w="1516"/>
        <w:gridCol w:w="1228"/>
        <w:gridCol w:w="1204"/>
        <w:gridCol w:w="16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13011021BADPS02P2O4ZN</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粮食流通监督检查费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为维护粮食流通秩序，确保粮食流通监督检查工作顺利开展，需要粮食监督检查经费</w:t>
            </w:r>
            <w:r>
              <w:rPr>
                <w:rFonts w:ascii="方正书宋_GBK" w:eastAsia="方正书宋_GBK"/>
                <w:sz w:val="21"/>
                <w:szCs w:val="21"/>
              </w:rPr>
              <w:t>10</w:t>
            </w:r>
            <w:r>
              <w:rPr>
                <w:rFonts w:hint="eastAsia" w:ascii="方正书宋_GBK" w:eastAsia="方正书宋_GBK"/>
                <w:sz w:val="21"/>
                <w:szCs w:val="21"/>
              </w:rPr>
              <w:t>万元。其中，监督检查车辆运行费用、印刷资料及调查费</w:t>
            </w:r>
            <w:r>
              <w:rPr>
                <w:rFonts w:ascii="方正书宋_GBK" w:eastAsia="方正书宋_GBK"/>
                <w:sz w:val="21"/>
                <w:szCs w:val="21"/>
              </w:rPr>
              <w:t>55000</w:t>
            </w:r>
            <w:r>
              <w:rPr>
                <w:rFonts w:hint="eastAsia" w:ascii="方正书宋_GBK" w:eastAsia="方正书宋_GBK"/>
                <w:sz w:val="21"/>
                <w:szCs w:val="21"/>
              </w:rPr>
              <w:t>元；社会固定调查户</w:t>
            </w:r>
            <w:r>
              <w:rPr>
                <w:rFonts w:ascii="方正书宋_GBK" w:eastAsia="方正书宋_GBK"/>
                <w:sz w:val="21"/>
                <w:szCs w:val="21"/>
              </w:rPr>
              <w:t>120</w:t>
            </w:r>
            <w:r>
              <w:rPr>
                <w:rFonts w:hint="eastAsia" w:ascii="方正书宋_GBK" w:eastAsia="方正书宋_GBK"/>
                <w:sz w:val="21"/>
                <w:szCs w:val="21"/>
              </w:rPr>
              <w:t>户，每月每户</w:t>
            </w:r>
            <w:r>
              <w:rPr>
                <w:rFonts w:ascii="方正书宋_GBK" w:eastAsia="方正书宋_GBK"/>
                <w:sz w:val="21"/>
                <w:szCs w:val="21"/>
              </w:rPr>
              <w:t>10</w:t>
            </w:r>
            <w:r>
              <w:rPr>
                <w:rFonts w:hint="eastAsia" w:ascii="方正书宋_GBK" w:eastAsia="方正书宋_GBK"/>
                <w:sz w:val="21"/>
                <w:szCs w:val="21"/>
              </w:rPr>
              <w:t>元，每年</w:t>
            </w:r>
            <w:r>
              <w:rPr>
                <w:rFonts w:ascii="方正书宋_GBK" w:eastAsia="方正书宋_GBK"/>
                <w:sz w:val="21"/>
                <w:szCs w:val="21"/>
              </w:rPr>
              <w:t>14400</w:t>
            </w:r>
            <w:r>
              <w:rPr>
                <w:rFonts w:hint="eastAsia" w:ascii="方正书宋_GBK" w:eastAsia="方正书宋_GBK"/>
                <w:sz w:val="21"/>
                <w:szCs w:val="21"/>
              </w:rPr>
              <w:t>元；粮食品质、质量、卫生情况抽样调查以及监督检查业务费</w:t>
            </w:r>
            <w:r>
              <w:rPr>
                <w:rFonts w:ascii="方正书宋_GBK" w:eastAsia="方正书宋_GBK"/>
                <w:sz w:val="21"/>
                <w:szCs w:val="21"/>
              </w:rPr>
              <w:t>30600</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维护粮食流通秩序，确保粮食监督检查工作顺利进行。</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社会固定调查户数量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粮食监督检查固定调查住户数量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120</w:t>
            </w:r>
            <w:r>
              <w:rPr>
                <w:rFonts w:hint="eastAsia" w:ascii="方正书宋_GBK" w:eastAsia="方正书宋_GBK"/>
                <w:sz w:val="21"/>
                <w:szCs w:val="21"/>
              </w:rPr>
              <w:t>户</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资料数量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印刷资料份数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份数</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执法行动数量（次）</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执法行动的次数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固定调查完成率</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监督检查、调查事件完成率</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社会固定调查每户每月金额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监督检查率</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对各级储备粮监督检查次数占应查案件量的比率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维护粮食流通秩序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维护粮食流通秩序，确保粮食品质质量合格率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受益群体满意度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在调查中满意和较满意的人数占调查总人数的比率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4" w:name="_Toc67986615"/>
      <w:r>
        <w:rPr>
          <w:rFonts w:hint="eastAsia" w:ascii="仿宋" w:hAnsi="仿宋" w:eastAsia="仿宋" w:cs="仿宋"/>
          <w:b/>
          <w:sz w:val="28"/>
        </w:rPr>
        <w:t>14、鹿泉区省级粮食储备库防空地下室异地建设费绩效目标表</w:t>
      </w:r>
      <w:bookmarkEnd w:id="24"/>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14、鹿泉区省级粮食储备库防空地下室异地建设费绩效目标表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1"/>
        <w:gridCol w:w="1385"/>
        <w:gridCol w:w="1559"/>
        <w:gridCol w:w="1524"/>
        <w:gridCol w:w="1236"/>
        <w:gridCol w:w="1212"/>
        <w:gridCol w:w="16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13011021D6SYQ6GCYTLV4</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鹿泉区省级粮食储备库防空地下室异地建设费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lang w:eastAsia="zh-CN"/>
              </w:rPr>
              <w:t>.</w:t>
            </w:r>
            <w:r>
              <w:rPr>
                <w:rFonts w:ascii="方正书宋_GBK" w:eastAsia="方正书宋_GBK"/>
                <w:sz w:val="21"/>
                <w:szCs w:val="21"/>
              </w:rPr>
              <w:t>27</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lang w:eastAsia="zh-CN"/>
              </w:rPr>
              <w:t>.</w:t>
            </w:r>
            <w:r>
              <w:rPr>
                <w:rFonts w:ascii="方正书宋_GBK" w:eastAsia="方正书宋_GBK"/>
                <w:sz w:val="21"/>
                <w:szCs w:val="21"/>
              </w:rPr>
              <w:t>27</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用于防空地下室异地建筑费。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顺利进行工程竣工备案和办理不动产登记。</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pPr w:leftFromText="180" w:rightFromText="180" w:vertAnchor="text" w:horzAnchor="page" w:tblpXSpec="center" w:tblpY="21"/>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建设地下室</w:t>
            </w:r>
            <w:r>
              <w:rPr>
                <w:rFonts w:ascii="方正书宋_GBK" w:eastAsia="方正书宋_GBK"/>
                <w:sz w:val="21"/>
                <w:szCs w:val="21"/>
              </w:rPr>
              <w:t>1</w:t>
            </w:r>
            <w:r>
              <w:rPr>
                <w:rFonts w:hint="eastAsia" w:ascii="方正书宋_GBK" w:eastAsia="方正书宋_GBK"/>
                <w:sz w:val="21"/>
                <w:szCs w:val="21"/>
              </w:rPr>
              <w:t>栋</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栋</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异地建设防空地下室完成率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防空地下室完成情况</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防空地下室验收合格率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已验收合格的工程占总工程的比例</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防空地下室竣工时间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项目竣工时间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2018</w:t>
            </w:r>
            <w:r>
              <w:rPr>
                <w:rFonts w:hint="eastAsia" w:ascii="方正书宋_GBK" w:eastAsia="方正书宋_GBK"/>
                <w:sz w:val="21"/>
                <w:szCs w:val="21"/>
              </w:rPr>
              <w:t>年</w:t>
            </w:r>
            <w:r>
              <w:rPr>
                <w:rFonts w:ascii="方正书宋_GBK" w:eastAsia="方正书宋_GBK"/>
                <w:sz w:val="21"/>
                <w:szCs w:val="21"/>
              </w:rPr>
              <w:t>11</w:t>
            </w:r>
            <w:r>
              <w:rPr>
                <w:rFonts w:hint="eastAsia" w:ascii="方正书宋_GBK" w:eastAsia="方正书宋_GBK"/>
                <w:sz w:val="21"/>
                <w:szCs w:val="21"/>
              </w:rPr>
              <w:t>月份</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项目建设经费成本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防控地下室异地建设费尾款</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11.27</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资金到位率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整体资金到位率</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已经验收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5" w:name="_Toc67986616"/>
      <w:r>
        <w:rPr>
          <w:rFonts w:hint="eastAsia" w:ascii="仿宋" w:hAnsi="仿宋" w:eastAsia="仿宋" w:cs="仿宋"/>
          <w:b/>
          <w:sz w:val="28"/>
        </w:rPr>
        <w:t>15、2021年重点研发专项项目资金绩效目标表</w:t>
      </w:r>
      <w:bookmarkEnd w:id="25"/>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15、2021年重点研发专项项目资金绩效目标表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1"/>
        <w:gridCol w:w="1457"/>
        <w:gridCol w:w="1641"/>
        <w:gridCol w:w="1493"/>
        <w:gridCol w:w="1205"/>
        <w:gridCol w:w="1181"/>
        <w:gridCol w:w="16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13011021H8NGOXF96GSQO</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年重点研发专项项目资金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ascii="方正书宋_GBK" w:eastAsia="方正书宋_GBK"/>
                <w:sz w:val="21"/>
                <w:szCs w:val="21"/>
              </w:rPr>
              <w:t>52</w:t>
            </w:r>
            <w:r>
              <w:rPr>
                <w:rFonts w:hint="eastAsia" w:ascii="方正书宋_GBK" w:eastAsia="方正书宋_GBK"/>
                <w:sz w:val="21"/>
                <w:szCs w:val="21"/>
                <w:lang w:eastAsia="zh-CN"/>
              </w:rPr>
              <w:t>.00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52.00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专项用于河北翔拓航空科技有限公司的基于视觉导航的无人机电力放线系统项目。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企业年营业收入达到</w:t>
            </w:r>
            <w:r>
              <w:rPr>
                <w:rFonts w:ascii="方正书宋_GBK" w:eastAsia="方正书宋_GBK"/>
                <w:sz w:val="21"/>
                <w:szCs w:val="21"/>
              </w:rPr>
              <w:t>1200</w:t>
            </w:r>
            <w:r>
              <w:rPr>
                <w:rFonts w:hint="eastAsia" w:ascii="方正书宋_GBK" w:eastAsia="方正书宋_GBK"/>
                <w:sz w:val="21"/>
                <w:szCs w:val="21"/>
              </w:rPr>
              <w:t>万元</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新增知识产权</w:t>
            </w:r>
            <w:r>
              <w:rPr>
                <w:rFonts w:ascii="方正书宋_GBK" w:eastAsia="方正书宋_GBK"/>
                <w:sz w:val="21"/>
                <w:szCs w:val="21"/>
              </w:rPr>
              <w:t>3</w:t>
            </w:r>
            <w:r>
              <w:rPr>
                <w:rFonts w:hint="eastAsia" w:ascii="方正书宋_GBK" w:eastAsia="方正书宋_GBK"/>
                <w:sz w:val="21"/>
                <w:szCs w:val="21"/>
              </w:rPr>
              <w:t>项</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支持项目数量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获得资金支持的项目数量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新增知识产权数量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资金支持项目获得新增知识产权数量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项目技术水平</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资金支持项目达到的技术水平</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达到国内先进及其以上水平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根据对项目申报的要求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项目实施时间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资金支持项目当年开始实施的时间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研发项目成本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项目产生利润和研发经费支出的比例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拉动投资</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资金支持项目拉动投资效果</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企业年营业额</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资金支持项目后年营业收入金额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1200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新增就业人数</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资金支持项目新增就业人数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受奖励企业满意度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6" w:name="_Toc67986617"/>
      <w:r>
        <w:rPr>
          <w:rFonts w:hint="eastAsia" w:ascii="仿宋" w:hAnsi="仿宋" w:eastAsia="仿宋" w:cs="仿宋"/>
          <w:b/>
          <w:sz w:val="28"/>
        </w:rPr>
        <w:t>16、智慧城市中心装修费绩效目标表</w:t>
      </w:r>
      <w:bookmarkEnd w:id="26"/>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16、智慧城市中心装修费绩效目标表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9"/>
        <w:gridCol w:w="1401"/>
        <w:gridCol w:w="1580"/>
        <w:gridCol w:w="1749"/>
        <w:gridCol w:w="989"/>
        <w:gridCol w:w="1214"/>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5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84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54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13011021HFQHAZEEG6KY9</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199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智慧城市中心装修费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72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821" w:type="pct"/>
            <w:vAlign w:val="center"/>
          </w:tcPr>
          <w:p>
            <w:pPr>
              <w:spacing w:line="300" w:lineRule="exact"/>
              <w:rPr>
                <w:rFonts w:ascii="方正书宋_GBK" w:eastAsia="方正书宋_GBK"/>
                <w:sz w:val="21"/>
                <w:szCs w:val="21"/>
              </w:rPr>
            </w:pPr>
            <w:r>
              <w:rPr>
                <w:rFonts w:ascii="方正书宋_GBK" w:eastAsia="方正书宋_GBK"/>
                <w:sz w:val="21"/>
                <w:szCs w:val="21"/>
              </w:rPr>
              <w:t>31.00</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514" w:type="pct"/>
            <w:vAlign w:val="center"/>
          </w:tcPr>
          <w:p>
            <w:pPr>
              <w:spacing w:line="300" w:lineRule="exact"/>
              <w:rPr>
                <w:rFonts w:ascii="方正书宋_GBK" w:eastAsia="方正书宋_GBK"/>
                <w:sz w:val="21"/>
                <w:szCs w:val="21"/>
              </w:rPr>
            </w:pPr>
            <w:r>
              <w:rPr>
                <w:rFonts w:ascii="方正书宋_GBK" w:eastAsia="方正书宋_GBK"/>
                <w:sz w:val="21"/>
                <w:szCs w:val="21"/>
              </w:rPr>
              <w:t>31.00</w:t>
            </w:r>
          </w:p>
        </w:tc>
        <w:tc>
          <w:tcPr>
            <w:tcW w:w="63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84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continue"/>
            <w:vAlign w:val="center"/>
          </w:tcPr>
          <w:p>
            <w:pPr>
              <w:spacing w:line="300" w:lineRule="exact"/>
              <w:outlineLvl w:val="3"/>
              <w:rPr>
                <w:sz w:val="21"/>
                <w:szCs w:val="21"/>
              </w:rPr>
            </w:pPr>
          </w:p>
        </w:tc>
        <w:tc>
          <w:tcPr>
            <w:tcW w:w="4453"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11</w:t>
            </w:r>
            <w:r>
              <w:rPr>
                <w:rFonts w:hint="eastAsia" w:ascii="方正书宋_GBK" w:eastAsia="方正书宋_GBK"/>
                <w:sz w:val="21"/>
                <w:szCs w:val="21"/>
              </w:rPr>
              <w:t>月，经石家庄市编委会审批同意，我区成立石家庄市鹿泉区大数据中心，编制</w:t>
            </w:r>
            <w:r>
              <w:rPr>
                <w:rFonts w:ascii="方正书宋_GBK" w:eastAsia="方正书宋_GBK"/>
                <w:sz w:val="21"/>
                <w:szCs w:val="21"/>
              </w:rPr>
              <w:t>8</w:t>
            </w:r>
            <w:r>
              <w:rPr>
                <w:rFonts w:hint="eastAsia" w:ascii="方正书宋_GBK" w:eastAsia="方正书宋_GBK"/>
                <w:sz w:val="21"/>
                <w:szCs w:val="21"/>
              </w:rPr>
              <w:t>人，经区领导同意，数据中心办公地点设在智慧城市中心，大数据中心成立后将承接智慧城市指挥部所有工作，经现场查看需对智慧城市中心二楼装修，装修面积约</w:t>
            </w:r>
            <w:r>
              <w:rPr>
                <w:rFonts w:ascii="方正书宋_GBK" w:eastAsia="方正书宋_GBK"/>
                <w:sz w:val="21"/>
                <w:szCs w:val="21"/>
              </w:rPr>
              <w:t>2000</w:t>
            </w:r>
            <w:r>
              <w:rPr>
                <w:rFonts w:hint="eastAsia" w:ascii="方正书宋_GBK" w:eastAsia="方正书宋_GBK"/>
                <w:sz w:val="21"/>
                <w:szCs w:val="21"/>
              </w:rPr>
              <w:t>平米，中标价</w:t>
            </w:r>
            <w:r>
              <w:rPr>
                <w:rFonts w:ascii="方正书宋_GBK" w:eastAsia="方正书宋_GBK"/>
                <w:sz w:val="21"/>
                <w:szCs w:val="21"/>
              </w:rPr>
              <w:t>80.99751</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50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31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54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0"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514"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7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continue"/>
            <w:tcBorders>
              <w:bottom w:val="single" w:color="000000" w:sz="6" w:space="0"/>
            </w:tcBorders>
            <w:vAlign w:val="center"/>
          </w:tcPr>
          <w:p>
            <w:pPr>
              <w:spacing w:line="300" w:lineRule="exact"/>
              <w:outlineLvl w:val="3"/>
              <w:rPr>
                <w:sz w:val="21"/>
                <w:szCs w:val="21"/>
              </w:rPr>
            </w:pPr>
          </w:p>
        </w:tc>
        <w:tc>
          <w:tcPr>
            <w:tcW w:w="1549"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910"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514"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479"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5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严格按照党政办公用房要求，对智慧城市中心一层二层进行装修分割，满足办公条件即可。</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618"/>
        <w:gridCol w:w="3009"/>
        <w:gridCol w:w="1451"/>
        <w:gridCol w:w="1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4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75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需要装修的吊顶面积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本次智慧城市需要装修的吊顶面积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需要装修的地面面积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本次智慧城市需要装修的地板砖铺装面积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需要粉刷的墙面面积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本次智慧城市需要粉刷和贴砖面积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铝塑板包柱数量</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本次智慧城市需要的铝塑板包柱数量</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20</w:t>
            </w:r>
            <w:r>
              <w:rPr>
                <w:rFonts w:hint="eastAsia" w:ascii="方正书宋_GBK" w:eastAsia="方正书宋_GBK"/>
                <w:sz w:val="21"/>
                <w:szCs w:val="21"/>
              </w:rPr>
              <w:t>根</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装修验收合格率</w:t>
            </w:r>
            <w:r>
              <w:rPr>
                <w:rFonts w:ascii="方正书宋_GBK" w:eastAsia="方正书宋_GBK"/>
                <w:sz w:val="21"/>
                <w:szCs w:val="21"/>
              </w:rPr>
              <w:t>(%)</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验收合格的工程量占装修工程总量的比例</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智慧城市装修花费时间</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本次装修完工所使用的时间</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签订合同后三个月</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人均实际使用面积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按照党政办公用房标准要求，对智慧城市中心办公区进行装修分割。</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智慧城市装修的办公面积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智慧城市中心一层二层办公装修面积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2000</w:t>
            </w:r>
            <w:r>
              <w:rPr>
                <w:rFonts w:hint="eastAsia" w:ascii="方正书宋_GBK" w:eastAsia="方正书宋_GBK"/>
                <w:sz w:val="21"/>
                <w:szCs w:val="21"/>
              </w:rPr>
              <w:t>平米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使用人员满意度</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7" w:name="_Toc67986618"/>
      <w:r>
        <w:rPr>
          <w:rFonts w:hint="eastAsia" w:ascii="仿宋" w:hAnsi="仿宋" w:eastAsia="仿宋" w:cs="仿宋"/>
          <w:b/>
          <w:sz w:val="28"/>
        </w:rPr>
        <w:t>17、</w:t>
      </w:r>
      <w:r>
        <w:rPr>
          <w:rFonts w:hint="eastAsia" w:ascii="仿宋" w:hAnsi="仿宋" w:eastAsia="仿宋" w:cs="仿宋"/>
          <w:b/>
          <w:sz w:val="28"/>
          <w:lang w:eastAsia="zh-CN"/>
        </w:rPr>
        <w:t>“十四五”规划</w:t>
      </w:r>
      <w:r>
        <w:rPr>
          <w:rFonts w:hint="eastAsia" w:ascii="仿宋" w:hAnsi="仿宋" w:eastAsia="仿宋" w:cs="仿宋"/>
          <w:b/>
          <w:sz w:val="28"/>
        </w:rPr>
        <w:t>编制费用绩效目标表</w:t>
      </w:r>
      <w:bookmarkEnd w:id="27"/>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17、十四五规划编制费用绩效目标表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9"/>
        <w:gridCol w:w="1321"/>
        <w:gridCol w:w="1487"/>
        <w:gridCol w:w="1551"/>
        <w:gridCol w:w="1263"/>
        <w:gridCol w:w="1239"/>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13011021ITVTFVFV4PFGX</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30.00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30.00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聘请第三方编制鹿泉区国民经济和社会发展第十四个五年规划，</w:t>
            </w:r>
            <w:r>
              <w:rPr>
                <w:rFonts w:ascii="方正书宋_GBK" w:eastAsia="方正书宋_GBK"/>
                <w:sz w:val="21"/>
                <w:szCs w:val="21"/>
              </w:rPr>
              <w:t>2020</w:t>
            </w:r>
            <w:r>
              <w:rPr>
                <w:rFonts w:hint="eastAsia" w:ascii="方正书宋_GBK" w:eastAsia="方正书宋_GBK"/>
                <w:sz w:val="21"/>
                <w:szCs w:val="21"/>
              </w:rPr>
              <w:t>年安排</w:t>
            </w:r>
            <w:r>
              <w:rPr>
                <w:rFonts w:ascii="方正书宋_GBK" w:eastAsia="方正书宋_GBK"/>
                <w:sz w:val="21"/>
                <w:szCs w:val="21"/>
              </w:rPr>
              <w:t>30</w:t>
            </w:r>
            <w:r>
              <w:rPr>
                <w:rFonts w:hint="eastAsia" w:ascii="方正书宋_GBK" w:eastAsia="方正书宋_GBK"/>
                <w:sz w:val="21"/>
                <w:szCs w:val="21"/>
              </w:rPr>
              <w:t>万元用于招标。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编制我区国民经济和社会发展第十四个</w:t>
            </w:r>
            <w:r>
              <w:rPr>
                <w:rFonts w:ascii="方正书宋_GBK" w:eastAsia="方正书宋_GBK"/>
                <w:sz w:val="21"/>
                <w:szCs w:val="21"/>
              </w:rPr>
              <w:t>5</w:t>
            </w:r>
            <w:r>
              <w:rPr>
                <w:rFonts w:hint="eastAsia" w:ascii="方正书宋_GBK" w:eastAsia="方正书宋_GBK"/>
                <w:sz w:val="21"/>
                <w:szCs w:val="21"/>
              </w:rPr>
              <w:t>年规划纲要，回顾我区国民经济和社会发展取得的成效，提出以后五年区国民经济和社会发展宏观方向。</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3"/>
        <w:gridCol w:w="2956"/>
        <w:gridCol w:w="858"/>
        <w:gridCol w:w="21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44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1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编制规划数量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w:t>
            </w:r>
            <w:r>
              <w:rPr>
                <w:rFonts w:hint="eastAsia" w:ascii="方正书宋_GBK" w:eastAsia="方正书宋_GBK"/>
                <w:sz w:val="21"/>
                <w:szCs w:val="21"/>
                <w:lang w:eastAsia="zh-CN"/>
              </w:rPr>
              <w:t>“十四五”规划</w:t>
            </w:r>
            <w:r>
              <w:rPr>
                <w:rFonts w:hint="eastAsia" w:ascii="方正书宋_GBK" w:eastAsia="方正书宋_GBK"/>
                <w:sz w:val="21"/>
                <w:szCs w:val="21"/>
              </w:rPr>
              <w:t>》编制数量</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套</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纲要编制完成质量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经人代会审议通过</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纲要编制完成时间</w:t>
            </w:r>
          </w:p>
        </w:tc>
        <w:tc>
          <w:tcPr>
            <w:tcW w:w="1536"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w:t>
            </w:r>
            <w:r>
              <w:rPr>
                <w:rFonts w:ascii="方正书宋_GBK" w:eastAsia="方正书宋_GBK"/>
                <w:sz w:val="21"/>
                <w:szCs w:val="21"/>
              </w:rPr>
              <w:t>1-6</w:t>
            </w:r>
            <w:r>
              <w:rPr>
                <w:rFonts w:hint="eastAsia" w:ascii="方正书宋_GBK" w:eastAsia="方正书宋_GBK"/>
                <w:sz w:val="21"/>
                <w:szCs w:val="21"/>
              </w:rPr>
              <w:t>月份开展前期研究，</w:t>
            </w:r>
            <w:r>
              <w:rPr>
                <w:rFonts w:ascii="方正书宋_GBK" w:eastAsia="方正书宋_GBK"/>
                <w:sz w:val="21"/>
                <w:szCs w:val="21"/>
              </w:rPr>
              <w:t>7-12</w:t>
            </w:r>
            <w:r>
              <w:rPr>
                <w:rFonts w:hint="eastAsia" w:ascii="方正书宋_GBK" w:eastAsia="方正书宋_GBK"/>
                <w:sz w:val="21"/>
                <w:szCs w:val="21"/>
              </w:rPr>
              <w:t>月份完成初稿，</w:t>
            </w:r>
            <w:r>
              <w:rPr>
                <w:rFonts w:ascii="方正书宋_GBK" w:eastAsia="方正书宋_GBK"/>
                <w:sz w:val="21"/>
                <w:szCs w:val="21"/>
              </w:rPr>
              <w:t>2021</w:t>
            </w:r>
            <w:r>
              <w:rPr>
                <w:rFonts w:hint="eastAsia" w:ascii="方正书宋_GBK" w:eastAsia="方正书宋_GBK"/>
                <w:sz w:val="21"/>
                <w:szCs w:val="21"/>
              </w:rPr>
              <w:t>年初经专家评审后按时提交</w:t>
            </w:r>
            <w:r>
              <w:rPr>
                <w:rFonts w:hint="eastAsia" w:ascii="方正书宋_GBK" w:eastAsia="方正书宋_GBK"/>
                <w:sz w:val="21"/>
                <w:szCs w:val="21"/>
                <w:lang w:eastAsia="zh-CN"/>
              </w:rPr>
              <w:t>“十四五”规划</w:t>
            </w:r>
            <w:r>
              <w:rPr>
                <w:rFonts w:hint="eastAsia" w:ascii="方正书宋_GBK" w:eastAsia="方正书宋_GBK"/>
                <w:sz w:val="21"/>
                <w:szCs w:val="21"/>
              </w:rPr>
              <w:t>纲要报告，按人代会意见修改完善</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年底前完成初稿</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编制费用成本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w:t>
            </w:r>
            <w:r>
              <w:rPr>
                <w:rFonts w:hint="eastAsia" w:ascii="方正书宋_GBK" w:eastAsia="方正书宋_GBK"/>
                <w:sz w:val="21"/>
                <w:szCs w:val="21"/>
                <w:lang w:eastAsia="zh-CN"/>
              </w:rPr>
              <w:t>“十四五”规划</w:t>
            </w:r>
            <w:r>
              <w:rPr>
                <w:rFonts w:hint="eastAsia" w:ascii="方正书宋_GBK" w:eastAsia="方正书宋_GBK"/>
                <w:sz w:val="21"/>
                <w:szCs w:val="21"/>
              </w:rPr>
              <w:t>中标费用</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rPr>
              <w:t>万元</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宏观指导作用</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提出我区国民经济和社会发展宏观方向</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未来五年</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8" w:name="_Toc67986619"/>
      <w:r>
        <w:rPr>
          <w:rFonts w:hint="eastAsia" w:ascii="仿宋" w:hAnsi="仿宋" w:eastAsia="仿宋" w:cs="仿宋"/>
          <w:b/>
          <w:sz w:val="28"/>
        </w:rPr>
        <w:t>18、军供公司搬迁费用绩效目标表</w:t>
      </w:r>
      <w:bookmarkEnd w:id="28"/>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18、军供公司搬迁费用绩效目标表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2"/>
        <w:gridCol w:w="1335"/>
        <w:gridCol w:w="1504"/>
        <w:gridCol w:w="1545"/>
        <w:gridCol w:w="1257"/>
        <w:gridCol w:w="1233"/>
        <w:gridCol w:w="16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13011021S0L5VL86ZRX9C</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军供公司搬迁费用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lang w:eastAsia="zh-CN"/>
              </w:rPr>
              <w:t>.</w:t>
            </w:r>
            <w:r>
              <w:rPr>
                <w:rFonts w:ascii="方正书宋_GBK" w:eastAsia="方正书宋_GBK"/>
                <w:sz w:val="21"/>
                <w:szCs w:val="21"/>
              </w:rPr>
              <w:t>41</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lang w:eastAsia="zh-CN"/>
              </w:rPr>
              <w:t>.</w:t>
            </w:r>
            <w:r>
              <w:rPr>
                <w:rFonts w:ascii="方正书宋_GBK" w:eastAsia="方正书宋_GBK"/>
                <w:sz w:val="21"/>
                <w:szCs w:val="21"/>
              </w:rPr>
              <w:t>41</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按照鹿泉区整体规划要求，鹿泉区军粮供应有限责任公司在新库区（原直属三库）占地</w:t>
            </w:r>
            <w:r>
              <w:rPr>
                <w:rFonts w:ascii="方正书宋_GBK" w:eastAsia="方正书宋_GBK"/>
                <w:sz w:val="21"/>
                <w:szCs w:val="21"/>
              </w:rPr>
              <w:t>11.53</w:t>
            </w:r>
            <w:r>
              <w:rPr>
                <w:rFonts w:hint="eastAsia" w:ascii="方正书宋_GBK" w:eastAsia="方正书宋_GBK"/>
                <w:sz w:val="21"/>
                <w:szCs w:val="21"/>
              </w:rPr>
              <w:t>亩，投资总投资</w:t>
            </w:r>
            <w:r>
              <w:rPr>
                <w:rFonts w:ascii="方正书宋_GBK" w:eastAsia="方正书宋_GBK"/>
                <w:sz w:val="21"/>
                <w:szCs w:val="21"/>
              </w:rPr>
              <w:t>2675.89</w:t>
            </w:r>
            <w:r>
              <w:rPr>
                <w:rFonts w:hint="eastAsia" w:ascii="方正书宋_GBK" w:eastAsia="方正书宋_GBK"/>
                <w:sz w:val="21"/>
                <w:szCs w:val="21"/>
              </w:rPr>
              <w:t>万元，利用上级粮食部门周转金</w:t>
            </w:r>
            <w:r>
              <w:rPr>
                <w:rFonts w:ascii="方正书宋_GBK" w:eastAsia="方正书宋_GBK"/>
                <w:sz w:val="21"/>
                <w:szCs w:val="21"/>
              </w:rPr>
              <w:t>1452.28</w:t>
            </w:r>
            <w:r>
              <w:rPr>
                <w:rFonts w:hint="eastAsia" w:ascii="方正书宋_GBK" w:eastAsia="方正书宋_GBK"/>
                <w:sz w:val="21"/>
                <w:szCs w:val="21"/>
              </w:rPr>
              <w:t>万元，企业自筹</w:t>
            </w:r>
            <w:r>
              <w:rPr>
                <w:rFonts w:ascii="方正书宋_GBK" w:eastAsia="方正书宋_GBK"/>
                <w:sz w:val="21"/>
                <w:szCs w:val="21"/>
              </w:rPr>
              <w:t>1223.61</w:t>
            </w:r>
            <w:r>
              <w:rPr>
                <w:rFonts w:hint="eastAsia" w:ascii="方正书宋_GBK" w:eastAsia="方正书宋_GBK"/>
                <w:sz w:val="21"/>
                <w:szCs w:val="21"/>
              </w:rPr>
              <w:t>万元。根据区政府第二届三十七次常务会议纪要精神，对鹿泉区军粮供应有限责任公司整体搬迁费用予以拨付，</w:t>
            </w:r>
            <w:r>
              <w:rPr>
                <w:rFonts w:ascii="方正书宋_GBK" w:eastAsia="方正书宋_GBK"/>
                <w:sz w:val="21"/>
                <w:szCs w:val="21"/>
              </w:rPr>
              <w:t>2019</w:t>
            </w:r>
            <w:r>
              <w:rPr>
                <w:rFonts w:hint="eastAsia" w:ascii="方正书宋_GBK" w:eastAsia="方正书宋_GBK"/>
                <w:sz w:val="21"/>
                <w:szCs w:val="21"/>
              </w:rPr>
              <w:t>年已拨付</w:t>
            </w:r>
            <w:r>
              <w:rPr>
                <w:rFonts w:ascii="方正书宋_GBK" w:eastAsia="方正书宋_GBK"/>
                <w:sz w:val="21"/>
                <w:szCs w:val="21"/>
              </w:rPr>
              <w:t>379</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255.92</w:t>
            </w:r>
            <w:r>
              <w:rPr>
                <w:rFonts w:hint="eastAsia" w:ascii="方正书宋_GBK" w:eastAsia="方正书宋_GBK"/>
                <w:sz w:val="21"/>
                <w:szCs w:val="21"/>
              </w:rPr>
              <w:t>万元。尚欠</w:t>
            </w:r>
            <w:r>
              <w:rPr>
                <w:rFonts w:ascii="方正书宋_GBK" w:eastAsia="方正书宋_GBK"/>
                <w:sz w:val="21"/>
                <w:szCs w:val="21"/>
              </w:rPr>
              <w:t>588.69</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年申请预算</w:t>
            </w:r>
            <w:r>
              <w:rPr>
                <w:rFonts w:ascii="方正书宋_GBK" w:eastAsia="方正书宋_GBK"/>
                <w:sz w:val="21"/>
                <w:szCs w:val="21"/>
              </w:rPr>
              <w:t>100.41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促进企业发展，实现国有资产保值增值，河北军粮配送中粮食基础设施与粮食流通需求相匹配，粮食仓储损耗控制在国家、省市标准范围内，科学储粮率技术应用得到基本普及</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根据鹿泉区规划，军粮公司搬迁至原直属三库。搬迁大米</w:t>
            </w:r>
            <w:r>
              <w:rPr>
                <w:rFonts w:ascii="方正书宋_GBK" w:eastAsia="方正书宋_GBK"/>
                <w:sz w:val="21"/>
                <w:szCs w:val="21"/>
              </w:rPr>
              <w:t>600</w:t>
            </w:r>
            <w:r>
              <w:rPr>
                <w:rFonts w:hint="eastAsia" w:ascii="方正书宋_GBK" w:eastAsia="方正书宋_GBK"/>
                <w:sz w:val="21"/>
                <w:szCs w:val="21"/>
              </w:rPr>
              <w:t>顿</w:t>
            </w:r>
            <w:r>
              <w:rPr>
                <w:rFonts w:ascii="方正书宋_GBK" w:eastAsia="方正书宋_GBK"/>
                <w:sz w:val="21"/>
                <w:szCs w:val="21"/>
              </w:rPr>
              <w:t>,</w:t>
            </w:r>
            <w:r>
              <w:rPr>
                <w:rFonts w:hint="eastAsia" w:ascii="方正书宋_GBK" w:eastAsia="方正书宋_GBK"/>
                <w:sz w:val="21"/>
                <w:szCs w:val="21"/>
              </w:rPr>
              <w:t>面粉</w:t>
            </w:r>
            <w:r>
              <w:rPr>
                <w:rFonts w:ascii="方正书宋_GBK" w:eastAsia="方正书宋_GBK"/>
                <w:sz w:val="21"/>
                <w:szCs w:val="21"/>
              </w:rPr>
              <w:t>600</w:t>
            </w:r>
            <w:r>
              <w:rPr>
                <w:rFonts w:hint="eastAsia" w:ascii="方正书宋_GBK" w:eastAsia="方正书宋_GBK"/>
                <w:sz w:val="21"/>
                <w:szCs w:val="21"/>
              </w:rPr>
              <w:t>顿</w:t>
            </w:r>
            <w:r>
              <w:rPr>
                <w:rFonts w:ascii="方正书宋_GBK" w:eastAsia="方正书宋_GBK"/>
                <w:sz w:val="21"/>
                <w:szCs w:val="21"/>
              </w:rPr>
              <w:t>,</w:t>
            </w:r>
            <w:r>
              <w:rPr>
                <w:rFonts w:hint="eastAsia" w:ascii="方正书宋_GBK" w:eastAsia="方正书宋_GBK"/>
                <w:sz w:val="21"/>
                <w:szCs w:val="21"/>
              </w:rPr>
              <w:t>食用油</w:t>
            </w:r>
            <w:r>
              <w:rPr>
                <w:rFonts w:ascii="方正书宋_GBK" w:eastAsia="方正书宋_GBK"/>
                <w:sz w:val="21"/>
                <w:szCs w:val="21"/>
              </w:rPr>
              <w:t>6000</w:t>
            </w:r>
            <w:r>
              <w:rPr>
                <w:rFonts w:hint="eastAsia" w:ascii="方正书宋_GBK" w:eastAsia="方正书宋_GBK"/>
                <w:sz w:val="21"/>
                <w:szCs w:val="21"/>
              </w:rPr>
              <w:t>箱及应急装备物资和分装加工车间的搬迁及水电暖等设施的安装</w:t>
            </w:r>
            <w:r>
              <w:rPr>
                <w:rFonts w:ascii="方正书宋_GBK" w:eastAsia="方正书宋_GBK"/>
                <w:sz w:val="21"/>
                <w:szCs w:val="21"/>
              </w:rPr>
              <w:t>,</w:t>
            </w:r>
            <w:r>
              <w:rPr>
                <w:rFonts w:hint="eastAsia" w:ascii="方正书宋_GBK" w:eastAsia="方正书宋_GBK"/>
                <w:sz w:val="21"/>
                <w:szCs w:val="21"/>
              </w:rPr>
              <w:t>确保按时完成搬迁以及搬迁后工厂加工设施设备的正常使用，完成仓库归置工作，使仓库井然有序。</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116"/>
        <w:gridCol w:w="19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0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归置仓库数量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立体仓</w:t>
            </w:r>
            <w:r>
              <w:rPr>
                <w:rFonts w:ascii="方正书宋_GBK" w:eastAsia="方正书宋_GBK"/>
                <w:sz w:val="21"/>
                <w:szCs w:val="21"/>
              </w:rPr>
              <w:t>1</w:t>
            </w:r>
            <w:r>
              <w:rPr>
                <w:rFonts w:hint="eastAsia" w:ascii="方正书宋_GBK" w:eastAsia="方正书宋_GBK"/>
                <w:sz w:val="21"/>
                <w:szCs w:val="21"/>
              </w:rPr>
              <w:t>栋</w:t>
            </w:r>
            <w:r>
              <w:rPr>
                <w:rFonts w:ascii="方正书宋_GBK" w:eastAsia="方正书宋_GBK"/>
                <w:sz w:val="21"/>
                <w:szCs w:val="21"/>
              </w:rPr>
              <w:t>,</w:t>
            </w:r>
            <w:r>
              <w:rPr>
                <w:rFonts w:hint="eastAsia" w:ascii="方正书宋_GBK" w:eastAsia="方正书宋_GBK"/>
                <w:sz w:val="21"/>
                <w:szCs w:val="21"/>
              </w:rPr>
              <w:t>平方仓</w:t>
            </w:r>
            <w:r>
              <w:rPr>
                <w:rFonts w:ascii="方正书宋_GBK" w:eastAsia="方正书宋_GBK"/>
                <w:sz w:val="21"/>
                <w:szCs w:val="21"/>
              </w:rPr>
              <w:t>2</w:t>
            </w:r>
            <w:r>
              <w:rPr>
                <w:rFonts w:hint="eastAsia" w:ascii="方正书宋_GBK" w:eastAsia="方正书宋_GBK"/>
                <w:sz w:val="21"/>
                <w:szCs w:val="21"/>
              </w:rPr>
              <w:t>栋</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栋</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根据国家标准及部门标准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新仓库仓储量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新建仓库储备数量</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1.5</w:t>
            </w:r>
            <w:r>
              <w:rPr>
                <w:rFonts w:hint="eastAsia" w:ascii="方正书宋_GBK" w:eastAsia="方正书宋_GBK"/>
                <w:sz w:val="21"/>
                <w:szCs w:val="21"/>
              </w:rPr>
              <w:t>万吨</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搬迁完工及时率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完成搬迁及工厂正常使用时间与计划完工时间的比率</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85</w:t>
            </w:r>
            <w:r>
              <w:rPr>
                <w:rFonts w:hint="eastAsia" w:ascii="方正书宋_GBK" w:eastAsia="方正书宋_GBK"/>
                <w:sz w:val="21"/>
                <w:szCs w:val="21"/>
              </w:rPr>
              <w:t>百分比</w:t>
            </w:r>
          </w:p>
          <w:p>
            <w:pPr>
              <w:spacing w:line="300" w:lineRule="exact"/>
              <w:rPr>
                <w:rFonts w:ascii="方正书宋_GBK" w:eastAsia="方正书宋_GBK"/>
                <w:sz w:val="21"/>
                <w:szCs w:val="21"/>
              </w:rPr>
            </w:pP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搬迁成本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本年搬迁预算成本</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100.41</w:t>
            </w:r>
            <w:r>
              <w:rPr>
                <w:rFonts w:hint="eastAsia" w:ascii="方正书宋_GBK" w:eastAsia="方正书宋_GBK"/>
                <w:sz w:val="21"/>
                <w:szCs w:val="21"/>
              </w:rPr>
              <w:t>万元</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粮食搬运完工率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粮食搬运完成数量占总数量的比率</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配套设施完成率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实际完成配套设施量占计划完成比率</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9" w:name="_Toc67986620"/>
      <w:r>
        <w:rPr>
          <w:rFonts w:hint="eastAsia" w:ascii="仿宋" w:hAnsi="仿宋" w:eastAsia="仿宋" w:cs="仿宋"/>
          <w:b/>
          <w:sz w:val="28"/>
        </w:rPr>
        <w:t>19、2021年大气污染防治（节能与循环经济）专项资金绩效目标表</w:t>
      </w:r>
      <w:bookmarkEnd w:id="29"/>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19、2021年大气污染防治（节能与循环经济）专项资金绩效目标表 \f C \l 1 </w:instrText>
      </w:r>
      <w:r>
        <w:rPr>
          <w:rFonts w:hint="eastAsia" w:ascii="仿宋" w:hAnsi="仿宋" w:eastAsia="仿宋" w:cs="仿宋"/>
          <w:b/>
          <w:sz w:val="21"/>
          <w:szCs w:val="21"/>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2"/>
        <w:gridCol w:w="1352"/>
        <w:gridCol w:w="1525"/>
        <w:gridCol w:w="1756"/>
        <w:gridCol w:w="1025"/>
        <w:gridCol w:w="1233"/>
        <w:gridCol w:w="16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4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85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496"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13011021SI96O5FA803HH</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032"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年大气污染防治（节能与循环经济）专项资金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7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93" w:type="pct"/>
            <w:vAlign w:val="center"/>
          </w:tcPr>
          <w:p>
            <w:pPr>
              <w:spacing w:line="300" w:lineRule="exact"/>
              <w:rPr>
                <w:rFonts w:ascii="方正书宋_GBK" w:eastAsia="方正书宋_GBK"/>
                <w:sz w:val="21"/>
                <w:szCs w:val="21"/>
              </w:rPr>
            </w:pPr>
            <w:r>
              <w:rPr>
                <w:rFonts w:ascii="方正书宋_GBK" w:eastAsia="方正书宋_GBK"/>
                <w:sz w:val="21"/>
                <w:szCs w:val="21"/>
              </w:rPr>
              <w:t>230.00</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533" w:type="pct"/>
            <w:vAlign w:val="center"/>
          </w:tcPr>
          <w:p>
            <w:pPr>
              <w:spacing w:line="300" w:lineRule="exact"/>
              <w:rPr>
                <w:rFonts w:ascii="方正书宋_GBK" w:eastAsia="方正书宋_GBK"/>
                <w:sz w:val="21"/>
                <w:szCs w:val="21"/>
              </w:rPr>
            </w:pPr>
            <w:r>
              <w:rPr>
                <w:rFonts w:ascii="方正书宋_GBK" w:eastAsia="方正书宋_GBK"/>
                <w:sz w:val="21"/>
                <w:szCs w:val="21"/>
              </w:rPr>
              <w:t>230.00</w:t>
            </w:r>
          </w:p>
        </w:tc>
        <w:tc>
          <w:tcPr>
            <w:tcW w:w="6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85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continue"/>
            <w:vAlign w:val="center"/>
          </w:tcPr>
          <w:p>
            <w:pPr>
              <w:spacing w:line="300" w:lineRule="exact"/>
              <w:outlineLvl w:val="3"/>
              <w:rPr>
                <w:sz w:val="21"/>
                <w:szCs w:val="21"/>
              </w:rPr>
            </w:pPr>
          </w:p>
        </w:tc>
        <w:tc>
          <w:tcPr>
            <w:tcW w:w="4442"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专项资金用于河北金隅鼎鑫水泥有限公司的节能综合技术改造项目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49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53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9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continue"/>
            <w:tcBorders>
              <w:bottom w:val="single" w:color="000000" w:sz="6" w:space="0"/>
            </w:tcBorders>
            <w:vAlign w:val="center"/>
          </w:tcPr>
          <w:p>
            <w:pPr>
              <w:spacing w:line="300" w:lineRule="exact"/>
              <w:outlineLvl w:val="3"/>
              <w:rPr>
                <w:sz w:val="21"/>
                <w:szCs w:val="21"/>
              </w:rPr>
            </w:pPr>
          </w:p>
        </w:tc>
        <w:tc>
          <w:tcPr>
            <w:tcW w:w="149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91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53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49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42"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进一步降低各项能耗指标</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改善环境质量</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578"/>
        <w:gridCol w:w="3020"/>
        <w:gridCol w:w="1413"/>
        <w:gridCol w:w="1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2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7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大气污染防治补贴企业数量</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大气污染防治补贴企业数量</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家</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项目建设质量达标率</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项目建设分项工程达标数量</w:t>
            </w:r>
            <w:r>
              <w:rPr>
                <w:rFonts w:ascii="方正书宋_GBK" w:eastAsia="方正书宋_GBK"/>
                <w:sz w:val="21"/>
                <w:szCs w:val="21"/>
              </w:rPr>
              <w:t>/</w:t>
            </w:r>
            <w:r>
              <w:rPr>
                <w:rFonts w:hint="eastAsia" w:ascii="方正书宋_GBK" w:eastAsia="方正书宋_GBK"/>
                <w:sz w:val="21"/>
                <w:szCs w:val="21"/>
              </w:rPr>
              <w:t>总项目数</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补贴项目开工时间</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补贴项目开工时间</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w:t>
            </w:r>
            <w:r>
              <w:rPr>
                <w:rFonts w:ascii="方正书宋_GBK" w:eastAsia="方正书宋_GBK"/>
                <w:sz w:val="21"/>
                <w:szCs w:val="21"/>
              </w:rPr>
              <w:t>10</w:t>
            </w:r>
            <w:r>
              <w:rPr>
                <w:rFonts w:hint="eastAsia" w:ascii="方正书宋_GBK" w:eastAsia="方正书宋_GBK"/>
                <w:sz w:val="21"/>
                <w:szCs w:val="21"/>
              </w:rPr>
              <w:t>月</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大气污染防治资金补贴标准</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大气污染防治资金补贴标准</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230</w:t>
            </w:r>
            <w:r>
              <w:rPr>
                <w:rFonts w:hint="eastAsia" w:ascii="方正书宋_GBK" w:eastAsia="方正书宋_GBK"/>
                <w:sz w:val="21"/>
                <w:szCs w:val="21"/>
              </w:rPr>
              <w:t>万元</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年度综合能源节约量</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项目建成后年度综合能源节约量</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4284</w:t>
            </w:r>
            <w:r>
              <w:rPr>
                <w:rFonts w:hint="eastAsia" w:ascii="方正书宋_GBK" w:eastAsia="方正书宋_GBK"/>
                <w:sz w:val="21"/>
                <w:szCs w:val="21"/>
              </w:rPr>
              <w:t>万吨标煤</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30" w:name="_Toc67986621"/>
      <w:r>
        <w:rPr>
          <w:rFonts w:hint="eastAsia" w:ascii="仿宋" w:hAnsi="仿宋" w:eastAsia="仿宋" w:cs="仿宋"/>
          <w:b/>
          <w:sz w:val="28"/>
        </w:rPr>
        <w:t>20、节能工作经费绩效目标表</w:t>
      </w:r>
      <w:bookmarkEnd w:id="30"/>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20、节能工作经费绩效目标表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7"/>
        <w:gridCol w:w="1370"/>
        <w:gridCol w:w="1544"/>
        <w:gridCol w:w="1530"/>
        <w:gridCol w:w="1242"/>
        <w:gridCol w:w="1218"/>
        <w:gridCol w:w="16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13011021TLO4LD3ZDQPAI</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推进综合协调节能减排工作，利用专项资金对节能技改、合同能源管理，开展节能监察、监测，加强节能宣传培训，建立碳排放报告、核算、考核及碳排放权交易制度，确保完成节能、削煤、降碳约束性指标。宣传广告等印刷费</w:t>
            </w:r>
            <w:r>
              <w:rPr>
                <w:rFonts w:ascii="方正书宋_GBK" w:eastAsia="方正书宋_GBK"/>
                <w:sz w:val="21"/>
                <w:szCs w:val="21"/>
              </w:rPr>
              <w:t>2</w:t>
            </w:r>
            <w:r>
              <w:rPr>
                <w:rFonts w:hint="eastAsia" w:ascii="方正书宋_GBK" w:eastAsia="方正书宋_GBK"/>
                <w:sz w:val="21"/>
                <w:szCs w:val="21"/>
              </w:rPr>
              <w:t>万元，检验于评审论证等劳务费</w:t>
            </w:r>
            <w:r>
              <w:rPr>
                <w:rFonts w:ascii="方正书宋_GBK" w:eastAsia="方正书宋_GBK"/>
                <w:sz w:val="21"/>
                <w:szCs w:val="21"/>
              </w:rPr>
              <w:t>4</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年安排预算</w:t>
            </w:r>
            <w:r>
              <w:rPr>
                <w:rFonts w:ascii="方正书宋_GBK" w:eastAsia="方正书宋_GBK"/>
                <w:sz w:val="21"/>
                <w:szCs w:val="21"/>
              </w:rPr>
              <w:t>6</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80.00%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积极助推节能减排和大气污染防治，确保实现年度能耗下降率，组织节能宣传周活动，加强公民节能意识，完善节能制度。</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组织节能培训，提高节能管理人员素质，确保节能、削煤考核工作达标。</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549"/>
        <w:gridCol w:w="3376"/>
        <w:gridCol w:w="1154"/>
        <w:gridCol w:w="1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0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75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节能宣传活动场次</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组织节能宣传周活动次数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次</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组织培训场次</w:t>
            </w:r>
            <w:r>
              <w:rPr>
                <w:rFonts w:ascii="方正书宋_GBK" w:eastAsia="方正书宋_GBK"/>
                <w:sz w:val="21"/>
                <w:szCs w:val="21"/>
              </w:rPr>
              <w:t xml:space="preserve"> </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组织节能培训次数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15</w:t>
            </w:r>
            <w:r>
              <w:rPr>
                <w:rFonts w:hint="eastAsia" w:ascii="方正书宋_GBK" w:eastAsia="方正书宋_GBK"/>
                <w:sz w:val="21"/>
                <w:szCs w:val="21"/>
              </w:rPr>
              <w:t>次</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培训计划按期完成率</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年度加强节能培训计划按期完成数量占计划总数量的比率</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节能考核中各项任务完成及时率（</w:t>
            </w:r>
            <w:r>
              <w:rPr>
                <w:rFonts w:ascii="方正书宋_GBK" w:eastAsia="方正书宋_GBK"/>
                <w:sz w:val="21"/>
                <w:szCs w:val="21"/>
              </w:rPr>
              <w:t>%</w:t>
            </w:r>
            <w:r>
              <w:rPr>
                <w:rFonts w:hint="eastAsia" w:ascii="方正书宋_GBK" w:eastAsia="方正书宋_GBK"/>
                <w:sz w:val="21"/>
                <w:szCs w:val="21"/>
              </w:rPr>
              <w:t>）</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节能印刷成本</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年度节能印刷材料成本</w:t>
            </w:r>
          </w:p>
        </w:tc>
        <w:tc>
          <w:tcPr>
            <w:tcW w:w="600"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节能培训年成本</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年度节能宣传培训成本</w:t>
            </w:r>
          </w:p>
        </w:tc>
        <w:tc>
          <w:tcPr>
            <w:tcW w:w="600"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生态效益指标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二氧化碳减排量</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经专业检测单位实地检测、核算预计年减少二氧化碳排放量占去年二氧化碳排放量的比例</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20</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节能宣传后，受益群众满意度</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31" w:name="_Toc67986622"/>
      <w:r>
        <w:rPr>
          <w:rFonts w:hint="eastAsia" w:ascii="仿宋" w:hAnsi="仿宋" w:eastAsia="仿宋" w:cs="仿宋"/>
          <w:b/>
          <w:sz w:val="28"/>
        </w:rPr>
        <w:t>21、2018年重点地区应急储气设施建设中央基建投资预算（拨款）额度结余绩效目标表</w:t>
      </w:r>
      <w:bookmarkEnd w:id="31"/>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21、2018年重点地区应急储气设施建设中央基建投资预算（拨款）额度结余绩效目标表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3"/>
        <w:gridCol w:w="1405"/>
        <w:gridCol w:w="1582"/>
        <w:gridCol w:w="1515"/>
        <w:gridCol w:w="1227"/>
        <w:gridCol w:w="1203"/>
        <w:gridCol w:w="16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13011021UZG5V67H3N05P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2018</w:t>
            </w:r>
            <w:r>
              <w:rPr>
                <w:rFonts w:hint="eastAsia" w:ascii="方正书宋_GBK" w:eastAsia="方正书宋_GBK"/>
                <w:sz w:val="21"/>
                <w:szCs w:val="21"/>
              </w:rPr>
              <w:t>年重点地区应急储气设施建设中央基建投资预算（拨款）额度结余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220.00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220.00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项目于</w:t>
            </w:r>
            <w:r>
              <w:rPr>
                <w:rFonts w:ascii="方正书宋_GBK" w:eastAsia="方正书宋_GBK"/>
                <w:sz w:val="21"/>
                <w:szCs w:val="21"/>
              </w:rPr>
              <w:t>2018</w:t>
            </w:r>
            <w:r>
              <w:rPr>
                <w:rFonts w:hint="eastAsia" w:ascii="方正书宋_GBK" w:eastAsia="方正书宋_GBK"/>
                <w:sz w:val="21"/>
                <w:szCs w:val="21"/>
              </w:rPr>
              <w:t>年</w:t>
            </w:r>
            <w:r>
              <w:rPr>
                <w:rFonts w:ascii="方正书宋_GBK" w:eastAsia="方正书宋_GBK"/>
                <w:sz w:val="21"/>
                <w:szCs w:val="21"/>
              </w:rPr>
              <w:t>7</w:t>
            </w:r>
            <w:r>
              <w:rPr>
                <w:rFonts w:hint="eastAsia" w:ascii="方正书宋_GBK" w:eastAsia="方正书宋_GBK"/>
                <w:sz w:val="21"/>
                <w:szCs w:val="21"/>
              </w:rPr>
              <w:t>月获批中央预算内建设资金</w:t>
            </w:r>
            <w:r>
              <w:rPr>
                <w:rFonts w:ascii="方正书宋_GBK" w:eastAsia="方正书宋_GBK"/>
                <w:sz w:val="21"/>
                <w:szCs w:val="21"/>
              </w:rPr>
              <w:t>640</w:t>
            </w:r>
            <w:r>
              <w:rPr>
                <w:rFonts w:hint="eastAsia" w:ascii="方正书宋_GBK" w:eastAsia="方正书宋_GBK"/>
                <w:sz w:val="21"/>
                <w:szCs w:val="21"/>
              </w:rPr>
              <w:t>万元，属于国家发改委专项督办的区域性重点民生保障项目，</w:t>
            </w:r>
            <w:r>
              <w:rPr>
                <w:rFonts w:ascii="方正书宋_GBK" w:eastAsia="方正书宋_GBK"/>
                <w:sz w:val="21"/>
                <w:szCs w:val="21"/>
              </w:rPr>
              <w:t>2019</w:t>
            </w:r>
            <w:r>
              <w:rPr>
                <w:rFonts w:hint="eastAsia" w:ascii="方正书宋_GBK" w:eastAsia="方正书宋_GBK"/>
                <w:sz w:val="21"/>
                <w:szCs w:val="21"/>
              </w:rPr>
              <w:t>年，我局根据项目工程进度已拨付</w:t>
            </w:r>
            <w:r>
              <w:rPr>
                <w:rFonts w:ascii="方正书宋_GBK" w:eastAsia="方正书宋_GBK"/>
                <w:sz w:val="21"/>
                <w:szCs w:val="21"/>
              </w:rPr>
              <w:t>200</w:t>
            </w:r>
            <w:r>
              <w:rPr>
                <w:rFonts w:hint="eastAsia" w:ascii="方正书宋_GBK" w:eastAsia="方正书宋_GBK"/>
                <w:sz w:val="21"/>
                <w:szCs w:val="21"/>
              </w:rPr>
              <w:t>万元资金。</w:t>
            </w:r>
          </w:p>
          <w:p>
            <w:pPr>
              <w:spacing w:line="300" w:lineRule="exact"/>
              <w:rPr>
                <w:rFonts w:ascii="方正书宋_GBK" w:eastAsia="方正书宋_GBK"/>
                <w:sz w:val="21"/>
                <w:szCs w:val="21"/>
              </w:rPr>
            </w:pPr>
            <w:r>
              <w:rPr>
                <w:rFonts w:hint="eastAsia" w:ascii="方正书宋_GBK" w:eastAsia="方正书宋_GBK"/>
                <w:sz w:val="21"/>
                <w:szCs w:val="21"/>
              </w:rPr>
              <w:t>由于年初受</w:t>
            </w:r>
            <w:r>
              <w:rPr>
                <w:rFonts w:hint="cs" w:ascii="方正书宋_GBK" w:eastAsia="方正书宋_GBK"/>
                <w:sz w:val="21"/>
                <w:szCs w:val="21"/>
                <w:cs/>
              </w:rPr>
              <w:t>“</w:t>
            </w:r>
            <w:r>
              <w:rPr>
                <w:rFonts w:hint="eastAsia" w:ascii="方正书宋_GBK" w:eastAsia="方正书宋_GBK"/>
                <w:sz w:val="21"/>
                <w:szCs w:val="21"/>
              </w:rPr>
              <w:t>西美金山湖</w:t>
            </w:r>
            <w:r>
              <w:rPr>
                <w:rFonts w:hint="cs" w:ascii="方正书宋_GBK" w:eastAsia="方正书宋_GBK"/>
                <w:sz w:val="21"/>
                <w:szCs w:val="21"/>
                <w:cs/>
              </w:rPr>
              <w:t>”</w:t>
            </w:r>
            <w:r>
              <w:rPr>
                <w:rFonts w:hint="eastAsia" w:ascii="方正书宋_GBK" w:eastAsia="方正书宋_GBK"/>
                <w:sz w:val="21"/>
                <w:szCs w:val="21"/>
              </w:rPr>
              <w:t>事件影响，项目土地及施工招标手续至今未办理完成，原计划于</w:t>
            </w: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10</w:t>
            </w:r>
            <w:r>
              <w:rPr>
                <w:rFonts w:hint="eastAsia" w:ascii="方正书宋_GBK" w:eastAsia="方正书宋_GBK"/>
                <w:sz w:val="21"/>
                <w:szCs w:val="21"/>
              </w:rPr>
              <w:t>月底前竣工，因手续制约仍未进场施工。目前，该项目已完成规划审批，区政府已召开土地储备会，正在走供地程序，拟于近期开工建设。待开工后我局将</w:t>
            </w:r>
            <w:r>
              <w:rPr>
                <w:rFonts w:ascii="方正书宋_GBK" w:eastAsia="方正书宋_GBK"/>
                <w:sz w:val="21"/>
                <w:szCs w:val="21"/>
              </w:rPr>
              <w:t>440</w:t>
            </w:r>
            <w:r>
              <w:rPr>
                <w:rFonts w:hint="eastAsia" w:ascii="方正书宋_GBK" w:eastAsia="方正书宋_GBK"/>
                <w:sz w:val="21"/>
                <w:szCs w:val="21"/>
              </w:rPr>
              <w:t>万元资金拨付该企业。</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220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220</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建设</w:t>
            </w:r>
            <w:r>
              <w:rPr>
                <w:rFonts w:ascii="方正书宋_GBK" w:eastAsia="方正书宋_GBK"/>
                <w:sz w:val="21"/>
                <w:szCs w:val="21"/>
              </w:rPr>
              <w:t>LNG</w:t>
            </w:r>
            <w:r>
              <w:rPr>
                <w:rFonts w:hint="eastAsia" w:ascii="方正书宋_GBK" w:eastAsia="方正书宋_GBK"/>
                <w:sz w:val="21"/>
                <w:szCs w:val="21"/>
              </w:rPr>
              <w:t>应急储备站一座，天然气储备能力</w:t>
            </w:r>
            <w:r>
              <w:rPr>
                <w:rFonts w:ascii="方正书宋_GBK" w:eastAsia="方正书宋_GBK"/>
                <w:sz w:val="21"/>
                <w:szCs w:val="21"/>
              </w:rPr>
              <w:t>300</w:t>
            </w:r>
            <w:r>
              <w:rPr>
                <w:rFonts w:hint="eastAsia" w:ascii="方正书宋_GBK" w:eastAsia="方正书宋_GBK"/>
                <w:sz w:val="21"/>
                <w:szCs w:val="21"/>
              </w:rPr>
              <w:t>万方，储罐水容积</w:t>
            </w:r>
            <w:r>
              <w:rPr>
                <w:rFonts w:ascii="方正书宋_GBK" w:eastAsia="方正书宋_GBK"/>
                <w:sz w:val="21"/>
                <w:szCs w:val="21"/>
              </w:rPr>
              <w:t>5000m3</w:t>
            </w:r>
            <w:r>
              <w:rPr>
                <w:rFonts w:hint="eastAsia" w:ascii="方正书宋_GBK" w:eastAsia="方正书宋_GBK"/>
                <w:sz w:val="21"/>
                <w:szCs w:val="21"/>
              </w:rPr>
              <w:t>，气化能力为</w:t>
            </w:r>
            <w:r>
              <w:rPr>
                <w:rFonts w:ascii="方正书宋_GBK" w:eastAsia="方正书宋_GBK"/>
                <w:sz w:val="21"/>
                <w:szCs w:val="21"/>
              </w:rPr>
              <w:t>18000</w:t>
            </w:r>
            <w:r>
              <w:rPr>
                <w:rFonts w:hint="eastAsia" w:ascii="方正书宋_GBK" w:eastAsia="方正书宋_GBK"/>
                <w:sz w:val="21"/>
                <w:szCs w:val="21"/>
              </w:rPr>
              <w:t>方</w:t>
            </w:r>
            <w:r>
              <w:rPr>
                <w:rFonts w:ascii="方正书宋_GBK" w:eastAsia="方正书宋_GBK"/>
                <w:sz w:val="21"/>
                <w:szCs w:val="21"/>
              </w:rPr>
              <w:t>/</w:t>
            </w:r>
            <w:r>
              <w:rPr>
                <w:rFonts w:hint="eastAsia" w:ascii="方正书宋_GBK" w:eastAsia="方正书宋_GBK"/>
                <w:sz w:val="21"/>
                <w:szCs w:val="21"/>
              </w:rPr>
              <w:t>小时，满足人民群众对天然气的需求，供气能力达到</w:t>
            </w:r>
            <w:r>
              <w:rPr>
                <w:rFonts w:ascii="方正书宋_GBK" w:eastAsia="方正书宋_GBK"/>
                <w:sz w:val="21"/>
                <w:szCs w:val="21"/>
              </w:rPr>
              <w:t>30</w:t>
            </w:r>
            <w:r>
              <w:rPr>
                <w:rFonts w:hint="eastAsia" w:ascii="方正书宋_GBK" w:eastAsia="方正书宋_GBK"/>
                <w:sz w:val="21"/>
                <w:szCs w:val="21"/>
              </w:rPr>
              <w:t>万方</w:t>
            </w:r>
            <w:r>
              <w:rPr>
                <w:rFonts w:ascii="方正书宋_GBK" w:eastAsia="方正书宋_GBK"/>
                <w:sz w:val="21"/>
                <w:szCs w:val="21"/>
              </w:rPr>
              <w:t>/</w:t>
            </w:r>
            <w:r>
              <w:rPr>
                <w:rFonts w:hint="eastAsia" w:ascii="方正书宋_GBK" w:eastAsia="方正书宋_GBK"/>
                <w:sz w:val="21"/>
                <w:szCs w:val="21"/>
              </w:rPr>
              <w:t>日。</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723"/>
        <w:gridCol w:w="3097"/>
        <w:gridCol w:w="1182"/>
        <w:gridCol w:w="12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9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60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1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95" w:type="pct"/>
            <w:vAlign w:val="center"/>
          </w:tcPr>
          <w:p>
            <w:pPr>
              <w:spacing w:line="300" w:lineRule="exact"/>
              <w:rPr>
                <w:rFonts w:ascii="方正书宋_GBK" w:eastAsia="方正书宋_GBK"/>
                <w:sz w:val="21"/>
                <w:szCs w:val="21"/>
              </w:rPr>
            </w:pPr>
            <w:r>
              <w:rPr>
                <w:rFonts w:ascii="方正书宋_GBK" w:eastAsia="方正书宋_GBK"/>
                <w:sz w:val="21"/>
                <w:szCs w:val="21"/>
              </w:rPr>
              <w:t>LNG</w:t>
            </w:r>
            <w:r>
              <w:rPr>
                <w:rFonts w:hint="eastAsia" w:ascii="方正书宋_GBK" w:eastAsia="方正书宋_GBK"/>
                <w:sz w:val="21"/>
                <w:szCs w:val="21"/>
              </w:rPr>
              <w:t>应急储备站建设数量</w:t>
            </w:r>
            <w:r>
              <w:rPr>
                <w:rFonts w:ascii="方正书宋_GBK" w:eastAsia="方正书宋_GBK"/>
                <w:sz w:val="21"/>
                <w:szCs w:val="21"/>
              </w:rPr>
              <w:t xml:space="preserve">  </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w:t>
            </w:r>
            <w:r>
              <w:rPr>
                <w:rFonts w:ascii="方正书宋_GBK" w:eastAsia="方正书宋_GBK"/>
                <w:sz w:val="21"/>
                <w:szCs w:val="21"/>
              </w:rPr>
              <w:t>LNG</w:t>
            </w:r>
            <w:r>
              <w:rPr>
                <w:rFonts w:hint="eastAsia" w:ascii="方正书宋_GBK" w:eastAsia="方正书宋_GBK"/>
                <w:sz w:val="21"/>
                <w:szCs w:val="21"/>
              </w:rPr>
              <w:t>应急储备站建设数量</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座</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储罐容积储备站</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应急储备站储罐水容积（</w:t>
            </w:r>
            <w:r>
              <w:rPr>
                <w:rFonts w:ascii="方正书宋_GBK" w:eastAsia="方正书宋_GBK"/>
                <w:sz w:val="21"/>
                <w:szCs w:val="21"/>
              </w:rPr>
              <w:t>m3</w:t>
            </w:r>
            <w:r>
              <w:rPr>
                <w:rFonts w:hint="eastAsia" w:ascii="方正书宋_GBK" w:eastAsia="方正书宋_GBK"/>
                <w:sz w:val="21"/>
                <w:szCs w:val="21"/>
              </w:rPr>
              <w:t>）</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5000</w:t>
            </w:r>
            <w:r>
              <w:rPr>
                <w:rFonts w:hint="eastAsia" w:ascii="方正书宋_GBK" w:eastAsia="方正书宋_GBK"/>
                <w:sz w:val="21"/>
                <w:szCs w:val="21"/>
              </w:rPr>
              <w:t>立方米</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储备站正常使用率</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储备站正常使用时间占使用总时间的比率</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60</w:t>
            </w:r>
            <w:r>
              <w:rPr>
                <w:rFonts w:hint="eastAsia" w:ascii="方正书宋_GBK" w:eastAsia="方正书宋_GBK"/>
                <w:sz w:val="21"/>
                <w:szCs w:val="21"/>
              </w:rPr>
              <w:t>百分比</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储备站气化能力</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应急储备站天然气气化能力（方</w:t>
            </w:r>
            <w:r>
              <w:rPr>
                <w:rFonts w:ascii="方正书宋_GBK" w:eastAsia="方正书宋_GBK"/>
                <w:sz w:val="21"/>
                <w:szCs w:val="21"/>
              </w:rPr>
              <w:t>/</w:t>
            </w:r>
            <w:r>
              <w:rPr>
                <w:rFonts w:hint="eastAsia" w:ascii="方正书宋_GBK" w:eastAsia="方正书宋_GBK"/>
                <w:sz w:val="21"/>
                <w:szCs w:val="21"/>
              </w:rPr>
              <w:t>小时）</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18000</w:t>
            </w:r>
            <w:r>
              <w:rPr>
                <w:rFonts w:hint="eastAsia" w:ascii="方正书宋_GBK" w:eastAsia="方正书宋_GBK"/>
                <w:sz w:val="21"/>
                <w:szCs w:val="21"/>
              </w:rPr>
              <w:t>方</w:t>
            </w:r>
            <w:r>
              <w:rPr>
                <w:rFonts w:ascii="方正书宋_GBK" w:eastAsia="方正书宋_GBK"/>
                <w:sz w:val="21"/>
                <w:szCs w:val="21"/>
              </w:rPr>
              <w:t>/</w:t>
            </w:r>
            <w:r>
              <w:rPr>
                <w:rFonts w:hint="eastAsia" w:ascii="方正书宋_GBK" w:eastAsia="方正书宋_GBK"/>
                <w:sz w:val="21"/>
                <w:szCs w:val="21"/>
              </w:rPr>
              <w:t>小时</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储备站天然气储备容积</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应急储备站天然气储备能力（万方）</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300</w:t>
            </w:r>
            <w:r>
              <w:rPr>
                <w:rFonts w:hint="eastAsia" w:ascii="方正书宋_GBK" w:eastAsia="方正书宋_GBK"/>
                <w:sz w:val="21"/>
                <w:szCs w:val="21"/>
              </w:rPr>
              <w:t>万方</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应急储备站供气能力</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供气能力提高，满足居民和工业用气需求量</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w:t>
            </w:r>
            <w:r>
              <w:rPr>
                <w:rFonts w:hint="eastAsia" w:ascii="方正书宋_GBK" w:eastAsia="方正书宋_GBK"/>
                <w:sz w:val="21"/>
                <w:szCs w:val="21"/>
              </w:rPr>
              <w:t>万方</w:t>
            </w:r>
            <w:r>
              <w:rPr>
                <w:rFonts w:ascii="方正书宋_GBK" w:eastAsia="方正书宋_GBK"/>
                <w:sz w:val="21"/>
                <w:szCs w:val="21"/>
              </w:rPr>
              <w:t>/</w:t>
            </w:r>
            <w:r>
              <w:rPr>
                <w:rFonts w:hint="eastAsia" w:ascii="方正书宋_GBK" w:eastAsia="方正书宋_GBK"/>
                <w:sz w:val="21"/>
                <w:szCs w:val="21"/>
              </w:rPr>
              <w:t>日</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群众满意数量占被调查人数的比例（</w:t>
            </w:r>
            <w:r>
              <w:rPr>
                <w:rFonts w:ascii="方正书宋_GBK" w:eastAsia="方正书宋_GBK"/>
                <w:sz w:val="21"/>
                <w:szCs w:val="21"/>
              </w:rPr>
              <w:t>%</w:t>
            </w:r>
            <w:r>
              <w:rPr>
                <w:rFonts w:hint="eastAsia" w:ascii="方正书宋_GBK" w:eastAsia="方正书宋_GBK"/>
                <w:sz w:val="21"/>
                <w:szCs w:val="21"/>
              </w:rPr>
              <w:t>）</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80</w:t>
            </w:r>
            <w:r>
              <w:rPr>
                <w:rFonts w:hint="eastAsia" w:ascii="方正书宋_GBK" w:eastAsia="方正书宋_GBK"/>
                <w:sz w:val="21"/>
                <w:szCs w:val="21"/>
              </w:rPr>
              <w:t>百分比</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32" w:name="_Toc67986623"/>
      <w:r>
        <w:rPr>
          <w:rFonts w:hint="eastAsia" w:ascii="仿宋" w:hAnsi="仿宋" w:eastAsia="仿宋" w:cs="仿宋"/>
          <w:b/>
          <w:sz w:val="28"/>
        </w:rPr>
        <w:t>22、退役军人工资绩效目标表</w:t>
      </w:r>
      <w:bookmarkEnd w:id="32"/>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22、退役军人工资绩效目标表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9"/>
        <w:gridCol w:w="1367"/>
        <w:gridCol w:w="1540"/>
        <w:gridCol w:w="1531"/>
        <w:gridCol w:w="1243"/>
        <w:gridCol w:w="1219"/>
        <w:gridCol w:w="16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303</w:t>
            </w:r>
            <w:r>
              <w:rPr>
                <w:rFonts w:hint="eastAsia" w:ascii="方正书宋_GBK" w:eastAsia="方正书宋_GBK"/>
                <w:b/>
                <w:sz w:val="21"/>
                <w:szCs w:val="21"/>
              </w:rPr>
              <w:t>石家庄市鹿泉区发展和改革局</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13011021XGBRLGSB1SBTB</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70</w:t>
            </w:r>
            <w:r>
              <w:rPr>
                <w:rFonts w:hint="eastAsia" w:ascii="方正书宋_GBK" w:eastAsia="方正书宋_GBK"/>
                <w:sz w:val="21"/>
                <w:szCs w:val="21"/>
                <w:lang w:eastAsia="zh-CN"/>
              </w:rPr>
              <w:t>.</w:t>
            </w:r>
            <w:r>
              <w:rPr>
                <w:rFonts w:ascii="方正书宋_GBK" w:eastAsia="方正书宋_GBK"/>
                <w:sz w:val="21"/>
                <w:szCs w:val="21"/>
              </w:rPr>
              <w:t>16</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70</w:t>
            </w:r>
            <w:r>
              <w:rPr>
                <w:rFonts w:hint="eastAsia" w:ascii="方正书宋_GBK" w:eastAsia="方正书宋_GBK"/>
                <w:sz w:val="21"/>
                <w:szCs w:val="21"/>
                <w:lang w:eastAsia="zh-CN"/>
              </w:rPr>
              <w:t>.</w:t>
            </w:r>
            <w:r>
              <w:rPr>
                <w:rFonts w:ascii="方正书宋_GBK" w:eastAsia="方正书宋_GBK"/>
                <w:sz w:val="21"/>
                <w:szCs w:val="21"/>
              </w:rPr>
              <w:t>16</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对符合政府安排工作条件退役士兵，帮扶救助，通过公益岗予以托管。我单位共有</w:t>
            </w:r>
            <w:r>
              <w:rPr>
                <w:rFonts w:ascii="方正书宋_GBK" w:eastAsia="方正书宋_GBK"/>
                <w:sz w:val="21"/>
                <w:szCs w:val="21"/>
              </w:rPr>
              <w:t>15</w:t>
            </w:r>
            <w:r>
              <w:rPr>
                <w:rFonts w:hint="eastAsia" w:ascii="方正书宋_GBK" w:eastAsia="方正书宋_GBK"/>
                <w:sz w:val="21"/>
                <w:szCs w:val="21"/>
              </w:rPr>
              <w:t>名退役人员，故</w:t>
            </w:r>
            <w:r>
              <w:rPr>
                <w:rFonts w:ascii="方正书宋_GBK" w:eastAsia="方正书宋_GBK"/>
                <w:sz w:val="21"/>
                <w:szCs w:val="21"/>
              </w:rPr>
              <w:t>2021</w:t>
            </w:r>
            <w:r>
              <w:rPr>
                <w:rFonts w:hint="eastAsia" w:ascii="方正书宋_GBK" w:eastAsia="方正书宋_GBK"/>
                <w:sz w:val="21"/>
                <w:szCs w:val="21"/>
              </w:rPr>
              <w:t>年退役军人工资及保险共计</w:t>
            </w:r>
            <w:r>
              <w:rPr>
                <w:rFonts w:ascii="方正书宋_GBK" w:eastAsia="方正书宋_GBK"/>
                <w:sz w:val="21"/>
                <w:szCs w:val="21"/>
              </w:rPr>
              <w:t>70</w:t>
            </w:r>
            <w:r>
              <w:rPr>
                <w:rFonts w:hint="eastAsia" w:ascii="方正书宋_GBK" w:eastAsia="方正书宋_GBK"/>
                <w:sz w:val="21"/>
                <w:szCs w:val="21"/>
                <w:lang w:eastAsia="zh-CN"/>
              </w:rPr>
              <w:t>.16万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对符合就业困难条件军队退役人员</w:t>
            </w:r>
            <w:r>
              <w:rPr>
                <w:rFonts w:ascii="方正书宋_GBK" w:eastAsia="方正书宋_GBK"/>
                <w:sz w:val="21"/>
                <w:szCs w:val="21"/>
              </w:rPr>
              <w:t>16</w:t>
            </w:r>
            <w:r>
              <w:rPr>
                <w:rFonts w:hint="eastAsia" w:ascii="方正书宋_GBK" w:eastAsia="方正书宋_GBK"/>
                <w:sz w:val="21"/>
                <w:szCs w:val="21"/>
              </w:rPr>
              <w:t>人，实行公益岗托管安置，帮扶救助工作，实现就业。</w:t>
            </w:r>
          </w:p>
        </w:tc>
      </w:tr>
    </w:tbl>
    <w:tbl>
      <w:tblPr>
        <w:tblStyle w:val="8"/>
        <w:tblpPr w:leftFromText="180" w:rightFromText="180" w:vertAnchor="text" w:horzAnchor="page" w:tblpXSpec="center" w:tblpY="6"/>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3045"/>
        <w:gridCol w:w="1214"/>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8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3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发放退役军人工资人数</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本年度发放退役军人工资的人数</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16</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退役军人发放工资到位率</w:t>
            </w:r>
            <w:r>
              <w:rPr>
                <w:rFonts w:ascii="方正书宋_GBK" w:eastAsia="方正书宋_GBK"/>
                <w:sz w:val="21"/>
                <w:szCs w:val="21"/>
              </w:rPr>
              <w:t>(%)</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实际到位扶助资金占应到位资金的比例</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退役军人工资按时发放率</w:t>
            </w:r>
            <w:r>
              <w:rPr>
                <w:rFonts w:ascii="方正书宋_GBK" w:eastAsia="方正书宋_GBK"/>
                <w:sz w:val="21"/>
                <w:szCs w:val="21"/>
              </w:rPr>
              <w:t>(%)</w:t>
            </w:r>
          </w:p>
        </w:tc>
        <w:tc>
          <w:tcPr>
            <w:tcW w:w="1582" w:type="pct"/>
            <w:vAlign w:val="center"/>
          </w:tcPr>
          <w:p>
            <w:pPr>
              <w:spacing w:line="300" w:lineRule="exact"/>
              <w:rPr>
                <w:rFonts w:ascii="方正书宋_GBK" w:eastAsia="方正书宋_GBK"/>
                <w:sz w:val="21"/>
                <w:szCs w:val="21"/>
              </w:rPr>
            </w:pPr>
            <w:r>
              <w:rPr>
                <w:rFonts w:ascii="方正书宋_GBK" w:eastAsia="方正书宋_GBK"/>
                <w:sz w:val="21"/>
                <w:szCs w:val="21"/>
              </w:rPr>
              <w:t xml:space="preserve"> </w:t>
            </w:r>
            <w:r>
              <w:rPr>
                <w:rFonts w:hint="eastAsia" w:ascii="方正书宋_GBK" w:eastAsia="方正书宋_GBK"/>
                <w:sz w:val="21"/>
                <w:szCs w:val="21"/>
              </w:rPr>
              <w:t>退役军人每月工资准时发放次数占总次数的比率</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退役军人每月工资发放标准</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退役军人平均每人每月工资发放标准</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2175</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r>
              <w:rPr>
                <w:rFonts w:ascii="方正书宋_GBK" w:eastAsia="方正书宋_GBK"/>
                <w:sz w:val="21"/>
                <w:szCs w:val="21"/>
              </w:rPr>
              <w:t>/</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托管安置人数</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实现退役军人托管安置人数</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16</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退役军人满意度</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bl>
    <w:p>
      <w:pPr>
        <w:spacing w:line="14" w:lineRule="exact"/>
        <w:jc w:val="center"/>
        <w:rPr>
          <w:rFonts w:hAnsi="宋体"/>
          <w:sz w:val="21"/>
          <w:szCs w:val="21"/>
        </w:rPr>
      </w:pPr>
      <w:r>
        <w:rPr>
          <w:rFonts w:ascii="方正书宋_GBK" w:eastAsia="方正书宋_GBK"/>
          <w:sz w:val="21"/>
          <w:szCs w:val="21"/>
        </w:rPr>
        <w:t xml:space="preserve"> </w:t>
      </w:r>
    </w:p>
    <w:p>
      <w:pPr>
        <w:spacing w:line="2" w:lineRule="exact"/>
        <w:jc w:val="center"/>
        <w:rPr>
          <w:sz w:val="21"/>
          <w:szCs w:val="21"/>
        </w:rPr>
      </w:pPr>
      <w:r>
        <w:rPr>
          <w:rFonts w:ascii="方正书宋_GBK" w:hAnsi="方正书宋_GBK" w:eastAsia="方正书宋_GBK" w:cs="方正书宋_GBK"/>
          <w:color w:val="000000"/>
          <w:sz w:val="21"/>
          <w:szCs w:val="21"/>
        </w:rPr>
        <w:t xml:space="preserve"> </w:t>
      </w:r>
    </w:p>
    <w:p>
      <w:pPr>
        <w:rPr>
          <w:sz w:val="21"/>
          <w:szCs w:val="21"/>
        </w:rPr>
        <w:sectPr>
          <w:pgSz w:w="11900" w:h="16838"/>
          <w:pgMar w:top="1020" w:right="1134" w:bottom="1020" w:left="1361" w:header="720" w:footer="720" w:gutter="0"/>
          <w:cols w:space="0" w:num="1"/>
        </w:sectPr>
      </w:pPr>
    </w:p>
    <w:p>
      <w:pPr>
        <w:spacing w:before="10" w:after="10" w:line="520" w:lineRule="exact"/>
        <w:ind w:firstLine="641"/>
        <w:outlineLvl w:val="2"/>
        <w:rPr>
          <w:rFonts w:eastAsia="方正仿宋_GBK"/>
          <w:b/>
          <w:bCs/>
          <w:color w:val="000000"/>
          <w:sz w:val="28"/>
        </w:rPr>
      </w:pPr>
      <w:bookmarkStart w:id="33" w:name="_Toc_3_3_0000000015"/>
      <w:r>
        <w:rPr>
          <w:rFonts w:hint="eastAsia" w:eastAsia="方正仿宋_GBK"/>
          <w:b/>
          <w:bCs/>
          <w:color w:val="000000"/>
          <w:sz w:val="28"/>
        </w:rPr>
        <w:t>六、政府采购预算情况</w:t>
      </w:r>
      <w:bookmarkEnd w:id="33"/>
    </w:p>
    <w:p>
      <w:pPr>
        <w:spacing w:line="500" w:lineRule="exact"/>
        <w:ind w:firstLine="560"/>
        <w:rPr>
          <w:rFonts w:eastAsia="方正仿宋_GBK"/>
          <w:color w:val="000000"/>
          <w:sz w:val="28"/>
        </w:rPr>
      </w:pPr>
      <w:r>
        <w:rPr>
          <w:rFonts w:hint="eastAsia" w:eastAsia="方正仿宋_GBK"/>
          <w:color w:val="000000"/>
          <w:sz w:val="28"/>
        </w:rPr>
        <w:t xml:space="preserve"> 2021年，我部门安排政府采购预算0万元，详见下表。</w:t>
      </w: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8"/>
        <w:gridCol w:w="644"/>
        <w:gridCol w:w="706"/>
        <w:gridCol w:w="884"/>
        <w:gridCol w:w="618"/>
        <w:gridCol w:w="565"/>
        <w:gridCol w:w="586"/>
        <w:gridCol w:w="590"/>
        <w:gridCol w:w="751"/>
        <w:gridCol w:w="699"/>
        <w:gridCol w:w="848"/>
        <w:gridCol w:w="670"/>
        <w:gridCol w:w="7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0" w:hRule="atLeast"/>
          <w:tblHeader/>
          <w:jc w:val="center"/>
        </w:trPr>
        <w:tc>
          <w:tcPr>
            <w:tcW w:w="5311" w:type="dxa"/>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rPr>
            </w:pPr>
            <w:r>
              <w:rPr>
                <w:rFonts w:hint="eastAsia" w:ascii="方正小标宋_GBK" w:eastAsia="方正小标宋_GBK"/>
                <w:lang w:eastAsia="zh-CN"/>
              </w:rPr>
              <w:t>303</w:t>
            </w:r>
            <w:r>
              <w:rPr>
                <w:rFonts w:hint="eastAsia" w:ascii="方正小标宋_GBK" w:eastAsia="方正小标宋_GBK"/>
              </w:rPr>
              <w:t>石家庄市鹿泉区发展和改革局</w:t>
            </w:r>
          </w:p>
        </w:tc>
        <w:tc>
          <w:tcPr>
            <w:tcW w:w="4310"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tblHeader/>
          <w:jc w:val="center"/>
        </w:trPr>
        <w:tc>
          <w:tcPr>
            <w:tcW w:w="1952" w:type="dxa"/>
            <w:gridSpan w:val="2"/>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政府采购项目来源</w:t>
            </w:r>
          </w:p>
        </w:tc>
        <w:tc>
          <w:tcPr>
            <w:tcW w:w="706"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采购物品名称</w:t>
            </w:r>
          </w:p>
        </w:tc>
        <w:tc>
          <w:tcPr>
            <w:tcW w:w="884"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政府采购目录序号</w:t>
            </w:r>
          </w:p>
        </w:tc>
        <w:tc>
          <w:tcPr>
            <w:tcW w:w="618"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计量单位</w:t>
            </w:r>
          </w:p>
        </w:tc>
        <w:tc>
          <w:tcPr>
            <w:tcW w:w="565"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数量</w:t>
            </w:r>
          </w:p>
        </w:tc>
        <w:tc>
          <w:tcPr>
            <w:tcW w:w="586"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单价</w:t>
            </w:r>
          </w:p>
        </w:tc>
        <w:tc>
          <w:tcPr>
            <w:tcW w:w="4310" w:type="dxa"/>
            <w:gridSpan w:val="6"/>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08"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项目名称</w:t>
            </w:r>
          </w:p>
        </w:tc>
        <w:tc>
          <w:tcPr>
            <w:tcW w:w="644"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预算资金</w:t>
            </w:r>
          </w:p>
        </w:tc>
        <w:tc>
          <w:tcPr>
            <w:tcW w:w="706" w:type="dxa"/>
            <w:vMerge w:val="continue"/>
            <w:vAlign w:val="center"/>
          </w:tcPr>
          <w:p>
            <w:pPr>
              <w:spacing w:line="300" w:lineRule="exact"/>
              <w:jc w:val="center"/>
              <w:rPr>
                <w:rFonts w:ascii="方正书宋_GBK" w:eastAsia="方正书宋_GBK"/>
                <w:b/>
                <w:bCs/>
                <w:sz w:val="21"/>
                <w:szCs w:val="21"/>
              </w:rPr>
            </w:pPr>
          </w:p>
        </w:tc>
        <w:tc>
          <w:tcPr>
            <w:tcW w:w="884" w:type="dxa"/>
            <w:vMerge w:val="continue"/>
            <w:vAlign w:val="center"/>
          </w:tcPr>
          <w:p>
            <w:pPr>
              <w:spacing w:line="300" w:lineRule="exact"/>
              <w:jc w:val="center"/>
              <w:rPr>
                <w:rFonts w:ascii="方正书宋_GBK" w:eastAsia="方正书宋_GBK"/>
                <w:b/>
                <w:bCs/>
                <w:sz w:val="21"/>
                <w:szCs w:val="21"/>
              </w:rPr>
            </w:pPr>
          </w:p>
        </w:tc>
        <w:tc>
          <w:tcPr>
            <w:tcW w:w="618" w:type="dxa"/>
            <w:vMerge w:val="continue"/>
            <w:vAlign w:val="center"/>
          </w:tcPr>
          <w:p>
            <w:pPr>
              <w:spacing w:line="300" w:lineRule="exact"/>
              <w:jc w:val="center"/>
              <w:rPr>
                <w:rFonts w:ascii="方正书宋_GBK" w:eastAsia="方正书宋_GBK"/>
                <w:b/>
                <w:bCs/>
                <w:sz w:val="21"/>
                <w:szCs w:val="21"/>
              </w:rPr>
            </w:pPr>
          </w:p>
        </w:tc>
        <w:tc>
          <w:tcPr>
            <w:tcW w:w="565" w:type="dxa"/>
            <w:vMerge w:val="continue"/>
            <w:vAlign w:val="center"/>
          </w:tcPr>
          <w:p>
            <w:pPr>
              <w:spacing w:line="300" w:lineRule="exact"/>
              <w:jc w:val="center"/>
              <w:rPr>
                <w:rFonts w:ascii="方正书宋_GBK" w:eastAsia="方正书宋_GBK"/>
                <w:b/>
                <w:bCs/>
                <w:sz w:val="21"/>
                <w:szCs w:val="21"/>
              </w:rPr>
            </w:pPr>
          </w:p>
        </w:tc>
        <w:tc>
          <w:tcPr>
            <w:tcW w:w="586" w:type="dxa"/>
            <w:vMerge w:val="continue"/>
            <w:vAlign w:val="center"/>
          </w:tcPr>
          <w:p>
            <w:pPr>
              <w:spacing w:line="300" w:lineRule="exact"/>
              <w:jc w:val="center"/>
              <w:rPr>
                <w:rFonts w:ascii="方正书宋_GBK" w:eastAsia="方正书宋_GBK"/>
                <w:b/>
                <w:bCs/>
                <w:sz w:val="21"/>
                <w:szCs w:val="21"/>
              </w:rPr>
            </w:pPr>
          </w:p>
        </w:tc>
        <w:tc>
          <w:tcPr>
            <w:tcW w:w="590"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合计</w:t>
            </w:r>
          </w:p>
        </w:tc>
        <w:tc>
          <w:tcPr>
            <w:tcW w:w="751"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一般公共预算拨款</w:t>
            </w:r>
          </w:p>
        </w:tc>
        <w:tc>
          <w:tcPr>
            <w:tcW w:w="699"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基金预算拨款</w:t>
            </w:r>
          </w:p>
        </w:tc>
        <w:tc>
          <w:tcPr>
            <w:tcW w:w="848"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国有资本经营预算拨款</w:t>
            </w:r>
          </w:p>
        </w:tc>
        <w:tc>
          <w:tcPr>
            <w:tcW w:w="670"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财政专户核拨</w:t>
            </w:r>
          </w:p>
        </w:tc>
        <w:tc>
          <w:tcPr>
            <w:tcW w:w="752"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jc w:val="center"/>
        </w:trPr>
        <w:tc>
          <w:tcPr>
            <w:tcW w:w="1308" w:type="dxa"/>
            <w:vAlign w:val="center"/>
          </w:tcPr>
          <w:p>
            <w:pPr>
              <w:spacing w:line="300" w:lineRule="exact"/>
              <w:rPr>
                <w:rFonts w:ascii="方正书宋_GBK" w:eastAsia="方正书宋_GBK"/>
                <w:sz w:val="21"/>
                <w:szCs w:val="21"/>
              </w:rPr>
            </w:pPr>
          </w:p>
        </w:tc>
        <w:tc>
          <w:tcPr>
            <w:tcW w:w="644" w:type="dxa"/>
            <w:vAlign w:val="center"/>
          </w:tcPr>
          <w:p>
            <w:pPr>
              <w:spacing w:line="300" w:lineRule="exact"/>
              <w:rPr>
                <w:rFonts w:ascii="方正书宋_GBK" w:eastAsia="方正书宋_GBK"/>
                <w:sz w:val="21"/>
                <w:szCs w:val="21"/>
              </w:rPr>
            </w:pPr>
          </w:p>
        </w:tc>
        <w:tc>
          <w:tcPr>
            <w:tcW w:w="706" w:type="dxa"/>
            <w:vAlign w:val="center"/>
          </w:tcPr>
          <w:p>
            <w:pPr>
              <w:spacing w:line="300" w:lineRule="exact"/>
              <w:rPr>
                <w:rFonts w:ascii="方正书宋_GBK" w:eastAsia="方正书宋_GBK"/>
                <w:sz w:val="21"/>
                <w:szCs w:val="21"/>
              </w:rPr>
            </w:pPr>
          </w:p>
        </w:tc>
        <w:tc>
          <w:tcPr>
            <w:tcW w:w="884" w:type="dxa"/>
            <w:vAlign w:val="center"/>
          </w:tcPr>
          <w:p>
            <w:pPr>
              <w:spacing w:line="300" w:lineRule="exact"/>
              <w:rPr>
                <w:rFonts w:ascii="方正书宋_GBK" w:eastAsia="方正书宋_GBK"/>
                <w:sz w:val="21"/>
                <w:szCs w:val="21"/>
              </w:rPr>
            </w:pPr>
          </w:p>
        </w:tc>
        <w:tc>
          <w:tcPr>
            <w:tcW w:w="618" w:type="dxa"/>
            <w:vAlign w:val="center"/>
          </w:tcPr>
          <w:p>
            <w:pPr>
              <w:spacing w:line="300" w:lineRule="exact"/>
              <w:rPr>
                <w:rFonts w:ascii="方正书宋_GBK" w:eastAsia="方正书宋_GBK"/>
                <w:sz w:val="21"/>
                <w:szCs w:val="21"/>
              </w:rPr>
            </w:pPr>
          </w:p>
        </w:tc>
        <w:tc>
          <w:tcPr>
            <w:tcW w:w="565" w:type="dxa"/>
            <w:vAlign w:val="center"/>
          </w:tcPr>
          <w:p>
            <w:pPr>
              <w:spacing w:line="300" w:lineRule="exact"/>
              <w:rPr>
                <w:rFonts w:ascii="方正书宋_GBK" w:eastAsia="方正书宋_GBK"/>
                <w:sz w:val="21"/>
                <w:szCs w:val="21"/>
              </w:rPr>
            </w:pPr>
          </w:p>
        </w:tc>
        <w:tc>
          <w:tcPr>
            <w:tcW w:w="586" w:type="dxa"/>
            <w:vAlign w:val="center"/>
          </w:tcPr>
          <w:p>
            <w:pPr>
              <w:spacing w:line="300" w:lineRule="exact"/>
              <w:rPr>
                <w:rFonts w:ascii="方正书宋_GBK" w:eastAsia="方正书宋_GBK"/>
                <w:sz w:val="21"/>
                <w:szCs w:val="21"/>
              </w:rPr>
            </w:pPr>
          </w:p>
        </w:tc>
        <w:tc>
          <w:tcPr>
            <w:tcW w:w="590" w:type="dxa"/>
            <w:vAlign w:val="center"/>
          </w:tcPr>
          <w:p>
            <w:pPr>
              <w:spacing w:line="300" w:lineRule="exact"/>
              <w:rPr>
                <w:rFonts w:ascii="方正书宋_GBK" w:eastAsia="方正书宋_GBK"/>
                <w:sz w:val="21"/>
                <w:szCs w:val="21"/>
                <w:lang w:eastAsia="zh-CN"/>
              </w:rPr>
            </w:pPr>
          </w:p>
        </w:tc>
        <w:tc>
          <w:tcPr>
            <w:tcW w:w="751" w:type="dxa"/>
            <w:vAlign w:val="center"/>
          </w:tcPr>
          <w:p>
            <w:pPr>
              <w:spacing w:line="300" w:lineRule="exact"/>
              <w:rPr>
                <w:rFonts w:ascii="方正书宋_GBK" w:eastAsia="方正书宋_GBK"/>
                <w:sz w:val="21"/>
                <w:szCs w:val="21"/>
              </w:rPr>
            </w:pPr>
          </w:p>
        </w:tc>
        <w:tc>
          <w:tcPr>
            <w:tcW w:w="699" w:type="dxa"/>
            <w:vAlign w:val="center"/>
          </w:tcPr>
          <w:p>
            <w:pPr>
              <w:spacing w:line="300" w:lineRule="exact"/>
              <w:rPr>
                <w:rFonts w:ascii="方正书宋_GBK" w:eastAsia="方正书宋_GBK"/>
                <w:sz w:val="21"/>
                <w:szCs w:val="21"/>
              </w:rPr>
            </w:pPr>
          </w:p>
        </w:tc>
        <w:tc>
          <w:tcPr>
            <w:tcW w:w="848" w:type="dxa"/>
            <w:vAlign w:val="center"/>
          </w:tcPr>
          <w:p>
            <w:pPr>
              <w:spacing w:line="300" w:lineRule="exact"/>
              <w:rPr>
                <w:rFonts w:ascii="方正书宋_GBK" w:eastAsia="方正书宋_GBK"/>
                <w:sz w:val="21"/>
                <w:szCs w:val="21"/>
              </w:rPr>
            </w:pPr>
          </w:p>
        </w:tc>
        <w:tc>
          <w:tcPr>
            <w:tcW w:w="670" w:type="dxa"/>
            <w:vAlign w:val="center"/>
          </w:tcPr>
          <w:p>
            <w:pPr>
              <w:spacing w:line="300" w:lineRule="exact"/>
              <w:rPr>
                <w:rFonts w:ascii="方正书宋_GBK" w:eastAsia="方正书宋_GBK"/>
                <w:sz w:val="21"/>
                <w:szCs w:val="21"/>
              </w:rPr>
            </w:pPr>
          </w:p>
        </w:tc>
        <w:tc>
          <w:tcPr>
            <w:tcW w:w="752" w:type="dxa"/>
            <w:vAlign w:val="center"/>
          </w:tcPr>
          <w:p>
            <w:pPr>
              <w:spacing w:line="300" w:lineRule="exac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0" w:hRule="atLeast"/>
          <w:jc w:val="center"/>
        </w:trPr>
        <w:tc>
          <w:tcPr>
            <w:tcW w:w="1308" w:type="dxa"/>
            <w:vAlign w:val="center"/>
          </w:tcPr>
          <w:p>
            <w:pPr>
              <w:spacing w:line="300" w:lineRule="exact"/>
              <w:jc w:val="center"/>
              <w:rPr>
                <w:rFonts w:ascii="方正书宋_GBK" w:eastAsia="方正书宋_GBK"/>
                <w:sz w:val="21"/>
                <w:szCs w:val="21"/>
              </w:rPr>
            </w:pPr>
          </w:p>
        </w:tc>
        <w:tc>
          <w:tcPr>
            <w:tcW w:w="644" w:type="dxa"/>
            <w:vAlign w:val="center"/>
          </w:tcPr>
          <w:p>
            <w:pPr>
              <w:spacing w:line="300" w:lineRule="exact"/>
              <w:rPr>
                <w:rFonts w:ascii="方正书宋_GBK" w:eastAsia="方正书宋_GBK"/>
                <w:sz w:val="21"/>
                <w:szCs w:val="21"/>
              </w:rPr>
            </w:pPr>
          </w:p>
        </w:tc>
        <w:tc>
          <w:tcPr>
            <w:tcW w:w="706" w:type="dxa"/>
            <w:vAlign w:val="center"/>
          </w:tcPr>
          <w:p>
            <w:pPr>
              <w:spacing w:line="300" w:lineRule="exact"/>
              <w:rPr>
                <w:rFonts w:ascii="方正书宋_GBK" w:eastAsia="方正书宋_GBK"/>
                <w:sz w:val="21"/>
                <w:szCs w:val="21"/>
              </w:rPr>
            </w:pPr>
          </w:p>
        </w:tc>
        <w:tc>
          <w:tcPr>
            <w:tcW w:w="884" w:type="dxa"/>
            <w:vAlign w:val="center"/>
          </w:tcPr>
          <w:p>
            <w:pPr>
              <w:spacing w:line="300" w:lineRule="exact"/>
              <w:rPr>
                <w:rFonts w:ascii="方正书宋_GBK" w:eastAsia="方正书宋_GBK"/>
                <w:sz w:val="21"/>
                <w:szCs w:val="21"/>
              </w:rPr>
            </w:pPr>
          </w:p>
        </w:tc>
        <w:tc>
          <w:tcPr>
            <w:tcW w:w="618" w:type="dxa"/>
            <w:vAlign w:val="center"/>
          </w:tcPr>
          <w:p>
            <w:pPr>
              <w:spacing w:line="300" w:lineRule="exact"/>
              <w:rPr>
                <w:rFonts w:ascii="方正书宋_GBK" w:eastAsia="方正书宋_GBK"/>
                <w:sz w:val="21"/>
                <w:szCs w:val="21"/>
              </w:rPr>
            </w:pPr>
          </w:p>
        </w:tc>
        <w:tc>
          <w:tcPr>
            <w:tcW w:w="565" w:type="dxa"/>
            <w:vAlign w:val="center"/>
          </w:tcPr>
          <w:p>
            <w:pPr>
              <w:spacing w:line="300" w:lineRule="exact"/>
              <w:rPr>
                <w:rFonts w:ascii="方正书宋_GBK" w:eastAsia="方正书宋_GBK"/>
                <w:sz w:val="21"/>
                <w:szCs w:val="21"/>
              </w:rPr>
            </w:pPr>
          </w:p>
        </w:tc>
        <w:tc>
          <w:tcPr>
            <w:tcW w:w="586" w:type="dxa"/>
            <w:vAlign w:val="center"/>
          </w:tcPr>
          <w:p>
            <w:pPr>
              <w:spacing w:line="300" w:lineRule="exact"/>
              <w:rPr>
                <w:rFonts w:ascii="方正书宋_GBK" w:eastAsia="方正书宋_GBK"/>
                <w:sz w:val="21"/>
                <w:szCs w:val="21"/>
              </w:rPr>
            </w:pPr>
          </w:p>
        </w:tc>
        <w:tc>
          <w:tcPr>
            <w:tcW w:w="590" w:type="dxa"/>
            <w:vAlign w:val="center"/>
          </w:tcPr>
          <w:p>
            <w:pPr>
              <w:spacing w:line="300" w:lineRule="exact"/>
              <w:rPr>
                <w:rFonts w:ascii="方正书宋_GBK" w:eastAsia="方正书宋_GBK"/>
                <w:sz w:val="21"/>
                <w:szCs w:val="21"/>
                <w:lang w:eastAsia="zh-CN"/>
              </w:rPr>
            </w:pPr>
          </w:p>
        </w:tc>
        <w:tc>
          <w:tcPr>
            <w:tcW w:w="751" w:type="dxa"/>
            <w:vAlign w:val="center"/>
          </w:tcPr>
          <w:p>
            <w:pPr>
              <w:spacing w:line="300" w:lineRule="exact"/>
              <w:rPr>
                <w:rFonts w:ascii="方正书宋_GBK" w:eastAsia="方正书宋_GBK"/>
                <w:sz w:val="21"/>
                <w:szCs w:val="21"/>
                <w:lang w:eastAsia="zh-CN"/>
              </w:rPr>
            </w:pPr>
          </w:p>
        </w:tc>
        <w:tc>
          <w:tcPr>
            <w:tcW w:w="699" w:type="dxa"/>
            <w:vAlign w:val="center"/>
          </w:tcPr>
          <w:p>
            <w:pPr>
              <w:spacing w:line="300" w:lineRule="exact"/>
              <w:rPr>
                <w:rFonts w:ascii="方正书宋_GBK" w:eastAsia="方正书宋_GBK"/>
                <w:sz w:val="21"/>
                <w:szCs w:val="21"/>
              </w:rPr>
            </w:pPr>
          </w:p>
        </w:tc>
        <w:tc>
          <w:tcPr>
            <w:tcW w:w="848" w:type="dxa"/>
            <w:vAlign w:val="center"/>
          </w:tcPr>
          <w:p>
            <w:pPr>
              <w:spacing w:line="300" w:lineRule="exact"/>
              <w:rPr>
                <w:rFonts w:ascii="方正书宋_GBK" w:eastAsia="方正书宋_GBK"/>
                <w:sz w:val="21"/>
                <w:szCs w:val="21"/>
              </w:rPr>
            </w:pPr>
          </w:p>
        </w:tc>
        <w:tc>
          <w:tcPr>
            <w:tcW w:w="670" w:type="dxa"/>
            <w:vAlign w:val="center"/>
          </w:tcPr>
          <w:p>
            <w:pPr>
              <w:spacing w:line="300" w:lineRule="exact"/>
              <w:rPr>
                <w:rFonts w:ascii="方正书宋_GBK" w:eastAsia="方正书宋_GBK"/>
                <w:sz w:val="21"/>
                <w:szCs w:val="21"/>
              </w:rPr>
            </w:pPr>
          </w:p>
        </w:tc>
        <w:tc>
          <w:tcPr>
            <w:tcW w:w="752" w:type="dxa"/>
            <w:vAlign w:val="center"/>
          </w:tcPr>
          <w:p>
            <w:pPr>
              <w:spacing w:line="300" w:lineRule="exact"/>
              <w:rPr>
                <w:rFonts w:ascii="方正书宋_GBK" w:eastAsia="方正书宋_GBK"/>
                <w:sz w:val="21"/>
                <w:szCs w:val="21"/>
              </w:rPr>
            </w:pPr>
          </w:p>
        </w:tc>
      </w:tr>
    </w:tbl>
    <w:p>
      <w:pPr>
        <w:spacing w:line="520" w:lineRule="exact"/>
        <w:ind w:firstLine="420"/>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spacing w:line="520" w:lineRule="exact"/>
        <w:ind w:firstLine="420"/>
        <w:rPr>
          <w:rFonts w:ascii="黑体" w:hAnsi="黑体" w:eastAsia="黑体" w:cs="黑体"/>
          <w:color w:val="000000"/>
          <w:sz w:val="32"/>
        </w:rPr>
      </w:pPr>
      <w:r>
        <w:rPr>
          <w:rFonts w:ascii="方正书宋_GBK" w:hAnsi="方正书宋_GBK" w:eastAsia="方正书宋_GBK" w:cs="方正书宋_GBK"/>
          <w:color w:val="000000"/>
          <w:sz w:val="21"/>
          <w:szCs w:val="21"/>
        </w:rPr>
        <w:t>注：无政府采购预算，空表列示。</w:t>
      </w:r>
      <w:bookmarkStart w:id="34" w:name="_Toc_3_3_0000000016"/>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七、国有资产信息</w:t>
      </w:r>
      <w:bookmarkEnd w:id="34"/>
    </w:p>
    <w:p>
      <w:pPr>
        <w:spacing w:line="500" w:lineRule="exact"/>
        <w:ind w:firstLine="560"/>
        <w:rPr>
          <w:rFonts w:eastAsia="方正仿宋_GBK"/>
          <w:color w:val="000000"/>
          <w:sz w:val="28"/>
        </w:rPr>
      </w:pPr>
      <w:r>
        <w:rPr>
          <w:rFonts w:hint="eastAsia" w:eastAsia="方正仿宋_GBK"/>
          <w:color w:val="000000"/>
          <w:sz w:val="28"/>
        </w:rPr>
        <w:t>石家庄市鹿泉区发展和改革局2020年末固定资产金额为5631.21万元（详见下表），本年度无拟购置固定资产。</w:t>
      </w:r>
    </w:p>
    <w:tbl>
      <w:tblPr>
        <w:tblStyle w:val="8"/>
        <w:tblpPr w:leftFromText="180" w:rightFromText="180" w:vertAnchor="text" w:horzAnchor="page" w:tblpXSpec="center" w:tblpY="252"/>
        <w:tblOverlap w:val="never"/>
        <w:tblW w:w="8040" w:type="dxa"/>
        <w:jc w:val="center"/>
        <w:tblLayout w:type="fixed"/>
        <w:tblCellMar>
          <w:top w:w="0" w:type="dxa"/>
          <w:left w:w="108" w:type="dxa"/>
          <w:bottom w:w="0" w:type="dxa"/>
          <w:right w:w="108" w:type="dxa"/>
        </w:tblCellMar>
      </w:tblPr>
      <w:tblGrid>
        <w:gridCol w:w="2925"/>
        <w:gridCol w:w="1830"/>
        <w:gridCol w:w="3285"/>
      </w:tblGrid>
      <w:tr>
        <w:tblPrEx>
          <w:tblCellMar>
            <w:top w:w="0" w:type="dxa"/>
            <w:left w:w="108" w:type="dxa"/>
            <w:bottom w:w="0" w:type="dxa"/>
            <w:right w:w="108" w:type="dxa"/>
          </w:tblCellMar>
        </w:tblPrEx>
        <w:trPr>
          <w:trHeight w:val="600" w:hRule="atLeast"/>
          <w:jc w:val="center"/>
        </w:trPr>
        <w:tc>
          <w:tcPr>
            <w:tcW w:w="8040" w:type="dxa"/>
            <w:gridSpan w:val="3"/>
            <w:tcBorders>
              <w:top w:val="nil"/>
              <w:left w:val="nil"/>
              <w:bottom w:val="nil"/>
              <w:right w:val="nil"/>
            </w:tcBorders>
            <w:vAlign w:val="center"/>
          </w:tcPr>
          <w:p>
            <w:pPr>
              <w:jc w:val="center"/>
              <w:rPr>
                <w:rFonts w:ascii="宋体" w:hAnsi="宋体" w:cs="宋体"/>
                <w:b/>
                <w:bCs/>
                <w:sz w:val="32"/>
                <w:szCs w:val="32"/>
              </w:rPr>
            </w:pPr>
            <w:r>
              <w:rPr>
                <w:rFonts w:hint="eastAsia" w:ascii="方正小标宋_GBK" w:hAnsi="方正小标宋_GBK" w:eastAsia="方正小标宋_GBK" w:cs="方正小标宋_GBK"/>
                <w:color w:val="000000"/>
                <w:sz w:val="36"/>
              </w:rPr>
              <w:t>固定资产占用情况表</w:t>
            </w:r>
          </w:p>
        </w:tc>
      </w:tr>
      <w:tr>
        <w:tblPrEx>
          <w:tblCellMar>
            <w:top w:w="0" w:type="dxa"/>
            <w:left w:w="108" w:type="dxa"/>
            <w:bottom w:w="0" w:type="dxa"/>
            <w:right w:w="108" w:type="dxa"/>
          </w:tblCellMar>
        </w:tblPrEx>
        <w:trPr>
          <w:trHeight w:val="510" w:hRule="atLeast"/>
          <w:jc w:val="center"/>
        </w:trPr>
        <w:tc>
          <w:tcPr>
            <w:tcW w:w="4755" w:type="dxa"/>
            <w:gridSpan w:val="2"/>
            <w:tcBorders>
              <w:top w:val="nil"/>
              <w:left w:val="nil"/>
              <w:bottom w:val="nil"/>
              <w:right w:val="nil"/>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编制部门</w:t>
            </w:r>
            <w:r>
              <w:rPr>
                <w:rFonts w:hint="eastAsia" w:ascii="方正书宋_GBK" w:eastAsia="方正书宋_GBK"/>
                <w:sz w:val="21"/>
                <w:szCs w:val="21"/>
                <w:lang w:eastAsia="zh-CN"/>
              </w:rPr>
              <w:t>：</w:t>
            </w:r>
            <w:r>
              <w:rPr>
                <w:rFonts w:hint="eastAsia" w:ascii="方正书宋_GBK" w:eastAsia="方正书宋_GBK"/>
                <w:sz w:val="21"/>
                <w:szCs w:val="21"/>
              </w:rPr>
              <w:t>石家庄市鹿泉区发展和改革局</w:t>
            </w:r>
          </w:p>
        </w:tc>
        <w:tc>
          <w:tcPr>
            <w:tcW w:w="3285" w:type="dxa"/>
            <w:tcBorders>
              <w:top w:val="nil"/>
              <w:left w:val="nil"/>
              <w:bottom w:val="nil"/>
              <w:right w:val="nil"/>
            </w:tcBorders>
            <w:vAlign w:val="center"/>
          </w:tcPr>
          <w:p>
            <w:pPr>
              <w:rPr>
                <w:rFonts w:eastAsia="仿宋"/>
                <w:sz w:val="22"/>
              </w:rPr>
            </w:pPr>
            <w:r>
              <w:rPr>
                <w:rFonts w:hint="eastAsia" w:ascii="方正书宋_GBK" w:eastAsia="方正书宋_GBK"/>
                <w:sz w:val="21"/>
                <w:szCs w:val="21"/>
              </w:rPr>
              <w:t>截止时间：2</w:t>
            </w:r>
            <w:r>
              <w:rPr>
                <w:rFonts w:hint="eastAsia" w:ascii="方正书宋_GBK" w:eastAsia="方正书宋_GBK"/>
                <w:sz w:val="21"/>
                <w:szCs w:val="21"/>
                <w:lang w:eastAsia="zh-CN"/>
              </w:rPr>
              <w:t>020</w:t>
            </w:r>
            <w:r>
              <w:rPr>
                <w:rFonts w:hint="eastAsia" w:ascii="方正书宋_GBK" w:eastAsia="方正书宋_GBK"/>
                <w:sz w:val="21"/>
                <w:szCs w:val="21"/>
              </w:rPr>
              <w:t>年12月31日</w:t>
            </w:r>
          </w:p>
        </w:tc>
      </w:tr>
      <w:tr>
        <w:tblPrEx>
          <w:tblCellMar>
            <w:top w:w="0" w:type="dxa"/>
            <w:left w:w="108" w:type="dxa"/>
            <w:bottom w:w="0" w:type="dxa"/>
            <w:right w:w="108" w:type="dxa"/>
          </w:tblCellMar>
        </w:tblPrEx>
        <w:trPr>
          <w:trHeight w:val="440" w:hRule="atLeast"/>
          <w:jc w:val="center"/>
        </w:trPr>
        <w:tc>
          <w:tcPr>
            <w:tcW w:w="29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项目</w:t>
            </w:r>
          </w:p>
        </w:tc>
        <w:tc>
          <w:tcPr>
            <w:tcW w:w="1830"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数量</w:t>
            </w:r>
          </w:p>
        </w:tc>
        <w:tc>
          <w:tcPr>
            <w:tcW w:w="3285"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48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资产总额</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5631.21</w:t>
            </w:r>
          </w:p>
        </w:tc>
      </w:tr>
      <w:tr>
        <w:tblPrEx>
          <w:tblCellMar>
            <w:top w:w="0" w:type="dxa"/>
            <w:left w:w="108" w:type="dxa"/>
            <w:bottom w:w="0" w:type="dxa"/>
            <w:right w:w="108" w:type="dxa"/>
          </w:tblCellMar>
        </w:tblPrEx>
        <w:trPr>
          <w:trHeight w:val="465"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1、房屋（平方米）</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3136.4</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403.22</w:t>
            </w:r>
          </w:p>
        </w:tc>
      </w:tr>
      <w:tr>
        <w:tblPrEx>
          <w:tblCellMar>
            <w:top w:w="0" w:type="dxa"/>
            <w:left w:w="108" w:type="dxa"/>
            <w:bottom w:w="0" w:type="dxa"/>
            <w:right w:w="108" w:type="dxa"/>
          </w:tblCellMar>
        </w:tblPrEx>
        <w:trPr>
          <w:trHeight w:val="51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其中：办公用房（平方米）</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3136.4</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403.22</w:t>
            </w:r>
          </w:p>
        </w:tc>
      </w:tr>
      <w:tr>
        <w:tblPrEx>
          <w:tblCellMar>
            <w:top w:w="0" w:type="dxa"/>
            <w:left w:w="108" w:type="dxa"/>
            <w:bottom w:w="0" w:type="dxa"/>
            <w:right w:w="108" w:type="dxa"/>
          </w:tblCellMar>
        </w:tblPrEx>
        <w:trPr>
          <w:trHeight w:val="552"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2、车辆（台、辆）</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6</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121.29</w:t>
            </w:r>
          </w:p>
        </w:tc>
      </w:tr>
      <w:tr>
        <w:tblPrEx>
          <w:tblCellMar>
            <w:top w:w="0" w:type="dxa"/>
            <w:left w:w="108" w:type="dxa"/>
            <w:bottom w:w="0" w:type="dxa"/>
            <w:right w:w="108" w:type="dxa"/>
          </w:tblCellMar>
        </w:tblPrEx>
        <w:trPr>
          <w:trHeight w:val="495"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3、单价在20万元以上设备</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4887.52</w:t>
            </w:r>
          </w:p>
        </w:tc>
      </w:tr>
      <w:tr>
        <w:tblPrEx>
          <w:tblCellMar>
            <w:top w:w="0" w:type="dxa"/>
            <w:left w:w="108" w:type="dxa"/>
            <w:bottom w:w="0" w:type="dxa"/>
            <w:right w:w="108" w:type="dxa"/>
          </w:tblCellMar>
        </w:tblPrEx>
        <w:trPr>
          <w:trHeight w:val="49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4、其他固定资产</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219.19</w:t>
            </w:r>
          </w:p>
        </w:tc>
      </w:tr>
    </w:tbl>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35" w:name="_Toc_3_3_0000000017"/>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八、名词解释</w:t>
      </w:r>
      <w:bookmarkEnd w:id="35"/>
    </w:p>
    <w:p>
      <w:pPr>
        <w:spacing w:line="500" w:lineRule="exact"/>
        <w:ind w:firstLine="560"/>
      </w:pPr>
      <w:r>
        <w:rPr>
          <w:rFonts w:eastAsia="方正仿宋_GBK"/>
          <w:color w:val="000000"/>
          <w:sz w:val="28"/>
        </w:rPr>
        <w:t>1、一般公共预算拨款收入：指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2、事业收入：指事业单位开展专业业务活动及辅助活动所取得的收入。</w:t>
      </w:r>
    </w:p>
    <w:p>
      <w:pPr>
        <w:spacing w:line="500" w:lineRule="exact"/>
        <w:ind w:firstLine="560"/>
      </w:pPr>
      <w:r>
        <w:rPr>
          <w:rFonts w:eastAsia="方正仿宋_GBK"/>
          <w:color w:val="000000"/>
          <w:sz w:val="28"/>
        </w:rPr>
        <w:t>3、其他收入：指除“一般公共预算拨款收入”、“事业收入”等以外的收入。主要是按规定动用的租房收入、存款利息收入等。</w:t>
      </w:r>
    </w:p>
    <w:p>
      <w:pPr>
        <w:spacing w:line="500" w:lineRule="exact"/>
        <w:ind w:firstLine="560"/>
      </w:pPr>
      <w:r>
        <w:rPr>
          <w:rFonts w:eastAsia="方正仿宋_GBK"/>
          <w:color w:val="000000"/>
          <w:sz w:val="28"/>
        </w:rPr>
        <w:t>4、基本支出：指为保障机构正常运转、完成日常工作任务而发生的人员支出和公用支出。</w:t>
      </w:r>
    </w:p>
    <w:p>
      <w:pPr>
        <w:spacing w:line="500" w:lineRule="exact"/>
        <w:ind w:firstLine="560"/>
      </w:pPr>
      <w:r>
        <w:rPr>
          <w:rFonts w:eastAsia="方正仿宋_GBK"/>
          <w:color w:val="000000"/>
          <w:sz w:val="28"/>
        </w:rPr>
        <w:t>5、项目支出：指在基本支出之外为完成特定行政任务和事业发展目标所发生的支出。</w:t>
      </w:r>
    </w:p>
    <w:p>
      <w:pPr>
        <w:spacing w:line="500" w:lineRule="exact"/>
        <w:ind w:firstLine="560"/>
      </w:pPr>
      <w:r>
        <w:rPr>
          <w:rFonts w:eastAsia="方正仿宋_GBK"/>
          <w:color w:val="000000"/>
          <w:sz w:val="28"/>
        </w:rPr>
        <w:t>6、上缴上级支出：指下级单位上缴上级的支出。</w:t>
      </w:r>
    </w:p>
    <w:p>
      <w:pPr>
        <w:spacing w:line="500" w:lineRule="exact"/>
        <w:ind w:firstLine="560"/>
      </w:pPr>
      <w:r>
        <w:rPr>
          <w:rFonts w:eastAsia="方正仿宋_GBK"/>
          <w:color w:val="000000"/>
          <w:sz w:val="28"/>
        </w:rPr>
        <w:t>7、“三公”经费：纳入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9、上年结转：指以前年度尚未完成、结转到本年仍按原规定用途继续使用的资金。</w:t>
      </w:r>
    </w:p>
    <w:p>
      <w:pPr>
        <w:spacing w:line="500" w:lineRule="exact"/>
        <w:ind w:firstLine="560"/>
      </w:pPr>
      <w:r>
        <w:rPr>
          <w:rFonts w:eastAsia="方正仿宋_GBK"/>
          <w:color w:val="000000"/>
          <w:sz w:val="28"/>
        </w:rPr>
        <w:t>10、事业单位经营支出：指事业单位在专业业务活动及其辅助活动之外开展非独立核算经营活动发生的支出。</w:t>
      </w:r>
    </w:p>
    <w:p>
      <w:pPr>
        <w:spacing w:before="10" w:after="10" w:line="520" w:lineRule="exact"/>
        <w:ind w:firstLine="641"/>
        <w:outlineLvl w:val="2"/>
        <w:rPr>
          <w:rFonts w:eastAsia="方正仿宋_GBK"/>
          <w:b/>
          <w:bCs/>
          <w:color w:val="000000"/>
          <w:sz w:val="28"/>
        </w:rPr>
      </w:pPr>
      <w:bookmarkStart w:id="36" w:name="_Toc_3_3_0000000018"/>
      <w:r>
        <w:rPr>
          <w:rFonts w:hint="eastAsia" w:eastAsia="方正仿宋_GBK"/>
          <w:b/>
          <w:bCs/>
          <w:color w:val="000000"/>
          <w:sz w:val="28"/>
        </w:rPr>
        <w:t>九、其他需要说明的事项</w:t>
      </w:r>
      <w:bookmarkEnd w:id="36"/>
    </w:p>
    <w:p>
      <w:pPr>
        <w:spacing w:line="500" w:lineRule="exact"/>
        <w:ind w:firstLine="560"/>
        <w:rPr>
          <w:rFonts w:eastAsia="方正仿宋_GBK"/>
          <w:color w:val="000000"/>
          <w:sz w:val="28"/>
        </w:rPr>
      </w:pPr>
      <w:r>
        <w:rPr>
          <w:rFonts w:eastAsia="方正仿宋_GBK"/>
          <w:color w:val="000000"/>
          <w:sz w:val="28"/>
        </w:rPr>
        <w:t>我部门无其他需要说明的事项。</w:t>
      </w:r>
    </w:p>
    <w:sectPr>
      <w:pgSz w:w="11900" w:h="16838"/>
      <w:pgMar w:top="1020" w:right="1134" w:bottom="1020" w:left="1361" w:header="720" w:footer="72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1</w:t>
                    </w:r>
                    <w:r>
                      <w:rPr>
                        <w:rFonts w:hint="eastAsia" w:eastAsia="宋体"/>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2</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lang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19</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50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49</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49</w:t>
                    </w:r>
                    <w:r>
                      <w:rPr>
                        <w:rFonts w:hint="eastAsia" w:eastAsia="宋体"/>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B48E0"/>
    <w:multiLevelType w:val="singleLevel"/>
    <w:tmpl w:val="C50B48E0"/>
    <w:lvl w:ilvl="0" w:tentative="0">
      <w:start w:val="2"/>
      <w:numFmt w:val="chineseCounting"/>
      <w:suff w:val="space"/>
      <w:lvlText w:val="第%1部分"/>
      <w:lvlJc w:val="left"/>
      <w:pPr>
        <w:ind w:left="63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drawingGridHorizontalSpacing w:val="240"/>
  <w:drawingGridVerticalSpacing w:val="-7946"/>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00B200AD"/>
    <w:rsid w:val="001260CF"/>
    <w:rsid w:val="00130D97"/>
    <w:rsid w:val="0013462D"/>
    <w:rsid w:val="001371F2"/>
    <w:rsid w:val="0017275A"/>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E6402"/>
    <w:rsid w:val="006F2B16"/>
    <w:rsid w:val="007161CE"/>
    <w:rsid w:val="00720B1E"/>
    <w:rsid w:val="007352C9"/>
    <w:rsid w:val="0074745C"/>
    <w:rsid w:val="00751866"/>
    <w:rsid w:val="00806A13"/>
    <w:rsid w:val="00807D75"/>
    <w:rsid w:val="00854F76"/>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09AE2C31"/>
    <w:rsid w:val="0C574F25"/>
    <w:rsid w:val="0FEA4A79"/>
    <w:rsid w:val="104D2DBC"/>
    <w:rsid w:val="13422F5C"/>
    <w:rsid w:val="1EB45954"/>
    <w:rsid w:val="2A407769"/>
    <w:rsid w:val="2ABD5857"/>
    <w:rsid w:val="2BB24B5E"/>
    <w:rsid w:val="2D897DC6"/>
    <w:rsid w:val="2F851013"/>
    <w:rsid w:val="30F427C0"/>
    <w:rsid w:val="34282259"/>
    <w:rsid w:val="3AF2432C"/>
    <w:rsid w:val="4D28580D"/>
    <w:rsid w:val="50853CED"/>
    <w:rsid w:val="5FD24A87"/>
    <w:rsid w:val="61213CA1"/>
    <w:rsid w:val="618108E6"/>
    <w:rsid w:val="61A213EE"/>
    <w:rsid w:val="74771E60"/>
    <w:rsid w:val="7A884496"/>
    <w:rsid w:val="7B225F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5"/>
    <w:autoRedefine/>
    <w:unhideWhenUsed/>
    <w:qFormat/>
    <w:uiPriority w:val="99"/>
    <w:pPr>
      <w:tabs>
        <w:tab w:val="center" w:pos="4153"/>
        <w:tab w:val="right" w:pos="8306"/>
      </w:tabs>
      <w:snapToGrid w:val="0"/>
    </w:pPr>
    <w:rPr>
      <w:sz w:val="18"/>
      <w:szCs w:val="18"/>
    </w:rPr>
  </w:style>
  <w:style w:type="paragraph" w:styleId="4">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autoRedefine/>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Char"/>
    <w:basedOn w:val="10"/>
    <w:link w:val="4"/>
    <w:qFormat/>
    <w:uiPriority w:val="99"/>
    <w:rPr>
      <w:rFonts w:eastAsia="Times New Roman"/>
      <w:sz w:val="18"/>
      <w:szCs w:val="18"/>
      <w:lang w:eastAsia="uk-UA"/>
    </w:rPr>
  </w:style>
  <w:style w:type="character" w:customStyle="1" w:styleId="35">
    <w:name w:val="页脚 Char"/>
    <w:basedOn w:val="10"/>
    <w:link w:val="3"/>
    <w:qFormat/>
    <w:uiPriority w:val="99"/>
    <w:rPr>
      <w:rFonts w:eastAsia="Times New Roman"/>
      <w:sz w:val="18"/>
      <w:szCs w:val="18"/>
      <w:lang w:eastAsia="uk-UA"/>
    </w:rPr>
  </w:style>
  <w:style w:type="character" w:customStyle="1" w:styleId="36">
    <w:name w:val="font61"/>
    <w:basedOn w:val="10"/>
    <w:qFormat/>
    <w:uiPriority w:val="0"/>
    <w:rPr>
      <w:rFonts w:hint="default" w:ascii="Times New Roman" w:hAnsi="Times New Roman" w:cs="Times New Roman"/>
      <w:b/>
      <w:color w:val="000000"/>
      <w:sz w:val="22"/>
      <w:szCs w:val="22"/>
      <w:u w:val="none"/>
    </w:rPr>
  </w:style>
  <w:style w:type="character" w:customStyle="1" w:styleId="37">
    <w:name w:val="font71"/>
    <w:basedOn w:val="10"/>
    <w:qFormat/>
    <w:uiPriority w:val="0"/>
    <w:rPr>
      <w:rFonts w:hint="eastAsia" w:ascii="宋体" w:hAnsi="宋体" w:eastAsia="宋体" w:cs="宋体"/>
      <w:b/>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2.xml"/><Relationship Id="rId7" Type="http://schemas.openxmlformats.org/officeDocument/2006/relationships/footer" Target="footer4.xml"/><Relationship Id="rId64" Type="http://schemas.openxmlformats.org/officeDocument/2006/relationships/fontTable" Target="fontTable.xml"/><Relationship Id="rId63" Type="http://schemas.openxmlformats.org/officeDocument/2006/relationships/customXml" Target="../customXml/item52.xml"/><Relationship Id="rId62" Type="http://schemas.openxmlformats.org/officeDocument/2006/relationships/customXml" Target="../customXml/item51.xml"/><Relationship Id="rId61" Type="http://schemas.openxmlformats.org/officeDocument/2006/relationships/customXml" Target="../customXml/item50.xml"/><Relationship Id="rId60" Type="http://schemas.openxmlformats.org/officeDocument/2006/relationships/customXml" Target="../customXml/item49.xml"/><Relationship Id="rId6" Type="http://schemas.openxmlformats.org/officeDocument/2006/relationships/footer" Target="footer3.xml"/><Relationship Id="rId59" Type="http://schemas.openxmlformats.org/officeDocument/2006/relationships/customXml" Target="../customXml/item48.xml"/><Relationship Id="rId58" Type="http://schemas.openxmlformats.org/officeDocument/2006/relationships/customXml" Target="../customXml/item47.xml"/><Relationship Id="rId57" Type="http://schemas.openxmlformats.org/officeDocument/2006/relationships/customXml" Target="../customXml/item46.xml"/><Relationship Id="rId56" Type="http://schemas.openxmlformats.org/officeDocument/2006/relationships/customXml" Target="../customXml/item45.xml"/><Relationship Id="rId55" Type="http://schemas.openxmlformats.org/officeDocument/2006/relationships/customXml" Target="../customXml/item44.xml"/><Relationship Id="rId54" Type="http://schemas.openxmlformats.org/officeDocument/2006/relationships/customXml" Target="../customXml/item43.xml"/><Relationship Id="rId53" Type="http://schemas.openxmlformats.org/officeDocument/2006/relationships/customXml" Target="../customXml/item42.xml"/><Relationship Id="rId52" Type="http://schemas.openxmlformats.org/officeDocument/2006/relationships/customXml" Target="../customXml/item41.xml"/><Relationship Id="rId51" Type="http://schemas.openxmlformats.org/officeDocument/2006/relationships/customXml" Target="../customXml/item40.xml"/><Relationship Id="rId50" Type="http://schemas.openxmlformats.org/officeDocument/2006/relationships/customXml" Target="../customXml/item39.xml"/><Relationship Id="rId5" Type="http://schemas.openxmlformats.org/officeDocument/2006/relationships/footer" Target="footer2.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footer" Target="footer1.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8.xml><?xml version="1.0" encoding="utf-8"?>
<b:Sources xmlns:b="http://schemas.openxmlformats.org/officeDocument/2006/bibliography" xmlns="http://schemas.openxmlformats.org/officeDocument/2006/bibliography" SelectedStyle="\APASixthEditionOfficeOnline.xsl" StyleName="APA" Version="6"/>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4B5C33E-E510-4881-824B-6C4B6BEAF7E2}">
  <ds:schemaRefs/>
</ds:datastoreItem>
</file>

<file path=customXml/itemProps11.xml><?xml version="1.0" encoding="utf-8"?>
<ds:datastoreItem xmlns:ds="http://schemas.openxmlformats.org/officeDocument/2006/customXml" ds:itemID="{C3E654A8-4E6F-471F-8C8C-02C137B2FAF1}">
  <ds:schemaRefs/>
</ds:datastoreItem>
</file>

<file path=customXml/itemProps12.xml><?xml version="1.0" encoding="utf-8"?>
<ds:datastoreItem xmlns:ds="http://schemas.openxmlformats.org/officeDocument/2006/customXml" ds:itemID="{1ED04FE6-E896-4FEE-A743-FB20CC51DF19}">
  <ds:schemaRefs/>
</ds:datastoreItem>
</file>

<file path=customXml/itemProps13.xml><?xml version="1.0" encoding="utf-8"?>
<ds:datastoreItem xmlns:ds="http://schemas.openxmlformats.org/officeDocument/2006/customXml" ds:itemID="{D0B34C87-332C-4635-A161-F5E21C493CB4}">
  <ds:schemaRefs/>
</ds:datastoreItem>
</file>

<file path=customXml/itemProps14.xml><?xml version="1.0" encoding="utf-8"?>
<ds:datastoreItem xmlns:ds="http://schemas.openxmlformats.org/officeDocument/2006/customXml" ds:itemID="{6E8AB950-49DD-4AD5-B48A-DE4B58150108}">
  <ds:schemaRefs/>
</ds:datastoreItem>
</file>

<file path=customXml/itemProps15.xml><?xml version="1.0" encoding="utf-8"?>
<ds:datastoreItem xmlns:ds="http://schemas.openxmlformats.org/officeDocument/2006/customXml" ds:itemID="{CAC81F54-E2B9-4BA3-AAE3-3C089A40C1F9}">
  <ds:schemaRefs/>
</ds:datastoreItem>
</file>

<file path=customXml/itemProps16.xml><?xml version="1.0" encoding="utf-8"?>
<ds:datastoreItem xmlns:ds="http://schemas.openxmlformats.org/officeDocument/2006/customXml" ds:itemID="{052B98F3-B65D-4B9D-8205-6EFC21113DB3}">
  <ds:schemaRefs/>
</ds:datastoreItem>
</file>

<file path=customXml/itemProps17.xml><?xml version="1.0" encoding="utf-8"?>
<ds:datastoreItem xmlns:ds="http://schemas.openxmlformats.org/officeDocument/2006/customXml" ds:itemID="{5C126D5D-CDDC-4F20-9B34-3E608D90EC4B}">
  <ds:schemaRefs/>
</ds:datastoreItem>
</file>

<file path=customXml/itemProps18.xml><?xml version="1.0" encoding="utf-8"?>
<ds:datastoreItem xmlns:ds="http://schemas.openxmlformats.org/officeDocument/2006/customXml" ds:itemID="{3F40F437-344F-4D56-BB4E-B1B754B77F85}">
  <ds:schemaRefs/>
</ds:datastoreItem>
</file>

<file path=customXml/itemProps19.xml><?xml version="1.0" encoding="utf-8"?>
<ds:datastoreItem xmlns:ds="http://schemas.openxmlformats.org/officeDocument/2006/customXml" ds:itemID="{5406D103-D3A9-47A3-8BB5-B72CF19271B2}">
  <ds:schemaRefs/>
</ds:datastoreItem>
</file>

<file path=customXml/itemProps2.xml><?xml version="1.0" encoding="utf-8"?>
<ds:datastoreItem xmlns:ds="http://schemas.openxmlformats.org/officeDocument/2006/customXml" ds:itemID="{76004064-E42E-42A6-849D-DF32827D7D9F}">
  <ds:schemaRefs/>
</ds:datastoreItem>
</file>

<file path=customXml/itemProps20.xml><?xml version="1.0" encoding="utf-8"?>
<ds:datastoreItem xmlns:ds="http://schemas.openxmlformats.org/officeDocument/2006/customXml" ds:itemID="{3876947B-5375-41BD-ADDB-46B1A73E144C}">
  <ds:schemaRefs/>
</ds:datastoreItem>
</file>

<file path=customXml/itemProps21.xml><?xml version="1.0" encoding="utf-8"?>
<ds:datastoreItem xmlns:ds="http://schemas.openxmlformats.org/officeDocument/2006/customXml" ds:itemID="{73C9F039-1D9F-4305-BB4F-372C70BD7863}">
  <ds:schemaRefs/>
</ds:datastoreItem>
</file>

<file path=customXml/itemProps22.xml><?xml version="1.0" encoding="utf-8"?>
<ds:datastoreItem xmlns:ds="http://schemas.openxmlformats.org/officeDocument/2006/customXml" ds:itemID="{3C7E501D-9384-43CC-BA38-1FFA6D3E1400}">
  <ds:schemaRefs/>
</ds:datastoreItem>
</file>

<file path=customXml/itemProps23.xml><?xml version="1.0" encoding="utf-8"?>
<ds:datastoreItem xmlns:ds="http://schemas.openxmlformats.org/officeDocument/2006/customXml" ds:itemID="{74CE19A5-D8B3-4993-BF8E-3D2C36E66850}">
  <ds:schemaRefs/>
</ds:datastoreItem>
</file>

<file path=customXml/itemProps24.xml><?xml version="1.0" encoding="utf-8"?>
<ds:datastoreItem xmlns:ds="http://schemas.openxmlformats.org/officeDocument/2006/customXml" ds:itemID="{DAB447C4-0BBB-491A-A9D8-75AB192328F7}">
  <ds:schemaRefs/>
</ds:datastoreItem>
</file>

<file path=customXml/itemProps25.xml><?xml version="1.0" encoding="utf-8"?>
<ds:datastoreItem xmlns:ds="http://schemas.openxmlformats.org/officeDocument/2006/customXml" ds:itemID="{88C2029B-8146-4499-8D6C-3689A653FB96}">
  <ds:schemaRefs/>
</ds:datastoreItem>
</file>

<file path=customXml/itemProps26.xml><?xml version="1.0" encoding="utf-8"?>
<ds:datastoreItem xmlns:ds="http://schemas.openxmlformats.org/officeDocument/2006/customXml" ds:itemID="{6F2B08C1-9EBF-4473-BF30-562BC23E76EC}">
  <ds:schemaRefs/>
</ds:datastoreItem>
</file>

<file path=customXml/itemProps27.xml><?xml version="1.0" encoding="utf-8"?>
<ds:datastoreItem xmlns:ds="http://schemas.openxmlformats.org/officeDocument/2006/customXml" ds:itemID="{83D6C4CA-9702-4BA9-B08C-D5336DF137DE}">
  <ds:schemaRefs/>
</ds:datastoreItem>
</file>

<file path=customXml/itemProps28.xml><?xml version="1.0" encoding="utf-8"?>
<ds:datastoreItem xmlns:ds="http://schemas.openxmlformats.org/officeDocument/2006/customXml" ds:itemID="{0E3EEC6F-B2E6-4848-B873-093794508A48}">
  <ds:schemaRefs/>
</ds:datastoreItem>
</file>

<file path=customXml/itemProps29.xml><?xml version="1.0" encoding="utf-8"?>
<ds:datastoreItem xmlns:ds="http://schemas.openxmlformats.org/officeDocument/2006/customXml" ds:itemID="{2876D4DB-182F-4A3F-AA8A-CFCD37B6E294}">
  <ds:schemaRefs/>
</ds:datastoreItem>
</file>

<file path=customXml/itemProps3.xml><?xml version="1.0" encoding="utf-8"?>
<ds:datastoreItem xmlns:ds="http://schemas.openxmlformats.org/officeDocument/2006/customXml" ds:itemID="{E4DB3DED-7A82-45A3-B2D4-4BFE4C8FFC9B}">
  <ds:schemaRefs/>
</ds:datastoreItem>
</file>

<file path=customXml/itemProps30.xml><?xml version="1.0" encoding="utf-8"?>
<ds:datastoreItem xmlns:ds="http://schemas.openxmlformats.org/officeDocument/2006/customXml" ds:itemID="{E8F42D8C-5603-4219-82E3-BE90EA530D51}">
  <ds:schemaRefs/>
</ds:datastoreItem>
</file>

<file path=customXml/itemProps31.xml><?xml version="1.0" encoding="utf-8"?>
<ds:datastoreItem xmlns:ds="http://schemas.openxmlformats.org/officeDocument/2006/customXml" ds:itemID="{3CE231B7-4B8F-43B1-BB93-122327D27C71}">
  <ds:schemaRefs/>
</ds:datastoreItem>
</file>

<file path=customXml/itemProps32.xml><?xml version="1.0" encoding="utf-8"?>
<ds:datastoreItem xmlns:ds="http://schemas.openxmlformats.org/officeDocument/2006/customXml" ds:itemID="{21276215-CCB1-4B33-9AFF-5FF4ADEB6D26}">
  <ds:schemaRefs/>
</ds:datastoreItem>
</file>

<file path=customXml/itemProps33.xml><?xml version="1.0" encoding="utf-8"?>
<ds:datastoreItem xmlns:ds="http://schemas.openxmlformats.org/officeDocument/2006/customXml" ds:itemID="{44841A29-CBBA-4EA8-BB72-8EFC5761153C}">
  <ds:schemaRefs/>
</ds:datastoreItem>
</file>

<file path=customXml/itemProps34.xml><?xml version="1.0" encoding="utf-8"?>
<ds:datastoreItem xmlns:ds="http://schemas.openxmlformats.org/officeDocument/2006/customXml" ds:itemID="{94F3F6FD-D183-4DF2-9D60-0DD380350BC7}">
  <ds:schemaRefs/>
</ds:datastoreItem>
</file>

<file path=customXml/itemProps35.xml><?xml version="1.0" encoding="utf-8"?>
<ds:datastoreItem xmlns:ds="http://schemas.openxmlformats.org/officeDocument/2006/customXml" ds:itemID="{AC94AA20-AAC8-4702-8341-1C16B3B47E1E}">
  <ds:schemaRefs/>
</ds:datastoreItem>
</file>

<file path=customXml/itemProps36.xml><?xml version="1.0" encoding="utf-8"?>
<ds:datastoreItem xmlns:ds="http://schemas.openxmlformats.org/officeDocument/2006/customXml" ds:itemID="{C187A29E-3F07-44DC-AA15-C162A4DBB8B0}">
  <ds:schemaRefs/>
</ds:datastoreItem>
</file>

<file path=customXml/itemProps37.xml><?xml version="1.0" encoding="utf-8"?>
<ds:datastoreItem xmlns:ds="http://schemas.openxmlformats.org/officeDocument/2006/customXml" ds:itemID="{4161E038-6BDA-4B56-829A-B9A6CBBCAF89}">
  <ds:schemaRefs/>
</ds:datastoreItem>
</file>

<file path=customXml/itemProps38.xml><?xml version="1.0" encoding="utf-8"?>
<ds:datastoreItem xmlns:ds="http://schemas.openxmlformats.org/officeDocument/2006/customXml" ds:itemID="{B0C7E233-F3C6-4BE0-936C-7ED923641E9A}">
  <ds:schemaRefs/>
</ds:datastoreItem>
</file>

<file path=customXml/itemProps39.xml><?xml version="1.0" encoding="utf-8"?>
<ds:datastoreItem xmlns:ds="http://schemas.openxmlformats.org/officeDocument/2006/customXml" ds:itemID="{284F34FE-6D40-4B15-B982-8B34D7F3FBCA}">
  <ds:schemaRefs/>
</ds:datastoreItem>
</file>

<file path=customXml/itemProps4.xml><?xml version="1.0" encoding="utf-8"?>
<ds:datastoreItem xmlns:ds="http://schemas.openxmlformats.org/officeDocument/2006/customXml" ds:itemID="{1D2C6853-5D07-4F2E-81B0-D431A6C37BF1}">
  <ds:schemaRefs/>
</ds:datastoreItem>
</file>

<file path=customXml/itemProps40.xml><?xml version="1.0" encoding="utf-8"?>
<ds:datastoreItem xmlns:ds="http://schemas.openxmlformats.org/officeDocument/2006/customXml" ds:itemID="{221E60F8-665C-4A98-96FF-FE2A8514F1A1}">
  <ds:schemaRefs/>
</ds:datastoreItem>
</file>

<file path=customXml/itemProps41.xml><?xml version="1.0" encoding="utf-8"?>
<ds:datastoreItem xmlns:ds="http://schemas.openxmlformats.org/officeDocument/2006/customXml" ds:itemID="{8A2C20EF-8C57-4032-B775-C6B2FC7C0D4C}">
  <ds:schemaRefs/>
</ds:datastoreItem>
</file>

<file path=customXml/itemProps42.xml><?xml version="1.0" encoding="utf-8"?>
<ds:datastoreItem xmlns:ds="http://schemas.openxmlformats.org/officeDocument/2006/customXml" ds:itemID="{1C1E0200-9266-4F7E-A46D-9D2ECB5D5CB5}">
  <ds:schemaRefs/>
</ds:datastoreItem>
</file>

<file path=customXml/itemProps43.xml><?xml version="1.0" encoding="utf-8"?>
<ds:datastoreItem xmlns:ds="http://schemas.openxmlformats.org/officeDocument/2006/customXml" ds:itemID="{F1EAC11C-7F89-476F-B619-69E5E9FAA100}">
  <ds:schemaRefs/>
</ds:datastoreItem>
</file>

<file path=customXml/itemProps44.xml><?xml version="1.0" encoding="utf-8"?>
<ds:datastoreItem xmlns:ds="http://schemas.openxmlformats.org/officeDocument/2006/customXml" ds:itemID="{45941831-FFBA-441F-AE8D-718B8B551A1D}">
  <ds:schemaRefs/>
</ds:datastoreItem>
</file>

<file path=customXml/itemProps45.xml><?xml version="1.0" encoding="utf-8"?>
<ds:datastoreItem xmlns:ds="http://schemas.openxmlformats.org/officeDocument/2006/customXml" ds:itemID="{8995EDC1-54BB-4D1B-B366-CC090B70C173}">
  <ds:schemaRefs/>
</ds:datastoreItem>
</file>

<file path=customXml/itemProps46.xml><?xml version="1.0" encoding="utf-8"?>
<ds:datastoreItem xmlns:ds="http://schemas.openxmlformats.org/officeDocument/2006/customXml" ds:itemID="{F51B2312-8862-406F-886D-A41A01041C26}">
  <ds:schemaRefs/>
</ds:datastoreItem>
</file>

<file path=customXml/itemProps47.xml><?xml version="1.0" encoding="utf-8"?>
<ds:datastoreItem xmlns:ds="http://schemas.openxmlformats.org/officeDocument/2006/customXml" ds:itemID="{F474B237-5590-4A5D-9532-92DF405B8328}">
  <ds:schemaRefs/>
</ds:datastoreItem>
</file>

<file path=customXml/itemProps48.xml><?xml version="1.0" encoding="utf-8"?>
<ds:datastoreItem xmlns:ds="http://schemas.openxmlformats.org/officeDocument/2006/customXml" ds:itemID="{C0B3375F-D7FD-4B46-B6B2-57CEAA3F2C2F}">
  <ds:schemaRefs/>
</ds:datastoreItem>
</file>

<file path=customXml/itemProps49.xml><?xml version="1.0" encoding="utf-8"?>
<ds:datastoreItem xmlns:ds="http://schemas.openxmlformats.org/officeDocument/2006/customXml" ds:itemID="{04DC5A26-6BED-4079-9ECF-0EAAD5945ECE}">
  <ds:schemaRefs/>
</ds:datastoreItem>
</file>

<file path=customXml/itemProps5.xml><?xml version="1.0" encoding="utf-8"?>
<ds:datastoreItem xmlns:ds="http://schemas.openxmlformats.org/officeDocument/2006/customXml" ds:itemID="{94873E0B-80B1-4E9F-9967-A142C76B9A3C}">
  <ds:schemaRefs/>
</ds:datastoreItem>
</file>

<file path=customXml/itemProps50.xml><?xml version="1.0" encoding="utf-8"?>
<ds:datastoreItem xmlns:ds="http://schemas.openxmlformats.org/officeDocument/2006/customXml" ds:itemID="{C32E9EBA-2253-42C8-A3AF-17F0D2B0DF5F}">
  <ds:schemaRefs/>
</ds:datastoreItem>
</file>

<file path=customXml/itemProps51.xml><?xml version="1.0" encoding="utf-8"?>
<ds:datastoreItem xmlns:ds="http://schemas.openxmlformats.org/officeDocument/2006/customXml" ds:itemID="{23A1A8F0-B514-4869-9FD6-78847D5CE0F1}">
  <ds:schemaRefs/>
</ds:datastoreItem>
</file>

<file path=customXml/itemProps52.xml><?xml version="1.0" encoding="utf-8"?>
<ds:datastoreItem xmlns:ds="http://schemas.openxmlformats.org/officeDocument/2006/customXml" ds:itemID="{AEB530F0-49BB-46F3-B486-EB1F93EE1F0D}">
  <ds:schemaRefs/>
</ds:datastoreItem>
</file>

<file path=customXml/itemProps6.xml><?xml version="1.0" encoding="utf-8"?>
<ds:datastoreItem xmlns:ds="http://schemas.openxmlformats.org/officeDocument/2006/customXml" ds:itemID="{EA084D54-B54B-435F-A81C-B486416EC7B0}">
  <ds:schemaRefs/>
</ds:datastoreItem>
</file>

<file path=customXml/itemProps7.xml><?xml version="1.0" encoding="utf-8"?>
<ds:datastoreItem xmlns:ds="http://schemas.openxmlformats.org/officeDocument/2006/customXml" ds:itemID="{F74CA73A-5907-485C-AD71-465C67FF9138}">
  <ds:schemaRefs/>
</ds:datastoreItem>
</file>

<file path=customXml/itemProps8.xml><?xml version="1.0" encoding="utf-8"?>
<ds:datastoreItem xmlns:ds="http://schemas.openxmlformats.org/officeDocument/2006/customXml" ds:itemID="{273A4801-8B9C-4926-9207-C70B05983953}">
  <ds:schemaRefs/>
</ds:datastoreItem>
</file>

<file path=customXml/itemProps9.xml><?xml version="1.0" encoding="utf-8"?>
<ds:datastoreItem xmlns:ds="http://schemas.openxmlformats.org/officeDocument/2006/customXml" ds:itemID="{49661B6A-3116-43F0-9BA5-67639664095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50</Pages>
  <Words>22969</Words>
  <Characters>28466</Characters>
  <Lines>254</Lines>
  <Paragraphs>71</Paragraphs>
  <TotalTime>46</TotalTime>
  <ScaleCrop>false</ScaleCrop>
  <LinksUpToDate>false</LinksUpToDate>
  <CharactersWithSpaces>28583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985464</cp:lastModifiedBy>
  <dcterms:modified xsi:type="dcterms:W3CDTF">2024-07-08T09:10:59Z</dcterms:modified>
  <dc:title>2022年部门预算信息公开目录</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6BC20FAC370D45B8A2B57E37D8FEBFA3</vt:lpwstr>
  </property>
</Properties>
</file>