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right="0" w:rightChars="0"/>
        <w:jc w:val="both"/>
        <w:textAlignment w:val="auto"/>
        <w:outlineLvl w:val="9"/>
        <w:rPr>
          <w:rFonts w:hint="eastAsia" w:ascii="黑体" w:hAnsi="黑体" w:eastAsia="黑体" w:cs="黑体"/>
          <w:b w:val="0"/>
          <w:bCs w:val="0"/>
          <w:sz w:val="32"/>
          <w:szCs w:val="32"/>
          <w:lang w:val="en-US" w:eastAsia="zh-CN"/>
        </w:rPr>
      </w:pPr>
    </w:p>
    <w:p>
      <w:pPr>
        <w:spacing w:line="360" w:lineRule="auto"/>
        <w:ind w:left="0" w:leftChars="0" w:right="0" w:rightChars="0" w:firstLine="0" w:firstLineChars="0"/>
        <w:jc w:val="center"/>
        <w:rPr>
          <w:rFonts w:hint="eastAsia" w:ascii="华文楷体" w:eastAsia="华文楷体"/>
          <w:sz w:val="32"/>
          <w:szCs w:val="32"/>
          <w:lang w:eastAsia="zh-CN"/>
        </w:rPr>
      </w:pPr>
      <w:r>
        <w:rPr>
          <w:rFonts w:hint="eastAsia" w:ascii="宋体"/>
          <w:b/>
          <w:bCs/>
          <w:sz w:val="36"/>
          <w:szCs w:val="32"/>
          <w:lang w:eastAsia="zh-CN"/>
        </w:rPr>
        <w:t>培训费项目</w:t>
      </w:r>
      <w:r>
        <w:rPr>
          <w:rFonts w:hint="eastAsia" w:ascii="宋体"/>
          <w:b/>
          <w:bCs/>
          <w:sz w:val="36"/>
          <w:szCs w:val="32"/>
        </w:rPr>
        <w:t>绩效评价报告（正文）</w:t>
      </w:r>
    </w:p>
    <w:p>
      <w:pPr>
        <w:spacing w:line="360" w:lineRule="auto"/>
        <w:ind w:left="0" w:leftChars="0" w:right="0" w:rightChars="0" w:firstLine="0" w:firstLineChars="0"/>
        <w:jc w:val="center"/>
        <w:rPr>
          <w:rFonts w:hint="eastAsia" w:ascii="仿宋" w:hAnsi="仿宋" w:eastAsia="仿宋" w:cs="仿宋"/>
          <w:sz w:val="32"/>
          <w:szCs w:val="32"/>
          <w:lang w:eastAsia="zh-CN"/>
        </w:rPr>
      </w:pPr>
    </w:p>
    <w:p>
      <w:pPr>
        <w:spacing w:line="360" w:lineRule="auto"/>
        <w:ind w:left="0" w:leftChars="0" w:right="0" w:rightChars="0" w:firstLine="0" w:firstLineChars="0"/>
        <w:jc w:val="center"/>
        <w:rPr>
          <w:rFonts w:hint="eastAsia" w:ascii="仿宋" w:hAnsi="仿宋" w:eastAsia="仿宋" w:cs="仿宋"/>
          <w:sz w:val="32"/>
          <w:szCs w:val="32"/>
          <w:lang w:eastAsia="zh-CN"/>
        </w:rPr>
      </w:pPr>
      <w:r>
        <w:rPr>
          <w:rFonts w:hint="eastAsia" w:ascii="仿宋" w:hAnsi="仿宋" w:eastAsia="仿宋" w:cs="仿宋"/>
          <w:sz w:val="32"/>
          <w:szCs w:val="32"/>
          <w:lang w:eastAsia="zh-CN"/>
        </w:rPr>
        <w:t>（参考格式）</w:t>
      </w:r>
    </w:p>
    <w:p>
      <w:pPr>
        <w:spacing w:line="360" w:lineRule="auto"/>
        <w:ind w:left="0" w:leftChars="0" w:right="0" w:rightChars="0" w:firstLine="0" w:firstLineChars="0"/>
        <w:jc w:val="center"/>
        <w:rPr>
          <w:rFonts w:hint="eastAsia" w:ascii="华文楷体" w:eastAsia="华文楷体"/>
          <w:sz w:val="32"/>
          <w:szCs w:val="32"/>
          <w:lang w:eastAsia="zh-CN"/>
        </w:rPr>
      </w:pPr>
    </w:p>
    <w:p>
      <w:pPr>
        <w:adjustRightInd w:val="0"/>
        <w:snapToGrid w:val="0"/>
        <w:spacing w:line="360" w:lineRule="auto"/>
        <w:ind w:firstLine="640" w:firstLineChars="200"/>
        <w:rPr>
          <w:rFonts w:hint="eastAsia" w:ascii="仿宋_GB2312" w:eastAsia="仿宋_GB2312"/>
          <w:sz w:val="32"/>
          <w:szCs w:val="32"/>
        </w:rPr>
      </w:pPr>
      <w:r>
        <w:rPr>
          <w:rFonts w:hint="eastAsia" w:ascii="仿宋_GB2312" w:eastAsia="仿宋_GB2312"/>
          <w:sz w:val="32"/>
          <w:szCs w:val="32"/>
        </w:rPr>
        <w:t>根据《</w:t>
      </w:r>
      <w:r>
        <w:rPr>
          <w:rFonts w:hint="eastAsia" w:ascii="仿宋_GB2312" w:eastAsia="仿宋_GB2312"/>
          <w:sz w:val="32"/>
          <w:szCs w:val="32"/>
          <w:lang w:eastAsia="zh-CN"/>
        </w:rPr>
        <w:t>石家庄市鹿泉区区级部门预算绩效管理办法</w:t>
      </w:r>
      <w:r>
        <w:rPr>
          <w:rFonts w:hint="eastAsia" w:ascii="仿宋_GB2312" w:eastAsia="仿宋_GB2312"/>
          <w:sz w:val="32"/>
          <w:szCs w:val="32"/>
        </w:rPr>
        <w:t>》</w:t>
      </w:r>
      <w:r>
        <w:rPr>
          <w:rFonts w:hint="eastAsia" w:ascii="仿宋_GB2312" w:eastAsia="仿宋_GB2312"/>
          <w:sz w:val="32"/>
          <w:szCs w:val="32"/>
          <w:lang w:eastAsia="zh-CN"/>
        </w:rPr>
        <w:t>（鹿</w:t>
      </w:r>
      <w:r>
        <w:rPr>
          <w:rFonts w:hint="eastAsia" w:ascii="仿宋_GB2312" w:eastAsia="仿宋_GB2312"/>
          <w:sz w:val="32"/>
          <w:szCs w:val="32"/>
          <w:lang w:val="en-US" w:eastAsia="zh-CN"/>
        </w:rPr>
        <w:t>财字[2019]65号）</w:t>
      </w:r>
      <w:r>
        <w:rPr>
          <w:rFonts w:hint="eastAsia" w:ascii="仿宋_GB2312" w:eastAsia="仿宋_GB2312"/>
          <w:sz w:val="32"/>
          <w:szCs w:val="32"/>
        </w:rPr>
        <w:t>，遵循“科学性、规范性、客观性和公正性”的原则，对</w:t>
      </w:r>
      <w:r>
        <w:rPr>
          <w:rFonts w:hint="eastAsia" w:ascii="仿宋_GB2312" w:eastAsia="仿宋_GB2312"/>
          <w:sz w:val="32"/>
          <w:szCs w:val="32"/>
          <w:lang w:eastAsia="zh-CN"/>
        </w:rPr>
        <w:t>培训费项目</w:t>
      </w:r>
      <w:r>
        <w:rPr>
          <w:rFonts w:hint="eastAsia" w:ascii="仿宋_GB2312" w:eastAsia="仿宋_GB2312"/>
          <w:sz w:val="32"/>
          <w:szCs w:val="32"/>
        </w:rPr>
        <w:t>实施了</w:t>
      </w:r>
      <w:r>
        <w:rPr>
          <w:rFonts w:hint="eastAsia" w:ascii="仿宋_GB2312" w:eastAsia="仿宋_GB2312"/>
          <w:sz w:val="32"/>
          <w:szCs w:val="32"/>
          <w:lang w:eastAsia="zh-CN"/>
        </w:rPr>
        <w:t>绩效</w:t>
      </w:r>
      <w:r>
        <w:rPr>
          <w:rFonts w:hint="eastAsia" w:ascii="仿宋_GB2312" w:eastAsia="仿宋_GB2312"/>
          <w:sz w:val="32"/>
          <w:szCs w:val="32"/>
        </w:rPr>
        <w:t>评价，形成本评价报告。</w:t>
      </w:r>
    </w:p>
    <w:p>
      <w:pPr>
        <w:adjustRightInd w:val="0"/>
        <w:snapToGrid w:val="0"/>
        <w:spacing w:line="360" w:lineRule="auto"/>
        <w:rPr>
          <w:rFonts w:hint="eastAsia" w:ascii="黑体" w:eastAsia="黑体"/>
          <w:b/>
          <w:bCs/>
          <w:sz w:val="32"/>
          <w:szCs w:val="36"/>
        </w:rPr>
      </w:pPr>
      <w:r>
        <w:rPr>
          <w:rFonts w:hint="eastAsia" w:ascii="黑体" w:eastAsia="黑体"/>
          <w:sz w:val="32"/>
          <w:szCs w:val="32"/>
          <w:lang w:val="en-US" w:eastAsia="zh-CN"/>
        </w:rPr>
        <w:t xml:space="preserve">    </w:t>
      </w:r>
      <w:r>
        <w:rPr>
          <w:rFonts w:hint="eastAsia" w:ascii="黑体" w:eastAsia="黑体"/>
          <w:b w:val="0"/>
          <w:bCs w:val="0"/>
          <w:sz w:val="32"/>
          <w:szCs w:val="32"/>
        </w:rPr>
        <w:t>一、</w:t>
      </w:r>
      <w:r>
        <w:rPr>
          <w:rFonts w:hint="eastAsia" w:ascii="黑体" w:eastAsia="黑体"/>
          <w:b w:val="0"/>
          <w:bCs w:val="0"/>
          <w:sz w:val="32"/>
          <w:szCs w:val="32"/>
          <w:lang w:eastAsia="zh-CN"/>
        </w:rPr>
        <w:t>项目</w:t>
      </w:r>
      <w:r>
        <w:rPr>
          <w:rFonts w:hint="eastAsia" w:ascii="黑体" w:eastAsia="黑体"/>
          <w:b w:val="0"/>
          <w:bCs w:val="0"/>
          <w:sz w:val="32"/>
          <w:szCs w:val="36"/>
        </w:rPr>
        <w:t>基本情况</w:t>
      </w:r>
    </w:p>
    <w:p>
      <w:pPr>
        <w:adjustRightInd w:val="0"/>
        <w:snapToGrid w:val="0"/>
        <w:spacing w:line="360" w:lineRule="auto"/>
        <w:ind w:firstLine="640" w:firstLineChars="200"/>
        <w:rPr>
          <w:rFonts w:hint="eastAsia" w:ascii="楷体_GB2312" w:hAnsi="楷体_GB2312" w:eastAsia="楷体_GB2312" w:cs="楷体_GB2312"/>
          <w:b w:val="0"/>
          <w:bCs w:val="0"/>
          <w:sz w:val="32"/>
          <w:szCs w:val="32"/>
        </w:rPr>
      </w:pPr>
      <w:r>
        <w:rPr>
          <w:rFonts w:hint="eastAsia" w:ascii="楷体_GB2312" w:hAnsi="楷体_GB2312" w:eastAsia="楷体_GB2312" w:cs="楷体_GB2312"/>
          <w:b w:val="0"/>
          <w:bCs w:val="0"/>
          <w:sz w:val="32"/>
          <w:szCs w:val="32"/>
        </w:rPr>
        <w:t>（一）项目概况</w:t>
      </w:r>
    </w:p>
    <w:p>
      <w:pPr>
        <w:adjustRightInd w:val="0"/>
        <w:snapToGrid w:val="0"/>
        <w:spacing w:line="360" w:lineRule="auto"/>
        <w:ind w:firstLine="640" w:firstLineChars="200"/>
        <w:rPr>
          <w:rFonts w:hint="eastAsia" w:ascii="仿宋_GB2312" w:eastAsia="仿宋_GB2312"/>
          <w:sz w:val="32"/>
          <w:szCs w:val="32"/>
          <w:lang w:eastAsia="zh-CN"/>
        </w:rPr>
      </w:pPr>
      <w:r>
        <w:rPr>
          <w:rFonts w:hint="eastAsia" w:ascii="仿宋_GB2312" w:eastAsia="仿宋_GB2312"/>
          <w:sz w:val="32"/>
          <w:szCs w:val="32"/>
          <w:lang w:val="en-US" w:eastAsia="zh-CN"/>
        </w:rPr>
        <w:t xml:space="preserve"> </w:t>
      </w:r>
      <w:r>
        <w:rPr>
          <w:rFonts w:hint="eastAsia" w:ascii="仿宋_GB2312" w:eastAsia="仿宋_GB2312"/>
          <w:sz w:val="32"/>
          <w:szCs w:val="32"/>
        </w:rPr>
        <w:t>1</w:t>
      </w:r>
      <w:r>
        <w:rPr>
          <w:rFonts w:hint="eastAsia" w:ascii="仿宋_GB2312" w:eastAsia="仿宋_GB2312"/>
          <w:sz w:val="32"/>
          <w:szCs w:val="32"/>
          <w:lang w:val="en-US" w:eastAsia="zh-CN"/>
        </w:rPr>
        <w:t>.系2019年新立项项目，由</w:t>
      </w:r>
      <w:r>
        <w:rPr>
          <w:rFonts w:hint="eastAsia" w:ascii="仿宋_GB2312" w:eastAsia="仿宋_GB2312"/>
          <w:sz w:val="32"/>
          <w:szCs w:val="32"/>
          <w:lang w:eastAsia="zh-CN"/>
        </w:rPr>
        <w:t>组织部干部科承担；</w:t>
      </w:r>
    </w:p>
    <w:p>
      <w:pPr>
        <w:adjustRightInd w:val="0"/>
        <w:snapToGrid w:val="0"/>
        <w:spacing w:line="360" w:lineRule="auto"/>
        <w:ind w:firstLine="640" w:firstLineChars="200"/>
        <w:rPr>
          <w:rFonts w:hint="eastAsia" w:ascii="仿宋_GB2312" w:eastAsia="仿宋_GB2312"/>
          <w:sz w:val="32"/>
          <w:szCs w:val="32"/>
          <w:lang w:val="en-US" w:eastAsia="zh-CN"/>
        </w:rPr>
      </w:pPr>
      <w:r>
        <w:rPr>
          <w:rFonts w:hint="eastAsia" w:ascii="仿宋_GB2312" w:eastAsia="仿宋_GB2312"/>
          <w:sz w:val="32"/>
          <w:szCs w:val="32"/>
          <w:lang w:val="en-US" w:eastAsia="zh-CN"/>
        </w:rPr>
        <w:t xml:space="preserve"> 2.用于干部培训，包括全区部分类别党员干部培训和新录用公务员入职培训；</w:t>
      </w:r>
    </w:p>
    <w:p>
      <w:pPr>
        <w:adjustRightInd w:val="0"/>
        <w:snapToGrid w:val="0"/>
        <w:spacing w:line="360" w:lineRule="auto"/>
        <w:ind w:firstLine="640" w:firstLineChars="200"/>
        <w:rPr>
          <w:rFonts w:hint="eastAsia" w:ascii="仿宋_GB2312" w:eastAsia="仿宋_GB2312"/>
          <w:sz w:val="32"/>
          <w:szCs w:val="32"/>
          <w:lang w:val="en-US" w:eastAsia="zh-CN"/>
        </w:rPr>
      </w:pPr>
      <w:r>
        <w:rPr>
          <w:rFonts w:hint="eastAsia" w:ascii="仿宋_GB2312" w:eastAsia="仿宋_GB2312"/>
          <w:sz w:val="32"/>
          <w:szCs w:val="32"/>
          <w:lang w:val="en-US" w:eastAsia="zh-CN"/>
        </w:rPr>
        <w:t xml:space="preserve"> 3.项目资金投入共5万元。</w:t>
      </w:r>
    </w:p>
    <w:p>
      <w:pPr>
        <w:adjustRightInd w:val="0"/>
        <w:snapToGrid w:val="0"/>
        <w:spacing w:line="360" w:lineRule="auto"/>
        <w:ind w:firstLine="640" w:firstLineChars="200"/>
        <w:rPr>
          <w:rFonts w:hint="eastAsia" w:ascii="楷体_GB2312" w:hAnsi="楷体_GB2312" w:eastAsia="楷体_GB2312" w:cs="楷体_GB2312"/>
          <w:b/>
          <w:bCs/>
          <w:sz w:val="32"/>
          <w:szCs w:val="32"/>
        </w:rPr>
      </w:pPr>
      <w:r>
        <w:rPr>
          <w:rFonts w:hint="eastAsia" w:ascii="楷体_GB2312" w:hAnsi="楷体_GB2312" w:eastAsia="楷体_GB2312" w:cs="楷体_GB2312"/>
          <w:b w:val="0"/>
          <w:bCs w:val="0"/>
          <w:sz w:val="32"/>
          <w:szCs w:val="32"/>
        </w:rPr>
        <w:t>（二）项目</w:t>
      </w:r>
      <w:r>
        <w:rPr>
          <w:rFonts w:hint="eastAsia" w:ascii="楷体_GB2312" w:hAnsi="楷体_GB2312" w:eastAsia="楷体_GB2312" w:cs="楷体_GB2312"/>
          <w:b w:val="0"/>
          <w:bCs w:val="0"/>
          <w:sz w:val="32"/>
          <w:szCs w:val="32"/>
          <w:lang w:eastAsia="zh-CN"/>
        </w:rPr>
        <w:t>预期</w:t>
      </w:r>
      <w:r>
        <w:rPr>
          <w:rFonts w:hint="eastAsia" w:ascii="楷体_GB2312" w:hAnsi="楷体_GB2312" w:eastAsia="楷体_GB2312" w:cs="楷体_GB2312"/>
          <w:b w:val="0"/>
          <w:bCs w:val="0"/>
          <w:sz w:val="32"/>
          <w:szCs w:val="32"/>
        </w:rPr>
        <w:t>绩效目标</w:t>
      </w:r>
    </w:p>
    <w:p>
      <w:pPr>
        <w:adjustRightInd w:val="0"/>
        <w:snapToGrid w:val="0"/>
        <w:spacing w:line="360" w:lineRule="auto"/>
        <w:ind w:firstLine="640" w:firstLineChars="200"/>
        <w:rPr>
          <w:rFonts w:hint="eastAsia" w:ascii="仿宋_GB2312" w:eastAsia="仿宋_GB2312"/>
          <w:sz w:val="32"/>
          <w:szCs w:val="32"/>
          <w:lang w:eastAsia="zh-CN"/>
        </w:rPr>
      </w:pPr>
      <w:r>
        <w:rPr>
          <w:rFonts w:hint="eastAsia" w:ascii="仿宋_GB2312" w:eastAsia="仿宋_GB2312"/>
          <w:sz w:val="32"/>
          <w:szCs w:val="32"/>
          <w:lang w:eastAsia="zh-CN"/>
        </w:rPr>
        <w:t>对</w:t>
      </w:r>
      <w:r>
        <w:rPr>
          <w:rFonts w:hint="eastAsia" w:ascii="仿宋_GB2312" w:eastAsia="仿宋_GB2312"/>
          <w:sz w:val="32"/>
          <w:szCs w:val="32"/>
          <w:lang w:val="en-US" w:eastAsia="zh-CN"/>
        </w:rPr>
        <w:t>全区部分类别党员干部和新录用公务员进行培训</w:t>
      </w:r>
      <w:r>
        <w:rPr>
          <w:rFonts w:hint="eastAsia" w:ascii="仿宋_GB2312" w:eastAsia="仿宋_GB2312"/>
          <w:sz w:val="32"/>
          <w:szCs w:val="32"/>
          <w:lang w:eastAsia="zh-CN"/>
        </w:rPr>
        <w:t>，分阶段完成全区科级干部、青年干部和优秀年轻干部培训，提高全区党员干部整体素质，增强新录用公务员融入我区和适应工作的能力。</w:t>
      </w:r>
    </w:p>
    <w:p>
      <w:pPr>
        <w:adjustRightInd w:val="0"/>
        <w:snapToGrid w:val="0"/>
        <w:spacing w:line="360" w:lineRule="auto"/>
        <w:ind w:firstLine="643" w:firstLineChars="200"/>
        <w:rPr>
          <w:rFonts w:hint="eastAsia" w:ascii="黑体" w:hAnsi="黑体" w:eastAsia="黑体" w:cs="黑体"/>
          <w:b/>
          <w:bCs/>
          <w:sz w:val="32"/>
          <w:szCs w:val="32"/>
          <w:lang w:eastAsia="zh-CN"/>
        </w:rPr>
      </w:pPr>
      <w:r>
        <w:rPr>
          <w:rFonts w:hint="eastAsia" w:ascii="黑体" w:hAnsi="黑体" w:eastAsia="黑体" w:cs="黑体"/>
          <w:b/>
          <w:bCs/>
          <w:sz w:val="32"/>
          <w:szCs w:val="32"/>
          <w:lang w:eastAsia="zh-CN"/>
        </w:rPr>
        <w:t>二、绩效评价工作情况</w:t>
      </w:r>
    </w:p>
    <w:p>
      <w:pPr>
        <w:ind w:left="0" w:leftChars="0" w:right="0" w:rightChars="0" w:firstLine="0" w:firstLineChars="0"/>
        <w:jc w:val="both"/>
        <w:rPr>
          <w:rFonts w:hint="eastAsia" w:ascii="楷体_GB2312" w:hAnsi="楷体_GB2312" w:eastAsia="楷体_GB2312" w:cs="楷体_GB2312"/>
          <w:sz w:val="32"/>
          <w:szCs w:val="32"/>
          <w:lang w:val="en-US" w:eastAsia="zh-CN"/>
        </w:rPr>
      </w:pPr>
      <w:r>
        <w:rPr>
          <w:rFonts w:hint="eastAsia" w:ascii="仿宋_GB2312" w:eastAsia="仿宋_GB2312"/>
          <w:sz w:val="32"/>
          <w:szCs w:val="32"/>
          <w:lang w:val="en-US" w:eastAsia="zh-CN"/>
        </w:rPr>
        <w:t xml:space="preserve">   </w:t>
      </w:r>
      <w:r>
        <w:rPr>
          <w:rFonts w:hint="eastAsia" w:ascii="楷体_GB2312" w:hAnsi="楷体_GB2312" w:eastAsia="楷体_GB2312" w:cs="楷体_GB2312"/>
          <w:b w:val="0"/>
          <w:bCs w:val="0"/>
          <w:sz w:val="32"/>
          <w:szCs w:val="32"/>
          <w:lang w:val="en-US" w:eastAsia="zh-CN"/>
        </w:rPr>
        <w:t>（一）绩效评价的组织工作</w:t>
      </w:r>
    </w:p>
    <w:p>
      <w:pPr>
        <w:numPr>
          <w:ilvl w:val="0"/>
          <w:numId w:val="0"/>
        </w:numPr>
        <w:rPr>
          <w:rFonts w:hint="eastAsia" w:ascii="仿宋_GB2312" w:eastAsia="仿宋_GB2312"/>
          <w:sz w:val="32"/>
          <w:szCs w:val="32"/>
        </w:rPr>
      </w:pPr>
      <w:r>
        <w:rPr>
          <w:rFonts w:hint="eastAsia" w:ascii="仿宋_GB2312" w:eastAsia="仿宋_GB2312"/>
          <w:sz w:val="32"/>
          <w:szCs w:val="32"/>
          <w:lang w:val="en-US" w:eastAsia="zh-CN"/>
        </w:rPr>
        <w:t xml:space="preserve">    由项目负责人员整理评价资料，通过主管领导把关，负责人组织实施，并采取民主评价的方式对项目绩效进行全面评价。</w:t>
      </w:r>
    </w:p>
    <w:p>
      <w:pPr>
        <w:ind w:left="0" w:leftChars="0" w:right="0" w:rightChars="0" w:firstLine="0" w:firstLineChars="0"/>
        <w:jc w:val="both"/>
        <w:rPr>
          <w:rFonts w:hint="eastAsia" w:ascii="楷体_GB2312" w:hAnsi="楷体_GB2312" w:eastAsia="楷体_GB2312" w:cs="楷体_GB2312"/>
          <w:b w:val="0"/>
          <w:bCs w:val="0"/>
          <w:sz w:val="32"/>
          <w:szCs w:val="32"/>
          <w:lang w:val="en-US" w:eastAsia="zh-CN"/>
        </w:rPr>
      </w:pPr>
      <w:r>
        <w:rPr>
          <w:rFonts w:hint="eastAsia" w:ascii="仿宋_GB2312" w:eastAsia="仿宋_GB2312"/>
          <w:b/>
          <w:bCs/>
          <w:sz w:val="32"/>
          <w:szCs w:val="32"/>
          <w:lang w:val="en-US" w:eastAsia="zh-CN"/>
        </w:rPr>
        <w:t xml:space="preserve">   </w:t>
      </w:r>
      <w:r>
        <w:rPr>
          <w:rFonts w:hint="eastAsia" w:ascii="楷体_GB2312" w:hAnsi="楷体_GB2312" w:eastAsia="楷体_GB2312" w:cs="楷体_GB2312"/>
          <w:b w:val="0"/>
          <w:bCs w:val="0"/>
          <w:sz w:val="32"/>
          <w:szCs w:val="32"/>
          <w:lang w:val="en-US" w:eastAsia="zh-CN"/>
        </w:rPr>
        <w:t>（二）绩效评价的方法和过程</w:t>
      </w:r>
    </w:p>
    <w:p>
      <w:pPr>
        <w:ind w:left="0" w:leftChars="0" w:right="0" w:rightChars="0" w:firstLine="0" w:firstLineChars="0"/>
        <w:jc w:val="both"/>
        <w:rPr>
          <w:rFonts w:hint="eastAsia" w:ascii="楷体_GB2312" w:hAnsi="楷体_GB2312" w:eastAsia="楷体_GB2312" w:cs="楷体_GB2312"/>
          <w:b w:val="0"/>
          <w:bCs w:val="0"/>
          <w:sz w:val="32"/>
          <w:szCs w:val="32"/>
          <w:lang w:val="en-US" w:eastAsia="zh-CN"/>
        </w:rPr>
      </w:pPr>
      <w:r>
        <w:rPr>
          <w:rFonts w:hint="eastAsia" w:ascii="楷体_GB2312" w:hAnsi="楷体_GB2312" w:eastAsia="楷体_GB2312" w:cs="楷体_GB2312"/>
          <w:b w:val="0"/>
          <w:bCs w:val="0"/>
          <w:sz w:val="32"/>
          <w:szCs w:val="32"/>
          <w:lang w:val="en-US" w:eastAsia="zh-CN"/>
        </w:rPr>
        <w:t xml:space="preserve">    </w:t>
      </w:r>
      <w:r>
        <w:rPr>
          <w:rFonts w:hint="eastAsia" w:ascii="仿宋_GB2312" w:eastAsia="仿宋_GB2312"/>
          <w:color w:val="auto"/>
          <w:sz w:val="32"/>
          <w:szCs w:val="32"/>
          <w:lang w:val="en-US" w:eastAsia="zh-CN"/>
        </w:rPr>
        <w:t>按照评价方案建立绩效评价指标体系，采取民意测验法对项目绩效进行评价。印制项目绩效评价表，由项目负责人组织召开项目绩效民主评价会，主管领导参加并监督会议。</w:t>
      </w:r>
    </w:p>
    <w:p>
      <w:pPr>
        <w:numPr>
          <w:ilvl w:val="0"/>
          <w:numId w:val="0"/>
        </w:numPr>
        <w:ind w:leftChars="0" w:right="0" w:rightChars="0"/>
        <w:jc w:val="both"/>
        <w:rPr>
          <w:rFonts w:hint="eastAsia" w:ascii="仿宋_GB2312" w:eastAsia="仿宋_GB2312"/>
          <w:b w:val="0"/>
          <w:bCs w:val="0"/>
          <w:sz w:val="32"/>
          <w:szCs w:val="32"/>
          <w:lang w:val="en-US" w:eastAsia="zh-CN"/>
        </w:rPr>
      </w:pPr>
      <w:r>
        <w:rPr>
          <w:rFonts w:hint="eastAsia" w:ascii="楷体_GB2312" w:hAnsi="楷体_GB2312" w:eastAsia="楷体_GB2312" w:cs="楷体_GB2312"/>
          <w:b/>
          <w:bCs/>
          <w:sz w:val="32"/>
          <w:szCs w:val="32"/>
          <w:lang w:val="en-US" w:eastAsia="zh-CN"/>
        </w:rPr>
        <w:t xml:space="preserve">   </w:t>
      </w:r>
      <w:r>
        <w:rPr>
          <w:rFonts w:hint="eastAsia" w:ascii="楷体_GB2312" w:hAnsi="楷体_GB2312" w:eastAsia="楷体_GB2312" w:cs="楷体_GB2312"/>
          <w:b w:val="0"/>
          <w:bCs w:val="0"/>
          <w:sz w:val="32"/>
          <w:szCs w:val="32"/>
          <w:lang w:val="en-US" w:eastAsia="zh-CN"/>
        </w:rPr>
        <w:t>（三）建立绩效评价指标体系</w:t>
      </w:r>
    </w:p>
    <w:p>
      <w:pPr>
        <w:ind w:firstLine="640" w:firstLineChars="200"/>
        <w:jc w:val="both"/>
        <w:rPr>
          <w:rFonts w:hint="eastAsia" w:ascii="仿宋_GB2312" w:eastAsia="仿宋_GB2312"/>
          <w:color w:val="FF0000"/>
          <w:sz w:val="32"/>
          <w:szCs w:val="32"/>
          <w:lang w:val="en-US" w:eastAsia="zh-CN"/>
        </w:rPr>
      </w:pPr>
      <w:r>
        <w:rPr>
          <w:rFonts w:hint="eastAsia" w:ascii="仿宋_GB2312" w:eastAsia="仿宋_GB2312"/>
          <w:color w:val="auto"/>
          <w:sz w:val="32"/>
          <w:szCs w:val="32"/>
          <w:lang w:val="en-US" w:eastAsia="zh-CN"/>
        </w:rPr>
        <w:t>设计并制定项目绩效评价指标体系，其中具体评价指标除共性评价指标外还包含项目产出指标4个，包括干部培训参会率（%）、培训覆盖率（%）、实际培训班数量占全年计划数量比率和培训班验收合格率（%）；效果指标4个，包括干部党性思想提升情况、干部综合素养提升情况、干事创业精气神提升情况和群众满意度，共8个个性化评价指标。</w:t>
      </w:r>
    </w:p>
    <w:p>
      <w:pPr>
        <w:rPr>
          <w:rFonts w:hint="eastAsia" w:ascii="黑体" w:hAnsi="黑体" w:eastAsia="黑体" w:cs="黑体"/>
          <w:b/>
          <w:bCs/>
          <w:sz w:val="32"/>
          <w:szCs w:val="32"/>
          <w:lang w:eastAsia="zh-CN"/>
        </w:rPr>
      </w:pPr>
      <w:r>
        <w:rPr>
          <w:rFonts w:hint="eastAsia" w:ascii="仿宋_GB2312" w:eastAsia="仿宋_GB2312"/>
          <w:b/>
          <w:bCs/>
          <w:sz w:val="32"/>
          <w:szCs w:val="32"/>
          <w:lang w:val="en-US" w:eastAsia="zh-CN"/>
        </w:rPr>
        <w:t xml:space="preserve">    </w:t>
      </w:r>
      <w:r>
        <w:rPr>
          <w:rFonts w:hint="eastAsia" w:ascii="黑体" w:hAnsi="黑体" w:eastAsia="黑体" w:cs="黑体"/>
          <w:b w:val="0"/>
          <w:bCs w:val="0"/>
          <w:sz w:val="32"/>
          <w:szCs w:val="32"/>
          <w:lang w:val="en-US" w:eastAsia="zh-CN"/>
        </w:rPr>
        <w:t>三、</w:t>
      </w:r>
      <w:r>
        <w:rPr>
          <w:rFonts w:hint="eastAsia" w:ascii="黑体" w:hAnsi="黑体" w:eastAsia="黑体" w:cs="黑体"/>
          <w:b w:val="0"/>
          <w:bCs w:val="0"/>
          <w:sz w:val="32"/>
          <w:szCs w:val="32"/>
          <w:lang w:eastAsia="zh-CN"/>
        </w:rPr>
        <w:t>项目执行及绩效实现情况</w:t>
      </w:r>
    </w:p>
    <w:p>
      <w:pPr>
        <w:rPr>
          <w:rFonts w:hint="eastAsia" w:ascii="楷体_GB2312" w:hAnsi="楷体_GB2312" w:eastAsia="楷体_GB2312" w:cs="楷体_GB2312"/>
          <w:b w:val="0"/>
          <w:bCs w:val="0"/>
          <w:sz w:val="32"/>
          <w:szCs w:val="32"/>
          <w:lang w:val="en-US" w:eastAsia="zh-CN"/>
        </w:rPr>
      </w:pPr>
      <w:r>
        <w:rPr>
          <w:rFonts w:hint="eastAsia" w:ascii="楷体_GB2312" w:hAnsi="楷体_GB2312" w:eastAsia="楷体_GB2312" w:cs="楷体_GB2312"/>
          <w:b w:val="0"/>
          <w:bCs w:val="0"/>
          <w:sz w:val="32"/>
          <w:szCs w:val="32"/>
          <w:lang w:val="en-US" w:eastAsia="zh-CN"/>
        </w:rPr>
        <w:t xml:space="preserve">   （一）项目投入</w:t>
      </w:r>
    </w:p>
    <w:p>
      <w:pPr>
        <w:ind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1.</w:t>
      </w:r>
      <w:r>
        <w:rPr>
          <w:rFonts w:hint="default" w:ascii="仿宋_GB2312" w:eastAsia="仿宋_GB2312"/>
          <w:b w:val="0"/>
          <w:bCs w:val="0"/>
          <w:sz w:val="32"/>
          <w:szCs w:val="32"/>
          <w:lang w:val="en-US" w:eastAsia="zh-CN"/>
        </w:rPr>
        <w:t>项目</w:t>
      </w:r>
      <w:r>
        <w:rPr>
          <w:rFonts w:hint="eastAsia" w:ascii="仿宋_GB2312" w:eastAsia="仿宋_GB2312"/>
          <w:b w:val="0"/>
          <w:bCs w:val="0"/>
          <w:sz w:val="32"/>
          <w:szCs w:val="32"/>
          <w:lang w:val="en-US" w:eastAsia="zh-CN"/>
        </w:rPr>
        <w:t>立项情况分析。项目</w:t>
      </w:r>
      <w:r>
        <w:rPr>
          <w:rFonts w:hint="default" w:ascii="仿宋_GB2312" w:eastAsia="仿宋_GB2312"/>
          <w:b w:val="0"/>
          <w:bCs w:val="0"/>
          <w:sz w:val="32"/>
          <w:szCs w:val="32"/>
          <w:lang w:val="en-US" w:eastAsia="zh-CN"/>
        </w:rPr>
        <w:t>立项规范</w:t>
      </w:r>
      <w:r>
        <w:rPr>
          <w:rFonts w:hint="eastAsia" w:ascii="仿宋_GB2312" w:eastAsia="仿宋_GB2312"/>
          <w:b w:val="0"/>
          <w:bCs w:val="0"/>
          <w:sz w:val="32"/>
          <w:szCs w:val="32"/>
          <w:lang w:val="en-US" w:eastAsia="zh-CN"/>
        </w:rPr>
        <w:t>、绩效目标合理和绩效指标明确，根据指标体系评分标准计算分值为90分。</w:t>
      </w:r>
    </w:p>
    <w:p>
      <w:pPr>
        <w:ind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2.资金落实情况分析。资金到位且及时情况较好，根据指标体系评分标准计算分值为90分。</w:t>
      </w:r>
    </w:p>
    <w:p>
      <w:pPr>
        <w:rPr>
          <w:rFonts w:hint="eastAsia" w:ascii="楷体_GB2312" w:hAnsi="楷体_GB2312" w:eastAsia="楷体_GB2312" w:cs="楷体_GB2312"/>
          <w:b w:val="0"/>
          <w:bCs w:val="0"/>
          <w:sz w:val="32"/>
          <w:szCs w:val="32"/>
          <w:lang w:val="en-US" w:eastAsia="zh-CN"/>
        </w:rPr>
      </w:pPr>
      <w:r>
        <w:rPr>
          <w:rFonts w:hint="eastAsia" w:ascii="仿宋_GB2312" w:eastAsia="仿宋_GB2312"/>
          <w:b w:val="0"/>
          <w:bCs w:val="0"/>
          <w:sz w:val="32"/>
          <w:szCs w:val="32"/>
          <w:lang w:val="en-US" w:eastAsia="zh-CN"/>
        </w:rPr>
        <w:t xml:space="preserve">   </w:t>
      </w:r>
      <w:r>
        <w:rPr>
          <w:rFonts w:hint="eastAsia" w:ascii="楷体_GB2312" w:hAnsi="楷体_GB2312" w:eastAsia="楷体_GB2312" w:cs="楷体_GB2312"/>
          <w:b w:val="0"/>
          <w:bCs w:val="0"/>
          <w:sz w:val="32"/>
          <w:szCs w:val="32"/>
          <w:lang w:val="en-US" w:eastAsia="zh-CN"/>
        </w:rPr>
        <w:t>（二）项目实施过程</w:t>
      </w:r>
    </w:p>
    <w:p>
      <w:pPr>
        <w:numPr>
          <w:ilvl w:val="0"/>
          <w:numId w:val="0"/>
        </w:numPr>
        <w:ind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1.业务管理情况分析。管理制度健全、制度执行有效、项目质量可控性情况较好，根据指标体系评分标准计算分值为90分。</w:t>
      </w:r>
    </w:p>
    <w:p>
      <w:pPr>
        <w:numPr>
          <w:ilvl w:val="0"/>
          <w:numId w:val="0"/>
        </w:numPr>
        <w:ind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2.财务管理。管理制度健全、资金使用合规、财务监控有效，根据指标体系评分标准计算分值为90分。</w:t>
      </w:r>
    </w:p>
    <w:p>
      <w:pPr>
        <w:numPr>
          <w:ilvl w:val="0"/>
          <w:numId w:val="0"/>
        </w:numPr>
        <w:rPr>
          <w:rFonts w:hint="eastAsia" w:ascii="仿宋_GB2312" w:eastAsia="仿宋_GB2312"/>
          <w:b/>
          <w:bCs/>
          <w:sz w:val="32"/>
          <w:szCs w:val="32"/>
          <w:lang w:val="en-US" w:eastAsia="zh-CN"/>
        </w:rPr>
      </w:pPr>
      <w:r>
        <w:rPr>
          <w:rFonts w:hint="eastAsia" w:ascii="仿宋_GB2312" w:eastAsia="仿宋_GB2312"/>
          <w:b/>
          <w:bCs/>
          <w:sz w:val="32"/>
          <w:szCs w:val="32"/>
          <w:lang w:val="en-US" w:eastAsia="zh-CN"/>
        </w:rPr>
        <w:t xml:space="preserve">   </w:t>
      </w:r>
      <w:r>
        <w:rPr>
          <w:rFonts w:hint="eastAsia" w:ascii="楷体_GB2312" w:hAnsi="楷体_GB2312" w:eastAsia="楷体_GB2312" w:cs="楷体_GB2312"/>
          <w:b w:val="0"/>
          <w:bCs w:val="0"/>
          <w:sz w:val="32"/>
          <w:szCs w:val="32"/>
          <w:lang w:val="en-US" w:eastAsia="zh-CN"/>
        </w:rPr>
        <w:t>（三）项目产出</w:t>
      </w:r>
    </w:p>
    <w:p>
      <w:pPr>
        <w:numPr>
          <w:ilvl w:val="0"/>
          <w:numId w:val="0"/>
        </w:numPr>
        <w:ind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项目的实际完成率、完成及时率、质量达标率、成本节约率等情况较好，根据指标体系评分标准计算分值为90分。</w:t>
      </w:r>
    </w:p>
    <w:p>
      <w:pPr>
        <w:numPr>
          <w:ilvl w:val="0"/>
          <w:numId w:val="0"/>
        </w:numPr>
        <w:rPr>
          <w:rFonts w:hint="eastAsia" w:ascii="楷体_GB2312" w:hAnsi="楷体_GB2312" w:eastAsia="楷体_GB2312" w:cs="楷体_GB2312"/>
          <w:b w:val="0"/>
          <w:bCs w:val="0"/>
          <w:sz w:val="32"/>
          <w:szCs w:val="32"/>
          <w:lang w:val="en-US" w:eastAsia="zh-CN"/>
        </w:rPr>
      </w:pPr>
      <w:r>
        <w:rPr>
          <w:rFonts w:hint="eastAsia" w:ascii="楷体_GB2312" w:hAnsi="楷体_GB2312" w:eastAsia="楷体_GB2312" w:cs="楷体_GB2312"/>
          <w:b/>
          <w:bCs/>
          <w:sz w:val="32"/>
          <w:szCs w:val="32"/>
          <w:lang w:val="en-US" w:eastAsia="zh-CN"/>
        </w:rPr>
        <w:t xml:space="preserve">   </w:t>
      </w:r>
      <w:r>
        <w:rPr>
          <w:rFonts w:hint="eastAsia" w:ascii="楷体_GB2312" w:hAnsi="楷体_GB2312" w:eastAsia="楷体_GB2312" w:cs="楷体_GB2312"/>
          <w:b w:val="0"/>
          <w:bCs w:val="0"/>
          <w:sz w:val="32"/>
          <w:szCs w:val="32"/>
          <w:lang w:val="en-US" w:eastAsia="zh-CN"/>
        </w:rPr>
        <w:t>（四）项目效果</w:t>
      </w:r>
    </w:p>
    <w:p>
      <w:pPr>
        <w:numPr>
          <w:ilvl w:val="0"/>
          <w:numId w:val="0"/>
        </w:numPr>
        <w:ind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项目的经济效益、社会效益、生态效益、可持续影响和社会公众或服务对象满意度等情况反映</w:t>
      </w:r>
      <w:bookmarkStart w:id="0" w:name="_GoBack"/>
      <w:bookmarkEnd w:id="0"/>
      <w:r>
        <w:rPr>
          <w:rFonts w:hint="eastAsia" w:ascii="仿宋_GB2312" w:eastAsia="仿宋_GB2312"/>
          <w:b w:val="0"/>
          <w:bCs w:val="0"/>
          <w:sz w:val="32"/>
          <w:szCs w:val="32"/>
          <w:lang w:val="en-US" w:eastAsia="zh-CN"/>
        </w:rPr>
        <w:t>较好，根据指标体系评分标准计算分值为90分。</w:t>
      </w:r>
    </w:p>
    <w:p>
      <w:pPr>
        <w:numPr>
          <w:ilvl w:val="0"/>
          <w:numId w:val="0"/>
        </w:numPr>
        <w:ind w:firstLine="640" w:firstLineChars="200"/>
        <w:rPr>
          <w:rFonts w:hint="eastAsia" w:ascii="黑体" w:hAnsi="黑体" w:eastAsia="黑体"/>
          <w:b w:val="0"/>
          <w:bCs w:val="0"/>
          <w:sz w:val="32"/>
          <w:szCs w:val="32"/>
          <w:lang w:val="en-US" w:eastAsia="zh-CN"/>
        </w:rPr>
      </w:pPr>
      <w:r>
        <w:rPr>
          <w:rFonts w:hint="eastAsia" w:ascii="黑体" w:hAnsi="黑体" w:eastAsia="黑体"/>
          <w:b w:val="0"/>
          <w:bCs w:val="0"/>
          <w:sz w:val="32"/>
          <w:szCs w:val="32"/>
          <w:lang w:val="en-US" w:eastAsia="zh-CN"/>
        </w:rPr>
        <w:t>四、项目综合评价结论和评价等级</w:t>
      </w:r>
    </w:p>
    <w:p>
      <w:pPr>
        <w:numPr>
          <w:ilvl w:val="0"/>
          <w:numId w:val="0"/>
        </w:numPr>
        <w:ind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根据项目执行情况和项目绩效情况，计算总得分为90分，综合评价项目运行情况较好，取得了良好的社会效益和事业效益，项目综合绩效评价等级为优秀。</w:t>
      </w:r>
    </w:p>
    <w:p>
      <w:pPr>
        <w:numPr>
          <w:ilvl w:val="0"/>
          <w:numId w:val="0"/>
        </w:numPr>
        <w:ind w:firstLine="640" w:firstLineChars="200"/>
        <w:rPr>
          <w:rFonts w:hint="eastAsia" w:ascii="仿宋_GB2312" w:eastAsia="仿宋_GB2312"/>
          <w:b w:val="0"/>
          <w:bCs w:val="0"/>
          <w:sz w:val="32"/>
          <w:szCs w:val="32"/>
          <w:lang w:val="en-US" w:eastAsia="zh-CN"/>
        </w:rPr>
      </w:pPr>
      <w:r>
        <w:rPr>
          <w:rFonts w:hint="eastAsia" w:ascii="黑体" w:hAnsi="黑体" w:eastAsia="黑体"/>
          <w:b w:val="0"/>
          <w:bCs w:val="0"/>
          <w:sz w:val="32"/>
          <w:szCs w:val="32"/>
          <w:lang w:val="en-US" w:eastAsia="zh-CN"/>
        </w:rPr>
        <w:t>五、存在的问题及改进措施</w:t>
      </w:r>
    </w:p>
    <w:p>
      <w:pPr>
        <w:numPr>
          <w:ilvl w:val="0"/>
          <w:numId w:val="0"/>
        </w:numPr>
        <w:rPr>
          <w:rFonts w:hint="eastAsia" w:ascii="楷体_GB2312" w:hAnsi="楷体_GB2312" w:eastAsia="楷体_GB2312"/>
          <w:b w:val="0"/>
          <w:bCs w:val="0"/>
          <w:sz w:val="32"/>
          <w:szCs w:val="32"/>
          <w:lang w:val="en-US" w:eastAsia="zh-CN"/>
        </w:rPr>
      </w:pPr>
      <w:r>
        <w:rPr>
          <w:rFonts w:hint="eastAsia" w:ascii="楷体_GB2312" w:hAnsi="楷体_GB2312" w:eastAsia="楷体_GB2312"/>
          <w:b/>
          <w:bCs/>
          <w:sz w:val="32"/>
          <w:szCs w:val="32"/>
          <w:lang w:val="en-US" w:eastAsia="zh-CN"/>
        </w:rPr>
        <w:t xml:space="preserve">   </w:t>
      </w:r>
      <w:r>
        <w:rPr>
          <w:rFonts w:hint="eastAsia" w:ascii="楷体_GB2312" w:hAnsi="楷体_GB2312" w:eastAsia="楷体_GB2312"/>
          <w:b w:val="0"/>
          <w:bCs w:val="0"/>
          <w:sz w:val="32"/>
          <w:szCs w:val="32"/>
          <w:lang w:val="en-US" w:eastAsia="zh-CN"/>
        </w:rPr>
        <w:t>（一）项目存在的主要问题</w:t>
      </w:r>
    </w:p>
    <w:p>
      <w:pPr>
        <w:numPr>
          <w:ilvl w:val="0"/>
          <w:numId w:val="1"/>
        </w:numPr>
        <w:ind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培训计划在实施过程中有滞后现象。由于部门科室工作复杂程度较高导致培训课程不能完全按照原计划开展。</w:t>
      </w:r>
    </w:p>
    <w:p>
      <w:pPr>
        <w:numPr>
          <w:ilvl w:val="0"/>
          <w:numId w:val="1"/>
        </w:numPr>
        <w:ind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培训经费不足问题。由于培训项目预算不够详细，导致在实施过程中出现培训经费紧张问题。</w:t>
      </w:r>
    </w:p>
    <w:p>
      <w:pPr>
        <w:numPr>
          <w:ilvl w:val="0"/>
          <w:numId w:val="0"/>
        </w:numPr>
        <w:rPr>
          <w:rFonts w:hint="eastAsia" w:ascii="楷体_GB2312" w:hAnsi="楷体_GB2312" w:eastAsia="楷体_GB2312"/>
          <w:b w:val="0"/>
          <w:bCs w:val="0"/>
          <w:sz w:val="32"/>
          <w:szCs w:val="32"/>
          <w:lang w:val="en-US" w:eastAsia="zh-CN"/>
        </w:rPr>
      </w:pPr>
      <w:r>
        <w:rPr>
          <w:rFonts w:hint="eastAsia" w:ascii="楷体_GB2312" w:hAnsi="楷体_GB2312" w:eastAsia="楷体_GB2312"/>
          <w:b w:val="0"/>
          <w:bCs w:val="0"/>
          <w:sz w:val="32"/>
          <w:szCs w:val="32"/>
          <w:lang w:val="en-US" w:eastAsia="zh-CN"/>
        </w:rPr>
        <w:t xml:space="preserve">   （二）针对问题提出具体的改进措施或建议</w:t>
      </w:r>
    </w:p>
    <w:p>
      <w:pPr>
        <w:numPr>
          <w:ilvl w:val="0"/>
          <w:numId w:val="0"/>
        </w:numPr>
        <w:ind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1.增加方案计划灵活性和机动性。在制定培训方案或计划时充分考虑各种突发情况，减少或避免与紧急任务和工作相冲突。</w:t>
      </w:r>
    </w:p>
    <w:p>
      <w:pPr>
        <w:numPr>
          <w:ilvl w:val="0"/>
          <w:numId w:val="0"/>
        </w:numPr>
        <w:ind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2.制定更加详细的预算计划。在培训方案制定过程中制定详细的方案和预算计划。</w:t>
      </w:r>
    </w:p>
    <w:p>
      <w:pPr>
        <w:adjustRightInd w:val="0"/>
        <w:snapToGrid w:val="0"/>
        <w:spacing w:line="360" w:lineRule="auto"/>
        <w:ind w:firstLine="640" w:firstLineChars="200"/>
        <w:rPr>
          <w:rFonts w:hint="eastAsia" w:ascii="仿宋_GB2312" w:eastAsia="仿宋_GB2312"/>
          <w:sz w:val="32"/>
          <w:szCs w:val="32"/>
        </w:rPr>
      </w:pPr>
      <w:r>
        <w:rPr>
          <w:rFonts w:hint="eastAsia" w:ascii="黑体" w:eastAsia="黑体"/>
          <w:b w:val="0"/>
          <w:bCs w:val="0"/>
          <w:sz w:val="32"/>
          <w:szCs w:val="32"/>
          <w:lang w:eastAsia="zh-CN"/>
        </w:rPr>
        <w:t>六</w:t>
      </w:r>
      <w:r>
        <w:rPr>
          <w:rFonts w:hint="eastAsia" w:ascii="黑体" w:eastAsia="黑体"/>
          <w:b w:val="0"/>
          <w:bCs w:val="0"/>
          <w:sz w:val="32"/>
          <w:szCs w:val="32"/>
        </w:rPr>
        <w:t>、评价工作组人员名单及签字</w:t>
      </w:r>
      <w:r>
        <w:rPr>
          <w:rFonts w:hint="eastAsia" w:ascii="仿宋_GB2312" w:eastAsia="仿宋_GB2312"/>
          <w:sz w:val="32"/>
          <w:szCs w:val="32"/>
        </w:rPr>
        <w:t>（姓名、工作单位、职务、职称）</w:t>
      </w:r>
    </w:p>
    <w:p>
      <w:pPr>
        <w:rPr>
          <w:rFonts w:hint="eastAsia" w:ascii="仿宋_GB2312"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r>
        <w:rPr>
          <w:rFonts w:hint="eastAsia" w:ascii="仿宋_GB2312" w:hAnsi="宋体" w:eastAsia="仿宋_GB2312"/>
          <w:sz w:val="32"/>
          <w:szCs w:val="32"/>
          <w:lang w:val="en-US" w:eastAsia="zh-CN"/>
        </w:rPr>
        <w:t>附件：</w:t>
      </w:r>
      <w:r>
        <w:rPr>
          <w:rFonts w:hint="default" w:ascii="仿宋_GB2312" w:hAnsi="宋体" w:eastAsia="仿宋_GB2312"/>
          <w:sz w:val="32"/>
          <w:szCs w:val="32"/>
          <w:lang w:val="en-US" w:eastAsia="zh-CN"/>
        </w:rPr>
        <w:t>项目支出绩效评价共性指标体系框架</w:t>
      </w: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right="0" w:rightChars="0"/>
        <w:jc w:val="both"/>
        <w:textAlignment w:val="auto"/>
        <w:outlineLvl w:val="9"/>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br w:type="page"/>
      </w: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right="0" w:rightChars="0"/>
        <w:jc w:val="both"/>
        <w:textAlignment w:val="auto"/>
        <w:outlineLvl w:val="9"/>
        <w:rPr>
          <w:rFonts w:hint="eastAsia" w:ascii="仿宋_GB2312" w:hAnsi="宋体" w:eastAsia="仿宋_GB2312"/>
          <w:sz w:val="32"/>
          <w:szCs w:val="32"/>
          <w:lang w:val="en-US" w:eastAsia="zh-CN"/>
        </w:rPr>
      </w:pPr>
      <w:r>
        <w:rPr>
          <w:rFonts w:hint="eastAsia" w:ascii="黑体" w:hAnsi="黑体" w:eastAsia="黑体" w:cs="黑体"/>
          <w:sz w:val="32"/>
          <w:szCs w:val="32"/>
          <w:lang w:val="en-US" w:eastAsia="zh-CN"/>
        </w:rPr>
        <w:t>附件</w:t>
      </w: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right="0" w:rightChars="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3" w:firstLineChars="200"/>
        <w:jc w:val="both"/>
        <w:textAlignment w:val="auto"/>
        <w:outlineLvl w:val="9"/>
        <w:rPr>
          <w:rFonts w:hint="eastAsia" w:ascii="宋体" w:hAnsi="宋体" w:eastAsia="宋体"/>
          <w:b/>
          <w:i w:val="0"/>
          <w:snapToGrid/>
          <w:color w:val="000000"/>
          <w:sz w:val="32"/>
          <w:u w:val="none"/>
          <w:shd w:val="clear" w:color="auto" w:fill="FFFFFF"/>
          <w:lang w:val="en-US" w:eastAsia="zh-CN"/>
        </w:rPr>
      </w:pPr>
      <w:r>
        <w:rPr>
          <w:rFonts w:hint="eastAsia" w:ascii="宋体" w:hAnsi="宋体"/>
          <w:b/>
          <w:i w:val="0"/>
          <w:snapToGrid/>
          <w:color w:val="000000"/>
          <w:sz w:val="32"/>
          <w:u w:val="none"/>
          <w:shd w:val="clear" w:color="auto" w:fill="FFFFFF"/>
          <w:lang w:val="en-US" w:eastAsia="zh-CN"/>
        </w:rPr>
        <w:t xml:space="preserve">      </w:t>
      </w:r>
      <w:r>
        <w:rPr>
          <w:rFonts w:hint="default" w:ascii="宋体" w:hAnsi="宋体" w:eastAsia="宋体"/>
          <w:b/>
          <w:i w:val="0"/>
          <w:snapToGrid/>
          <w:color w:val="000000"/>
          <w:sz w:val="32"/>
          <w:u w:val="none"/>
          <w:shd w:val="clear" w:color="auto" w:fill="FFFFFF"/>
          <w:lang w:eastAsia="zh-CN"/>
        </w:rPr>
        <w:t>项目支出绩效评价共性指标体系框架</w:t>
      </w:r>
    </w:p>
    <w:tbl>
      <w:tblPr>
        <w:tblStyle w:val="4"/>
        <w:tblW w:w="8646"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742"/>
        <w:gridCol w:w="778"/>
        <w:gridCol w:w="818"/>
        <w:gridCol w:w="2414"/>
        <w:gridCol w:w="3894"/>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55" w:hRule="atLeast"/>
          <w:tblHeader/>
        </w:trPr>
        <w:tc>
          <w:tcPr>
            <w:tcW w:w="742"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i w:val="0"/>
                <w:snapToGrid/>
                <w:color w:val="000000"/>
                <w:sz w:val="24"/>
                <w:szCs w:val="28"/>
                <w:u w:val="none"/>
                <w:shd w:val="clear" w:color="auto" w:fill="FFFFFF"/>
                <w:lang w:eastAsia="zh-CN"/>
              </w:rPr>
            </w:pPr>
            <w:r>
              <w:rPr>
                <w:rFonts w:hint="default" w:ascii="楷体_GB2312" w:hAnsi="楷体_GB2312" w:eastAsia="楷体_GB2312"/>
                <w:b/>
                <w:i w:val="0"/>
                <w:snapToGrid/>
                <w:color w:val="000000"/>
                <w:sz w:val="24"/>
                <w:szCs w:val="28"/>
                <w:u w:val="none"/>
                <w:shd w:val="clear" w:color="auto" w:fill="FFFFFF"/>
                <w:lang w:eastAsia="zh-CN"/>
              </w:rPr>
              <w:t>一级</w:t>
            </w:r>
            <w:r>
              <w:rPr>
                <w:rFonts w:hint="default" w:ascii="楷体_GB2312" w:hAnsi="楷体_GB2312" w:eastAsia="楷体_GB2312"/>
                <w:b/>
                <w:i w:val="0"/>
                <w:snapToGrid/>
                <w:color w:val="000000"/>
                <w:sz w:val="24"/>
                <w:szCs w:val="28"/>
                <w:u w:val="none"/>
                <w:shd w:val="clear" w:color="auto" w:fill="FFFFFF"/>
                <w:lang w:eastAsia="zh-CN"/>
              </w:rPr>
              <w:br w:type="textWrapping"/>
            </w:r>
            <w:r>
              <w:rPr>
                <w:rFonts w:hint="default" w:ascii="楷体_GB2312" w:hAnsi="楷体_GB2312" w:eastAsia="楷体_GB2312"/>
                <w:b/>
                <w:i w:val="0"/>
                <w:snapToGrid/>
                <w:color w:val="000000"/>
                <w:sz w:val="24"/>
                <w:szCs w:val="28"/>
                <w:u w:val="none"/>
                <w:shd w:val="clear" w:color="auto" w:fill="FFFFFF"/>
                <w:lang w:eastAsia="zh-CN"/>
              </w:rPr>
              <w:t>指标</w:t>
            </w:r>
          </w:p>
        </w:tc>
        <w:tc>
          <w:tcPr>
            <w:tcW w:w="77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i w:val="0"/>
                <w:snapToGrid/>
                <w:color w:val="000000"/>
                <w:sz w:val="24"/>
                <w:szCs w:val="28"/>
                <w:u w:val="none"/>
                <w:shd w:val="clear" w:color="auto" w:fill="FFFFFF"/>
                <w:lang w:eastAsia="zh-CN"/>
              </w:rPr>
            </w:pPr>
            <w:r>
              <w:rPr>
                <w:rFonts w:hint="default" w:ascii="楷体_GB2312" w:hAnsi="楷体_GB2312" w:eastAsia="楷体_GB2312"/>
                <w:b/>
                <w:i w:val="0"/>
                <w:snapToGrid/>
                <w:color w:val="000000"/>
                <w:sz w:val="24"/>
                <w:szCs w:val="28"/>
                <w:u w:val="none"/>
                <w:shd w:val="clear" w:color="auto" w:fill="FFFFFF"/>
                <w:lang w:eastAsia="zh-CN"/>
              </w:rPr>
              <w:t>二级</w:t>
            </w:r>
            <w:r>
              <w:rPr>
                <w:rFonts w:hint="default" w:ascii="楷体_GB2312" w:hAnsi="楷体_GB2312" w:eastAsia="楷体_GB2312"/>
                <w:b/>
                <w:i w:val="0"/>
                <w:snapToGrid/>
                <w:color w:val="000000"/>
                <w:sz w:val="24"/>
                <w:szCs w:val="28"/>
                <w:u w:val="none"/>
                <w:shd w:val="clear" w:color="auto" w:fill="FFFFFF"/>
                <w:lang w:eastAsia="zh-CN"/>
              </w:rPr>
              <w:br w:type="textWrapping"/>
            </w:r>
            <w:r>
              <w:rPr>
                <w:rFonts w:hint="default" w:ascii="楷体_GB2312" w:hAnsi="楷体_GB2312" w:eastAsia="楷体_GB2312"/>
                <w:b/>
                <w:i w:val="0"/>
                <w:snapToGrid/>
                <w:color w:val="000000"/>
                <w:sz w:val="24"/>
                <w:szCs w:val="28"/>
                <w:u w:val="none"/>
                <w:shd w:val="clear" w:color="auto" w:fill="FFFFFF"/>
                <w:lang w:eastAsia="zh-CN"/>
              </w:rPr>
              <w:t>指标</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i w:val="0"/>
                <w:snapToGrid/>
                <w:color w:val="000000"/>
                <w:sz w:val="24"/>
                <w:szCs w:val="28"/>
                <w:u w:val="none"/>
                <w:shd w:val="clear" w:color="auto" w:fill="FFFFFF"/>
                <w:lang w:eastAsia="zh-CN"/>
              </w:rPr>
            </w:pPr>
            <w:r>
              <w:rPr>
                <w:rFonts w:hint="default" w:ascii="楷体_GB2312" w:hAnsi="楷体_GB2312" w:eastAsia="楷体_GB2312"/>
                <w:b/>
                <w:i w:val="0"/>
                <w:snapToGrid/>
                <w:color w:val="000000"/>
                <w:sz w:val="24"/>
                <w:szCs w:val="28"/>
                <w:u w:val="none"/>
                <w:shd w:val="clear" w:color="auto" w:fill="FFFFFF"/>
                <w:lang w:eastAsia="zh-CN"/>
              </w:rPr>
              <w:t>三级指标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i w:val="0"/>
                <w:snapToGrid/>
                <w:color w:val="000000"/>
                <w:sz w:val="24"/>
                <w:szCs w:val="28"/>
                <w:u w:val="none"/>
                <w:shd w:val="clear" w:color="auto" w:fill="FFFFFF"/>
                <w:lang w:eastAsia="zh-CN"/>
              </w:rPr>
            </w:pPr>
            <w:r>
              <w:rPr>
                <w:rFonts w:hint="default" w:ascii="楷体_GB2312" w:hAnsi="楷体_GB2312" w:eastAsia="楷体_GB2312"/>
                <w:b/>
                <w:i w:val="0"/>
                <w:snapToGrid/>
                <w:color w:val="000000"/>
                <w:sz w:val="24"/>
                <w:szCs w:val="28"/>
                <w:u w:val="none"/>
                <w:shd w:val="clear" w:color="auto" w:fill="FFFFFF"/>
                <w:lang w:eastAsia="zh-CN"/>
              </w:rPr>
              <w:t>指标解释</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i w:val="0"/>
                <w:snapToGrid/>
                <w:color w:val="000000"/>
                <w:sz w:val="24"/>
                <w:szCs w:val="28"/>
                <w:u w:val="none"/>
                <w:shd w:val="clear" w:color="auto" w:fill="FFFFFF"/>
                <w:lang w:eastAsia="zh-CN"/>
              </w:rPr>
            </w:pPr>
            <w:r>
              <w:rPr>
                <w:rFonts w:hint="default" w:ascii="楷体_GB2312" w:hAnsi="楷体_GB2312" w:eastAsia="楷体_GB2312"/>
                <w:b/>
                <w:i w:val="0"/>
                <w:snapToGrid/>
                <w:color w:val="000000"/>
                <w:sz w:val="24"/>
                <w:szCs w:val="28"/>
                <w:u w:val="none"/>
                <w:shd w:val="clear" w:color="auto" w:fill="FFFFFF"/>
                <w:lang w:eastAsia="zh-CN"/>
              </w:rPr>
              <w:t>指标说明</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380" w:hRule="atLeast"/>
        </w:trPr>
        <w:tc>
          <w:tcPr>
            <w:tcW w:w="742"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投   入</w:t>
            </w:r>
          </w:p>
        </w:tc>
        <w:tc>
          <w:tcPr>
            <w:tcW w:w="778"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立项</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项目立项规范性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项目的申请、设立过程是否符合相关要求，用以反映和考核项目立项的规范情况。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①项目是否按照规定的程序申请设立；</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②所提交的文件、材料是否符合相关要求；</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③事前是否已经过必要的可行性研究、专家论证、风险评估、集体决策等。</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085" w:hRule="atLeast"/>
        </w:trPr>
        <w:tc>
          <w:tcPr>
            <w:tcW w:w="742"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绩效目标合理性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项目所设定的绩效目标是否依据充分，是否符合客观实际，用以反映和考核项目绩效目标与项目实施的相符情况。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①是否符合国家相关法律法规、国民经济发展规划和党委政府决策；</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②是否与项目实施单位或委托单位职责密切相关；</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③项目是否为促进事业发展所必需；</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④项目预期产出效益和效果是否符合正常的业绩水平。</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950" w:hRule="atLeast"/>
        </w:trPr>
        <w:tc>
          <w:tcPr>
            <w:tcW w:w="742"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绩效指标明确性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依据绩效目标设定的绩效指标是否清晰、细化、可衡量等，用以反映和考核项目绩效目标的明细化情况。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①是否将项目绩效目标细化分解为具体的绩效指标；</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②是否通过清晰、可衡量的指标值予以体现；</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③是否与项目年度任务数或计划数相对应；</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④是否与预算确定的项目投资额或资金量相匹配。</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575" w:hRule="atLeast"/>
        </w:trPr>
        <w:tc>
          <w:tcPr>
            <w:tcW w:w="742"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778"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资金</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落实</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资金到位率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实际到位资金与计划投入资金的比率，用以反映和考核资金落实情况对项目实施的总体保障程度。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资金到位率=（实际到位资金/计划投入资金）×100%。</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实际到位资金：一定时期（本年度或项目期）内实际落实到具体项目的资金。</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计划投入资金：一定时期（本年度或项目期）内计划投入到具体项目的资金。</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737" w:hRule="atLeast"/>
        </w:trPr>
        <w:tc>
          <w:tcPr>
            <w:tcW w:w="742" w:type="dxa"/>
            <w:vMerge w:val="continue"/>
            <w:tcBorders>
              <w:top w:val="single" w:color="000000"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到位及时率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及时到位资金与应到位资金的比率，用以反映和考核项目资金落实的及时性程度。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到位及时率=（及时到位资金/应到位资金）×100%。</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及时到位资金：截至规定时点实际落实到具体项目的资金。</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应到位资金：按照合同或项目进度要求截至规定时点应落实到具体项目的资金。</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695" w:hRule="atLeast"/>
        </w:trPr>
        <w:tc>
          <w:tcPr>
            <w:tcW w:w="742" w:type="dxa"/>
            <w:vMerge w:val="restart"/>
            <w:tcBorders>
              <w:top w:val="single" w:color="auto" w:sz="4" w:space="0"/>
              <w:left w:val="single" w:color="auto" w:sz="4" w:space="0"/>
              <w:bottom w:val="single" w:color="auto" w:sz="4" w:space="0"/>
              <w:right w:val="single" w:color="auto"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过   程</w:t>
            </w:r>
          </w:p>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p>
        </w:tc>
        <w:tc>
          <w:tcPr>
            <w:tcW w:w="778" w:type="dxa"/>
            <w:vMerge w:val="restart"/>
            <w:tcBorders>
              <w:top w:val="single" w:color="000000" w:sz="4" w:space="0"/>
              <w:left w:val="single" w:color="auto"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业务</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管理</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管理制度健全性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项目实施单位的业务管理制度是否健全，用以反映和考核业务管理制度对项目顺利实施的保障情况。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①是否已制定或具有相应的业务管理制度；</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②业务管理制度是否合法、合规、完整。</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370" w:hRule="atLeast"/>
        </w:trPr>
        <w:tc>
          <w:tcPr>
            <w:tcW w:w="742" w:type="dxa"/>
            <w:vMerge w:val="continue"/>
            <w:tcBorders>
              <w:top w:val="single" w:color="auto" w:sz="4" w:space="0"/>
              <w:left w:val="single" w:color="auto" w:sz="4" w:space="0"/>
              <w:bottom w:val="single" w:color="auto" w:sz="4" w:space="0"/>
              <w:right w:val="single" w:color="auto" w:sz="4" w:space="0"/>
            </w:tcBorders>
            <w:shd w:val="solid" w:color="FFFFFF" w:fill="auto"/>
            <w:vAlign w:val="center"/>
          </w:tcPr>
          <w:p>
            <w:pPr>
              <w:rPr>
                <w:rFonts w:hint="default"/>
                <w:sz w:val="22"/>
              </w:rPr>
            </w:pPr>
          </w:p>
        </w:tc>
        <w:tc>
          <w:tcPr>
            <w:tcW w:w="778" w:type="dxa"/>
            <w:vMerge w:val="continue"/>
            <w:tcBorders>
              <w:top w:val="single" w:color="000000" w:sz="4" w:space="0"/>
              <w:left w:val="single" w:color="auto"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制度执行有效性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项目实施是否符合相关业务管理规定，用以反映和考核业务管理制度的有效执行情况。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①是否遵守相关法律法规和业务管理规定；</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②项目调整及支出调整手续是否完备；</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③项目合同书、验收报告、技术鉴定等资料是否齐全并及时归档；</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④项目实施的人员条件、场地设备、信息支撑等是否落实到位。</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980" w:hRule="atLeast"/>
        </w:trPr>
        <w:tc>
          <w:tcPr>
            <w:tcW w:w="742" w:type="dxa"/>
            <w:vMerge w:val="continue"/>
            <w:tcBorders>
              <w:top w:val="single" w:color="auto" w:sz="4" w:space="0"/>
              <w:left w:val="single" w:color="auto" w:sz="4" w:space="0"/>
              <w:bottom w:val="single" w:color="auto" w:sz="4" w:space="0"/>
              <w:right w:val="single" w:color="auto" w:sz="4" w:space="0"/>
            </w:tcBorders>
            <w:shd w:val="solid" w:color="FFFFFF" w:fill="auto"/>
            <w:vAlign w:val="center"/>
          </w:tcPr>
          <w:p>
            <w:pPr>
              <w:rPr>
                <w:rFonts w:hint="default"/>
                <w:sz w:val="22"/>
              </w:rPr>
            </w:pPr>
          </w:p>
        </w:tc>
        <w:tc>
          <w:tcPr>
            <w:tcW w:w="778" w:type="dxa"/>
            <w:vMerge w:val="continue"/>
            <w:tcBorders>
              <w:top w:val="single" w:color="000000" w:sz="4" w:space="0"/>
              <w:left w:val="single" w:color="auto"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项目质量可控性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项目实施单位是否为达到项目质量要求而采取了必需的措施,用以反映和考核项目实施单位对项目质量的控制情况。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①是否已制定或具有相应的项目质量要求或标准；</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②是否采取了相应的项目质量检查、验收等必需的控制措施或手段。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095" w:hRule="atLeast"/>
        </w:trPr>
        <w:tc>
          <w:tcPr>
            <w:tcW w:w="742" w:type="dxa"/>
            <w:vMerge w:val="continue"/>
            <w:tcBorders>
              <w:top w:val="single" w:color="auto" w:sz="4" w:space="0"/>
              <w:left w:val="single" w:color="auto" w:sz="4" w:space="0"/>
              <w:bottom w:val="single" w:color="auto" w:sz="4" w:space="0"/>
              <w:right w:val="single" w:color="auto"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p>
        </w:tc>
        <w:tc>
          <w:tcPr>
            <w:tcW w:w="778" w:type="dxa"/>
            <w:vMerge w:val="restart"/>
            <w:tcBorders>
              <w:top w:val="single" w:color="000000" w:sz="4" w:space="0"/>
              <w:left w:val="single" w:color="auto"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财务</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管理</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管理制度健全性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项目实施单位的财务制度是否健全，用以反映和考核财务管理制度对资金规范、安全运行的保障情况。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①是否已制定或具有相应的项目资金管理办法；</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②项目资金管理办法是否符合相关财务会计制度的规定。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680" w:hRule="atLeast"/>
        </w:trPr>
        <w:tc>
          <w:tcPr>
            <w:tcW w:w="742" w:type="dxa"/>
            <w:vMerge w:val="continue"/>
            <w:tcBorders>
              <w:top w:val="single" w:color="auto" w:sz="4" w:space="0"/>
              <w:left w:val="single" w:color="auto" w:sz="4" w:space="0"/>
              <w:bottom w:val="single" w:color="auto" w:sz="4" w:space="0"/>
              <w:right w:val="single" w:color="auto" w:sz="4" w:space="0"/>
            </w:tcBorders>
            <w:shd w:val="solid" w:color="FFFFFF" w:fill="auto"/>
            <w:vAlign w:val="center"/>
          </w:tcPr>
          <w:p>
            <w:pPr>
              <w:rPr>
                <w:rFonts w:hint="default"/>
                <w:sz w:val="22"/>
              </w:rPr>
            </w:pPr>
          </w:p>
        </w:tc>
        <w:tc>
          <w:tcPr>
            <w:tcW w:w="778" w:type="dxa"/>
            <w:vMerge w:val="continue"/>
            <w:tcBorders>
              <w:top w:val="single" w:color="000000" w:sz="4" w:space="0"/>
              <w:left w:val="single" w:color="auto"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资金使用合规性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项目资金使用是否符合相关的财务管理制度规定，用以反映和考核项目资金的规范运行情况。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①是否符合国家财经法规和财务管理制度以及有关专项资金管理办法的规定；</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②资金的拨付是否有完整的审批程序和手续；</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③项目的重大开支是否经过评估认证；</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④是否符合项目预算批复或合同规定的用途；</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⑤是否存在截留、挤占、挪用、虚列支出等情况。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095" w:hRule="atLeast"/>
        </w:trPr>
        <w:tc>
          <w:tcPr>
            <w:tcW w:w="742" w:type="dxa"/>
            <w:vMerge w:val="continue"/>
            <w:tcBorders>
              <w:top w:val="single" w:color="auto" w:sz="4" w:space="0"/>
              <w:left w:val="single" w:color="auto" w:sz="4" w:space="0"/>
              <w:bottom w:val="single" w:color="auto" w:sz="4" w:space="0"/>
              <w:right w:val="single" w:color="auto" w:sz="4" w:space="0"/>
            </w:tcBorders>
            <w:shd w:val="solid" w:color="FFFFFF" w:fill="auto"/>
            <w:vAlign w:val="center"/>
          </w:tcPr>
          <w:p>
            <w:pPr>
              <w:rPr>
                <w:rFonts w:hint="default"/>
                <w:sz w:val="22"/>
              </w:rPr>
            </w:pPr>
          </w:p>
        </w:tc>
        <w:tc>
          <w:tcPr>
            <w:tcW w:w="778" w:type="dxa"/>
            <w:vMerge w:val="continue"/>
            <w:tcBorders>
              <w:top w:val="single" w:color="000000" w:sz="4" w:space="0"/>
              <w:left w:val="single" w:color="auto"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财务监控有效性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项目实施单位是否为保障资金的安全、规范运行而采取了必要的监控措施，用以反映和考核项目实施单位对资金运行的控制情况。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①是否已制定或具有相应的监控机制；</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②是否采取了相应的财务检查等必要的监控措施或手段。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114" w:hRule="atLeast"/>
        </w:trPr>
        <w:tc>
          <w:tcPr>
            <w:tcW w:w="742" w:type="dxa"/>
            <w:vMerge w:val="restart"/>
            <w:tcBorders>
              <w:top w:val="single" w:color="auto" w:sz="4" w:space="0"/>
              <w:left w:val="single" w:color="000000" w:sz="4" w:space="0"/>
              <w:bottom w:val="single" w:color="auto"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产   出</w:t>
            </w:r>
          </w:p>
        </w:tc>
        <w:tc>
          <w:tcPr>
            <w:tcW w:w="778"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产出</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实际完成率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项目实施的实际产出数与计划产出数的比率，用以反映和考核项目产出数量目标的实现程度。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实际完成率=（实际产出数/计划产出数）×100%。</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实际产出数：一定时期（本年度或项目期）内项目实际产出的产品或提供的服务数量。</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计划产出数：项目绩效目标确定的在一定时期（本年度或项目期）内计划产出的产品或提供的服务数量。</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755"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完成及时率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项目实际提前完成时间与计划完成时间的比率，用以反映和考核项目产出时效目标的实现程度。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完成及时率=[（计划完成时间-实际完成时间）/计划完成时间]×100%。</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实际完成时间：项目实施单位完成该项目实际所耗用的时间。</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计划完成时间：按照项目实施计划或相关规定完成该项目所需的时间。</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219"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质量达标率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项目完成的质量达标产出数与实际产出数的比率，用以反映和考核项目产出质量目标的实现程度。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质量达标率=（质量达标产出数/实际产出数）×100%。</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质量达标产出数：一定时期（本年度或项目期）内实际达到既定质量标准的产品或服务数量。</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既定质量标准是指项目实施单位设立绩效目标时依据计划标准、行业标准、历史标准或其他标准而设定的绩效指标值。</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996"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成本节约率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完成项目计划工作目标的实际节约成本与计划成本的比率，用以反映和考核项目的成本节约程度。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成本节约率=[（计划成本-实际成本）/计划成本]×100%。</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实际成本：项目实施单位如期、保质、保量完成既定工作目标实际所耗费的支出。</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计划成本：项目实施单位为完成工作目标计划安排的支出，一般以项目预算为参考。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821" w:hRule="atLeast"/>
        </w:trPr>
        <w:tc>
          <w:tcPr>
            <w:tcW w:w="742" w:type="dxa"/>
            <w:vMerge w:val="restart"/>
            <w:tcBorders>
              <w:top w:val="single" w:color="auto" w:sz="4" w:space="0"/>
              <w:left w:val="single" w:color="000000" w:sz="4" w:space="0"/>
              <w:bottom w:val="single" w:color="auto"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效   果</w:t>
            </w:r>
          </w:p>
        </w:tc>
        <w:tc>
          <w:tcPr>
            <w:tcW w:w="778"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效益</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经济效益</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项目实施对经济发展所带来的直接或间接影响情况。</w:t>
            </w:r>
          </w:p>
        </w:tc>
        <w:tc>
          <w:tcPr>
            <w:tcW w:w="3894"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此四项指标为设置项目支出绩效评价指标时必须考虑的共性要素，可根据项目实际并结合绩效目标设立情况有选择的进行设置，并将其细化为相应的个性化指标。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684"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社会效益</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项目实施对社会发展所带来的直接或间接影响情况。</w:t>
            </w:r>
          </w:p>
        </w:tc>
        <w:tc>
          <w:tcPr>
            <w:tcW w:w="3894"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kinsoku/>
              <w:autoSpaceDE/>
              <w:autoSpaceDN w:val="0"/>
              <w:textAlignment w:val="auto"/>
              <w:rPr>
                <w:rFonts w:hint="default"/>
                <w:snapToGrid/>
                <w:sz w:val="22"/>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335"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生态效益</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项目实施对生态环境所带来的直接或间接影响情况。</w:t>
            </w:r>
          </w:p>
        </w:tc>
        <w:tc>
          <w:tcPr>
            <w:tcW w:w="3894"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kinsoku/>
              <w:autoSpaceDE/>
              <w:autoSpaceDN w:val="0"/>
              <w:textAlignment w:val="auto"/>
              <w:rPr>
                <w:rFonts w:hint="default"/>
                <w:snapToGrid/>
                <w:sz w:val="22"/>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294"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可持续影响</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项目后续运行及成效发挥的可持续影响情况。</w:t>
            </w:r>
          </w:p>
        </w:tc>
        <w:tc>
          <w:tcPr>
            <w:tcW w:w="3894"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kinsoku/>
              <w:autoSpaceDE/>
              <w:autoSpaceDN w:val="0"/>
              <w:textAlignment w:val="auto"/>
              <w:rPr>
                <w:rFonts w:hint="default"/>
                <w:snapToGrid/>
                <w:sz w:val="22"/>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554"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社会公众或服务对象满意度</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社会公众或服务对象对项目实施效果的满意程度。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社会公众或服务对象是指因该项目实施而受到影响的部门（单位）、群体或个人。一般采取社会调查的方式。</w:t>
            </w:r>
          </w:p>
        </w:tc>
      </w:tr>
    </w:tbl>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right="0" w:rightChars="0"/>
        <w:jc w:val="both"/>
        <w:textAlignment w:val="auto"/>
        <w:outlineLvl w:val="9"/>
        <w:rPr>
          <w:rFonts w:hint="eastAsia" w:ascii="仿宋_GB2312" w:hAnsi="宋体" w:eastAsia="仿宋_GB2312"/>
          <w:sz w:val="32"/>
          <w:szCs w:val="32"/>
          <w:lang w:val="en-US" w:eastAsia="zh-CN"/>
        </w:rPr>
      </w:pPr>
    </w:p>
    <w:p/>
    <w:sectPr>
      <w:headerReference r:id="rId3" w:type="first"/>
      <w:footerReference r:id="rId6" w:type="first"/>
      <w:footerReference r:id="rId4" w:type="default"/>
      <w:footerReference r:id="rId5" w:type="even"/>
      <w:pgSz w:w="11906" w:h="16838"/>
      <w:pgMar w:top="1361" w:right="1644" w:bottom="1361" w:left="1644" w:header="851" w:footer="992" w:gutter="0"/>
      <w:pgNumType w:fmt="decimal"/>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华文楷体">
    <w:panose1 w:val="02010600040101010101"/>
    <w:charset w:val="86"/>
    <w:family w:val="auto"/>
    <w:pitch w:val="default"/>
    <w:sig w:usb0="00000287" w:usb1="080F0000" w:usb2="00000000" w:usb3="00000000" w:csb0="0004009F" w:csb1="DFD70000"/>
  </w:font>
  <w:font w:name="仿宋">
    <w:panose1 w:val="02010609060101010101"/>
    <w:charset w:val="86"/>
    <w:family w:val="auto"/>
    <w:pitch w:val="default"/>
    <w:sig w:usb0="800002BF" w:usb1="38CF7CFA" w:usb2="00000016" w:usb3="00000000" w:csb0="00040001" w:csb1="00000000"/>
  </w:font>
  <w:font w:name="仿宋_GB2312">
    <w:panose1 w:val="02010609030101010101"/>
    <w:charset w:val="86"/>
    <w:family w:val="modern"/>
    <w:pitch w:val="default"/>
    <w:sig w:usb0="00000001" w:usb1="080E0000" w:usb2="00000000" w:usb3="00000000" w:csb0="00040000" w:csb1="00000000"/>
  </w:font>
  <w:font w:name="楷体_GB2312">
    <w:panose1 w:val="02010609030101010101"/>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framePr w:wrap="around" w:vAnchor="text" w:hAnchor="margin" w:xAlign="right" w:y="1"/>
      <w:rPr>
        <w:rStyle w:val="7"/>
      </w:rPr>
    </w:pPr>
    <w:r>
      <w:fldChar w:fldCharType="begin"/>
    </w:r>
    <w:r>
      <w:rPr>
        <w:rStyle w:val="7"/>
      </w:rPr>
      <w:instrText xml:space="preserve">PAGE  </w:instrText>
    </w:r>
    <w:r>
      <w:fldChar w:fldCharType="separate"/>
    </w:r>
    <w:r>
      <w:rPr>
        <w:rStyle w:val="7"/>
      </w:rPr>
      <w:t>4</w:t>
    </w:r>
    <w:r>
      <w:fldChar w:fldCharType="end"/>
    </w:r>
  </w:p>
  <w:p>
    <w:pPr>
      <w:pStyle w:val="2"/>
      <w:ind w:right="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5E140062"/>
    <w:multiLevelType w:val="singleLevel"/>
    <w:tmpl w:val="5E140062"/>
    <w:lvl w:ilvl="0" w:tentative="0">
      <w:start w:val="1"/>
      <w:numFmt w:val="decimal"/>
      <w:suff w:val="nothing"/>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8"/>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2A2941B7"/>
    <w:rsid w:val="260C596A"/>
    <w:rsid w:val="2A2941B7"/>
    <w:rsid w:val="3E9D78EB"/>
    <w:rsid w:val="55EF4A1B"/>
    <w:rsid w:val="662D6684"/>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eastAsia="宋体" w:asciiTheme="minorHAnsi" w:hAnsiTheme="minorHAnsi" w:cstheme="minorBidi"/>
      <w:kern w:val="2"/>
      <w:sz w:val="21"/>
      <w:szCs w:val="24"/>
      <w:lang w:val="en-US" w:eastAsia="zh-CN" w:bidi="ar-SA"/>
    </w:rPr>
  </w:style>
  <w:style w:type="character" w:default="1" w:styleId="5">
    <w:name w:val="Default Paragraph Font"/>
    <w:link w:val="6"/>
    <w:semiHidden/>
    <w:qFormat/>
    <w:uiPriority w:val="0"/>
  </w:style>
  <w:style w:type="table" w:default="1" w:styleId="4">
    <w:name w:val="Normal Table"/>
    <w:semiHidden/>
    <w:qFormat/>
    <w:uiPriority w:val="0"/>
    <w:tblPr>
      <w:tblLayout w:type="fixed"/>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szCs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rFonts w:ascii="Times New Roman" w:hAnsi="Times New Roman"/>
      <w:sz w:val="18"/>
    </w:rPr>
  </w:style>
  <w:style w:type="paragraph" w:customStyle="1" w:styleId="6">
    <w:name w:val="默认段落字体 Para Char Char Char Char Char Char Char"/>
    <w:basedOn w:val="1"/>
    <w:link w:val="5"/>
    <w:qFormat/>
    <w:uiPriority w:val="0"/>
  </w:style>
  <w:style w:type="character" w:styleId="7">
    <w:name w:val="page number"/>
    <w:basedOn w:val="5"/>
    <w:qFormat/>
    <w:uiPriority w:val="0"/>
  </w:style>
</w:styles>
</file>

<file path=word/_rels/document.xml.rels><?xml version="1.0" encoding="UTF-8" standalone="yes"?>
<Relationships xmlns="http://schemas.openxmlformats.org/package/2006/relationships"><Relationship Id="rId9" Type="http://schemas.openxmlformats.org/officeDocument/2006/relationships/numbering" Target="numbering.xml"/><Relationship Id="rId8" Type="http://schemas.openxmlformats.org/officeDocument/2006/relationships/customXml" Target="../customXml/item1.xml"/><Relationship Id="rId7" Type="http://schemas.openxmlformats.org/officeDocument/2006/relationships/theme" Target="theme/theme1.xml"/><Relationship Id="rId6" Type="http://schemas.openxmlformats.org/officeDocument/2006/relationships/footer" Target="footer3.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1</TotalTime>
  <ScaleCrop>false</ScaleCrop>
  <LinksUpToDate>false</LinksUpToDate>
  <CharactersWithSpaces>0</CharactersWithSpaces>
  <Application>WPS Office_11.8.2.8411_F1E327BC-269C-435d-A152-05C5408002CA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2020-01-02T08:14:00Z</dcterms:created>
  <dc:creator>838</dc:creator>
  <cp:lastModifiedBy>苏~ </cp:lastModifiedBy>
  <dcterms:modified xsi:type="dcterms:W3CDTF">2024-07-08T02:41:29Z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2052-11.8.2.8411</vt:lpwstr>
  </property>
</Properties>
</file>