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b/>
          <w:bCs/>
          <w:sz w:val="32"/>
          <w:szCs w:val="32"/>
          <w:lang w:eastAsia="zh-CN"/>
        </w:rPr>
      </w:pPr>
      <w:r>
        <w:rPr>
          <w:rFonts w:hint="eastAsia" w:asciiTheme="majorEastAsia" w:hAnsiTheme="majorEastAsia" w:eastAsiaTheme="majorEastAsia" w:cstheme="majorEastAsia"/>
          <w:b/>
          <w:bCs/>
          <w:sz w:val="36"/>
          <w:szCs w:val="36"/>
          <w:lang w:val="en-US" w:eastAsia="zh-CN"/>
        </w:rPr>
        <w:t>国家司法救助</w:t>
      </w:r>
      <w:r>
        <w:rPr>
          <w:rFonts w:hint="eastAsia" w:asciiTheme="majorEastAsia" w:hAnsiTheme="majorEastAsia" w:eastAsiaTheme="majorEastAsia" w:cstheme="majorEastAsia"/>
          <w:b/>
          <w:bCs/>
          <w:sz w:val="36"/>
          <w:szCs w:val="36"/>
          <w:lang w:eastAsia="zh-CN"/>
        </w:rPr>
        <w:t>项目</w:t>
      </w:r>
      <w:r>
        <w:rPr>
          <w:rFonts w:hint="eastAsia" w:asciiTheme="majorEastAsia" w:hAnsiTheme="majorEastAsia" w:eastAsiaTheme="majorEastAsia" w:cstheme="majorEastAsia"/>
          <w:b/>
          <w:bCs/>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根据《</w:t>
      </w:r>
      <w:r>
        <w:rPr>
          <w:rFonts w:hint="eastAsia" w:ascii="仿宋" w:hAnsi="仿宋" w:eastAsia="仿宋" w:cs="仿宋"/>
          <w:b w:val="0"/>
          <w:bCs w:val="0"/>
          <w:sz w:val="32"/>
          <w:szCs w:val="32"/>
          <w:lang w:eastAsia="zh-CN"/>
        </w:rPr>
        <w:t>石家庄市鹿泉区区级部门预算绩效管理办法</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（鹿</w:t>
      </w:r>
      <w:r>
        <w:rPr>
          <w:rFonts w:hint="eastAsia" w:ascii="仿宋" w:hAnsi="仿宋" w:eastAsia="仿宋" w:cs="仿宋"/>
          <w:b w:val="0"/>
          <w:bCs w:val="0"/>
          <w:sz w:val="32"/>
          <w:szCs w:val="32"/>
          <w:lang w:val="en-US" w:eastAsia="zh-CN"/>
        </w:rPr>
        <w:t>财字[2019]65号）</w:t>
      </w:r>
      <w:r>
        <w:rPr>
          <w:rFonts w:hint="eastAsia" w:ascii="仿宋" w:hAnsi="仿宋" w:eastAsia="仿宋" w:cs="仿宋"/>
          <w:b w:val="0"/>
          <w:bCs w:val="0"/>
          <w:sz w:val="32"/>
          <w:szCs w:val="32"/>
        </w:rPr>
        <w:t>，遵循“科学性、规范性、客观性和公正性”的原则，对</w:t>
      </w:r>
      <w:r>
        <w:rPr>
          <w:rFonts w:hint="eastAsia" w:ascii="仿宋" w:hAnsi="仿宋" w:eastAsia="仿宋" w:cs="仿宋"/>
          <w:b w:val="0"/>
          <w:bCs w:val="0"/>
          <w:sz w:val="32"/>
          <w:szCs w:val="32"/>
          <w:lang w:val="en-US" w:eastAsia="zh-CN"/>
        </w:rPr>
        <w:t>国家司法救助</w:t>
      </w:r>
      <w:r>
        <w:rPr>
          <w:rFonts w:hint="eastAsia" w:ascii="仿宋" w:hAnsi="仿宋" w:eastAsia="仿宋" w:cs="仿宋"/>
          <w:b w:val="0"/>
          <w:bCs w:val="0"/>
          <w:sz w:val="32"/>
          <w:szCs w:val="32"/>
          <w:lang w:eastAsia="zh-CN"/>
        </w:rPr>
        <w:t>项目</w:t>
      </w:r>
      <w:r>
        <w:rPr>
          <w:rFonts w:hint="eastAsia" w:ascii="仿宋" w:hAnsi="仿宋" w:eastAsia="仿宋" w:cs="仿宋"/>
          <w:b w:val="0"/>
          <w:bCs w:val="0"/>
          <w:sz w:val="32"/>
          <w:szCs w:val="32"/>
        </w:rPr>
        <w:t>实施了</w:t>
      </w:r>
      <w:r>
        <w:rPr>
          <w:rFonts w:hint="eastAsia" w:ascii="仿宋" w:hAnsi="仿宋" w:eastAsia="仿宋" w:cs="仿宋"/>
          <w:b w:val="0"/>
          <w:bCs w:val="0"/>
          <w:sz w:val="32"/>
          <w:szCs w:val="32"/>
          <w:lang w:eastAsia="zh-CN"/>
        </w:rPr>
        <w:t>绩效</w:t>
      </w:r>
      <w:r>
        <w:rPr>
          <w:rFonts w:hint="eastAsia" w:ascii="仿宋" w:hAnsi="仿宋" w:eastAsia="仿宋" w:cs="仿宋"/>
          <w:b w:val="0"/>
          <w:bCs w:val="0"/>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numPr>
          <w:ilvl w:val="0"/>
          <w:numId w:val="1"/>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项目概况</w:t>
      </w:r>
    </w:p>
    <w:p>
      <w:pPr>
        <w:numPr>
          <w:ilvl w:val="0"/>
          <w:numId w:val="0"/>
        </w:numPr>
        <w:adjustRightInd w:val="0"/>
        <w:snapToGrid w:val="0"/>
        <w:spacing w:line="360" w:lineRule="auto"/>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石家庄市建立完善国家司法救助制度实施办法》（试行）石政法[2014]7号第11条规定，国家司法救助资金由各级财政部门根据上年度国家司法救助资金使用情况和当年司法救助工作安排，列入预算，并建立动态调整机制，同时，将刑事被害人救助专项资金、涉法涉诉专项救助资金等合并为司法救助资金。对刑事案件被害人进行救助，对民事案件中被执行人没有执行能力</w:t>
      </w:r>
      <w:r>
        <w:rPr>
          <w:rFonts w:hint="eastAsia" w:ascii="仿宋" w:hAnsi="仿宋" w:eastAsia="仿宋" w:cs="仿宋"/>
          <w:sz w:val="32"/>
          <w:szCs w:val="32"/>
          <w:lang w:val="en-US" w:eastAsia="zh-CN"/>
        </w:rPr>
        <w:t>或</w:t>
      </w:r>
      <w:r>
        <w:rPr>
          <w:rFonts w:hint="eastAsia" w:ascii="仿宋" w:hAnsi="仿宋" w:eastAsia="仿宋" w:cs="仿宋"/>
          <w:sz w:val="32"/>
          <w:szCs w:val="32"/>
          <w:lang w:val="zh-CN"/>
        </w:rPr>
        <w:t>生活困难的申请执行人进行救助。涉法涉诉案件由公、检、法、司审核上报，</w:t>
      </w:r>
      <w:r>
        <w:rPr>
          <w:rFonts w:hint="eastAsia" w:ascii="仿宋" w:hAnsi="仿宋" w:eastAsia="仿宋" w:cs="仿宋"/>
          <w:sz w:val="32"/>
          <w:szCs w:val="32"/>
          <w:lang w:val="en-US" w:eastAsia="zh-CN"/>
        </w:rPr>
        <w:t>每</w:t>
      </w:r>
      <w:r>
        <w:rPr>
          <w:rFonts w:hint="eastAsia" w:ascii="仿宋" w:hAnsi="仿宋" w:eastAsia="仿宋" w:cs="仿宋"/>
          <w:sz w:val="32"/>
          <w:szCs w:val="32"/>
          <w:lang w:val="zh-CN"/>
        </w:rPr>
        <w:t>半年申报一次，政法委组织召开会议通过后</w:t>
      </w:r>
      <w:r>
        <w:rPr>
          <w:rFonts w:hint="eastAsia" w:ascii="仿宋" w:hAnsi="仿宋" w:eastAsia="仿宋" w:cs="仿宋"/>
          <w:sz w:val="32"/>
          <w:szCs w:val="32"/>
          <w:lang w:val="en-US" w:eastAsia="zh-CN"/>
        </w:rPr>
        <w:t>给予</w:t>
      </w:r>
      <w:r>
        <w:rPr>
          <w:rFonts w:hint="eastAsia" w:ascii="仿宋" w:hAnsi="仿宋" w:eastAsia="仿宋" w:cs="仿宋"/>
          <w:sz w:val="32"/>
          <w:szCs w:val="32"/>
          <w:lang w:val="zh-CN"/>
        </w:rPr>
        <w:t>一定的救助金，救助标准按照申请人实际遭受的损失、家庭情况、赔偿义务人实际赔偿情况等多方面因素考虑。减少受害人经济损失，有效解决涉法涉诉信访问题，化解信访积案，维护社会稳定。</w:t>
      </w:r>
    </w:p>
    <w:p>
      <w:pPr>
        <w:adjustRightInd w:val="0"/>
        <w:snapToGrid w:val="0"/>
        <w:spacing w:line="360" w:lineRule="auto"/>
        <w:ind w:firstLine="640" w:firstLineChars="200"/>
        <w:rPr>
          <w:rFonts w:hint="eastAsia" w:ascii="仿宋" w:hAnsi="仿宋" w:eastAsia="仿宋" w:cs="仿宋"/>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ind w:left="0" w:leftChars="0" w:right="0" w:rightChars="0" w:firstLine="640" w:firstLineChars="200"/>
        <w:jc w:val="left"/>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绩效评价工作情况</w:t>
      </w:r>
    </w:p>
    <w:p>
      <w:pPr>
        <w:keepNext w:val="0"/>
        <w:keepLines w:val="0"/>
        <w:pageBreakBefore w:val="0"/>
        <w:widowControl w:val="0"/>
        <w:numPr>
          <w:numId w:val="0"/>
        </w:numPr>
        <w:kinsoku/>
        <w:wordWrap/>
        <w:overflowPunct/>
        <w:topLinePunct w:val="0"/>
        <w:autoSpaceDE/>
        <w:autoSpaceDN/>
        <w:bidi w:val="0"/>
        <w:ind w:leftChars="200" w:right="0" w:rightChars="0"/>
        <w:jc w:val="left"/>
        <w:textAlignment w:val="auto"/>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 xml:space="preserve">  （</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我单位评价工作组人员通过补助及时率、符合政策标准进行补助的覆盖率及群众满意度进行综合评价。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sz w:val="32"/>
          <w:szCs w:val="32"/>
          <w:lang w:val="zh-CN"/>
        </w:rPr>
        <w:t>涉法涉诉案件由公、检、法、司审核上报，</w:t>
      </w:r>
      <w:r>
        <w:rPr>
          <w:rFonts w:hint="eastAsia" w:ascii="仿宋" w:hAnsi="仿宋" w:eastAsia="仿宋" w:cs="仿宋"/>
          <w:sz w:val="32"/>
          <w:szCs w:val="32"/>
          <w:lang w:val="en-US" w:eastAsia="zh-CN"/>
        </w:rPr>
        <w:t>每</w:t>
      </w:r>
      <w:r>
        <w:rPr>
          <w:rFonts w:hint="eastAsia" w:ascii="仿宋" w:hAnsi="仿宋" w:eastAsia="仿宋" w:cs="仿宋"/>
          <w:sz w:val="32"/>
          <w:szCs w:val="32"/>
          <w:lang w:val="zh-CN"/>
        </w:rPr>
        <w:t>半年申报一次，政法委组织召开会议通过后</w:t>
      </w:r>
      <w:r>
        <w:rPr>
          <w:rFonts w:hint="eastAsia" w:ascii="仿宋" w:hAnsi="仿宋" w:eastAsia="仿宋" w:cs="仿宋"/>
          <w:sz w:val="32"/>
          <w:szCs w:val="32"/>
          <w:lang w:val="en-US" w:eastAsia="zh-CN"/>
        </w:rPr>
        <w:t>给予</w:t>
      </w:r>
      <w:r>
        <w:rPr>
          <w:rFonts w:hint="eastAsia" w:ascii="仿宋" w:hAnsi="仿宋" w:eastAsia="仿宋" w:cs="仿宋"/>
          <w:sz w:val="32"/>
          <w:szCs w:val="32"/>
          <w:lang w:val="zh-CN"/>
        </w:rPr>
        <w:t>一定的救助金，救助标准按照申请人实际遭受的损失、家庭情况、赔偿义务人实际赔偿情况等多方面因素考虑。</w:t>
      </w:r>
      <w:r>
        <w:rPr>
          <w:rFonts w:hint="eastAsia" w:ascii="仿宋" w:hAnsi="仿宋" w:eastAsia="仿宋" w:cs="仿宋"/>
          <w:sz w:val="32"/>
          <w:szCs w:val="32"/>
          <w:lang w:val="en-US" w:eastAsia="zh-CN"/>
        </w:rPr>
        <w:t>可及时对其救治救助，符合政策标准的完成率可达100%，</w:t>
      </w:r>
      <w:r>
        <w:rPr>
          <w:rFonts w:hint="eastAsia" w:ascii="仿宋" w:hAnsi="仿宋" w:eastAsia="仿宋" w:cs="仿宋"/>
          <w:b w:val="0"/>
          <w:bCs w:val="0"/>
          <w:sz w:val="32"/>
          <w:szCs w:val="32"/>
          <w:lang w:val="en-US" w:eastAsia="zh-CN"/>
        </w:rPr>
        <w:t>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通过救助</w:t>
      </w:r>
      <w:r>
        <w:rPr>
          <w:rFonts w:hint="eastAsia" w:ascii="仿宋" w:hAnsi="仿宋" w:eastAsia="仿宋" w:cs="仿宋"/>
          <w:sz w:val="32"/>
          <w:szCs w:val="32"/>
          <w:lang w:val="zh-CN"/>
        </w:rPr>
        <w:t>减少受害人经济损失，有效解决涉法涉诉信访问题，化解信访积案，维护社会稳定，</w:t>
      </w:r>
      <w:r>
        <w:rPr>
          <w:rFonts w:hint="eastAsia" w:ascii="仿宋" w:hAnsi="仿宋" w:eastAsia="仿宋" w:cs="仿宋"/>
          <w:sz w:val="32"/>
          <w:szCs w:val="32"/>
          <w:lang w:val="en-US" w:eastAsia="zh-CN"/>
        </w:rPr>
        <w:t>群众满意度可达95%，</w:t>
      </w:r>
      <w:r>
        <w:rPr>
          <w:rFonts w:hint="eastAsia" w:ascii="仿宋" w:hAnsi="仿宋" w:eastAsia="仿宋" w:cs="仿宋"/>
          <w:b w:val="0"/>
          <w:bCs w:val="0"/>
          <w:sz w:val="32"/>
          <w:szCs w:val="32"/>
          <w:lang w:val="en-US" w:eastAsia="zh-CN"/>
        </w:rPr>
        <w:t>根据指标体系评分标准可评95分。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综合上述指标该项目评优。</w:t>
      </w:r>
    </w:p>
    <w:p>
      <w:pPr>
        <w:numPr>
          <w:ilvl w:val="0"/>
          <w:numId w:val="3"/>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bookmarkStart w:id="0" w:name="_GoBack"/>
      <w:bookmarkEnd w:id="0"/>
      <w:r>
        <w:rPr>
          <w:rFonts w:hint="eastAsia" w:ascii="黑体" w:eastAsia="黑体"/>
          <w:b w:val="0"/>
          <w:bCs w:val="0"/>
          <w:sz w:val="32"/>
          <w:szCs w:val="32"/>
        </w:rPr>
        <w:t>评价工作组人员名单</w:t>
      </w:r>
    </w:p>
    <w:p>
      <w:pPr>
        <w:keepNext w:val="0"/>
        <w:keepLines w:val="0"/>
        <w:pageBreakBefore w:val="0"/>
        <w:widowControl w:val="0"/>
        <w:numPr>
          <w:numId w:val="0"/>
        </w:numPr>
        <w:kinsoku/>
        <w:wordWrap/>
        <w:overflowPunct/>
        <w:topLinePunct w:val="0"/>
        <w:autoSpaceDE/>
        <w:autoSpaceDN/>
        <w:bidi w:val="0"/>
        <w:adjustRightInd w:val="0"/>
        <w:snapToGrid w:val="0"/>
        <w:spacing w:line="360" w:lineRule="auto"/>
        <w:ind w:leftChars="200" w:right="0" w:rightChars="0"/>
        <w:jc w:val="left"/>
        <w:textAlignment w:val="auto"/>
        <w:rPr>
          <w:rFonts w:hint="eastAsia" w:ascii="黑体" w:eastAsia="黑体"/>
          <w:b w:val="0"/>
          <w:bCs w:val="0"/>
          <w:sz w:val="32"/>
          <w:szCs w:val="32"/>
        </w:rPr>
      </w:pPr>
    </w:p>
    <w:p>
      <w:pPr>
        <w:keepNext w:val="0"/>
        <w:keepLines w:val="0"/>
        <w:pageBreakBefore w:val="0"/>
        <w:widowControl w:val="0"/>
        <w:numPr>
          <w:numId w:val="0"/>
        </w:numPr>
        <w:kinsoku/>
        <w:wordWrap/>
        <w:overflowPunct/>
        <w:topLinePunct w:val="0"/>
        <w:autoSpaceDE/>
        <w:autoSpaceDN/>
        <w:bidi w:val="0"/>
        <w:adjustRightInd w:val="0"/>
        <w:snapToGrid w:val="0"/>
        <w:spacing w:line="360" w:lineRule="auto"/>
        <w:ind w:leftChars="200" w:right="0" w:rightChars="0"/>
        <w:jc w:val="left"/>
        <w:textAlignment w:val="auto"/>
        <w:rPr>
          <w:rFonts w:hint="eastAsia" w:ascii="黑体" w:eastAsia="黑体"/>
          <w:b w:val="0"/>
          <w:bCs w:val="0"/>
          <w:sz w:val="32"/>
          <w:szCs w:val="32"/>
          <w:lang w:val="en-US" w:eastAsia="zh-CN"/>
        </w:rPr>
      </w:pPr>
    </w:p>
    <w:tbl>
      <w:tblPr>
        <w:tblStyle w:val="8"/>
        <w:tblW w:w="883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00004FF" w:usb2="00000000" w:usb3="00000000" w:csb0="2000019F"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0002AFF" w:usb1="C000247B" w:usb2="00000009" w:usb3="00000000" w:csb0="200001FF" w:csb1="00000000"/>
  </w:font>
  <w:font w:name="仿宋_GB2312">
    <w:altName w:val="仿宋"/>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003" w:usb1="288F0000" w:usb2="00000006" w:usb3="00000000" w:csb0="00040001" w:csb1="00000000"/>
  </w:font>
  <w:font w:name="方正粗黑宋简体">
    <w:panose1 w:val="02000000000000000000"/>
    <w:charset w:val="86"/>
    <w:family w:val="auto"/>
    <w:pitch w:val="default"/>
    <w:sig w:usb0="A00002BF" w:usb1="184F6CFA" w:usb2="00000012" w:usb3="00000000" w:csb0="00040001"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Light">
    <w:panose1 w:val="020B0502040204020203"/>
    <w:charset w:val="86"/>
    <w:family w:val="auto"/>
    <w:pitch w:val="default"/>
    <w:sig w:usb0="80000287" w:usb1="2ACF0010" w:usb2="00000016" w:usb3="00000000" w:csb0="0004001F"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swiss"/>
    <w:pitch w:val="default"/>
    <w:sig w:usb0="E0002E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Malgun Gothic">
    <w:panose1 w:val="020B0503020000020004"/>
    <w:charset w:val="81"/>
    <w:family w:val="auto"/>
    <w:pitch w:val="default"/>
    <w:sig w:usb0="9000002F" w:usb1="29D77CFB" w:usb2="00000012" w:usb3="00000000" w:csb0="00080001" w:csb1="00000000"/>
  </w:font>
  <w:font w:name="黑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2</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2</w:t>
                    </w:r>
                    <w:r>
                      <w:rPr>
                        <w:rFonts w:hint="eastAsia"/>
                        <w:sz w:val="1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78368930">
    <w:nsid w:val="5E13FFA2"/>
    <w:multiLevelType w:val="singleLevel"/>
    <w:tmpl w:val="5E13FFA2"/>
    <w:lvl w:ilvl="0" w:tentative="1">
      <w:start w:val="2"/>
      <w:numFmt w:val="chineseCounting"/>
      <w:suff w:val="nothing"/>
      <w:lvlText w:val="%1、"/>
      <w:lvlJc w:val="left"/>
    </w:lvl>
  </w:abstractNum>
  <w:abstractNum w:abstractNumId="1578203341">
    <w:nsid w:val="5E1178CD"/>
    <w:multiLevelType w:val="singleLevel"/>
    <w:tmpl w:val="5E1178CD"/>
    <w:lvl w:ilvl="0" w:tentative="1">
      <w:start w:val="1"/>
      <w:numFmt w:val="chineseCounting"/>
      <w:suff w:val="nothing"/>
      <w:lvlText w:val="（%1）"/>
      <w:lvlJc w:val="left"/>
    </w:lvl>
  </w:abstractNum>
  <w:abstractNum w:abstractNumId="1578103787">
    <w:nsid w:val="5E0FF3EB"/>
    <w:multiLevelType w:val="singleLevel"/>
    <w:tmpl w:val="5E0FF3EB"/>
    <w:lvl w:ilvl="0" w:tentative="1">
      <w:start w:val="5"/>
      <w:numFmt w:val="chineseCounting"/>
      <w:suff w:val="nothing"/>
      <w:lvlText w:val="%1、"/>
      <w:lvlJc w:val="left"/>
    </w:lvl>
  </w:abstractNum>
  <w:num w:numId="1">
    <w:abstractNumId w:val="1578203341"/>
  </w:num>
  <w:num w:numId="2">
    <w:abstractNumId w:val="1578368930"/>
  </w:num>
  <w:num w:numId="3">
    <w:abstractNumId w:val="157810378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C5723B"/>
    <w:rsid w:val="0BCA711F"/>
    <w:rsid w:val="10E62B11"/>
    <w:rsid w:val="2A2941B7"/>
    <w:rsid w:val="30F728F7"/>
    <w:rsid w:val="334F2A75"/>
    <w:rsid w:val="493D0AF8"/>
    <w:rsid w:val="4A5606CB"/>
    <w:rsid w:val="55CA5E0A"/>
    <w:rsid w:val="70D33653"/>
    <w:rsid w:val="7B410705"/>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 w:type="table" w:styleId="8">
    <w:name w:val="Table Grid"/>
    <w:basedOn w:val="7"/>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Office_10.1.0.5559_F1E327BC-269C-435d-A152-05C5408002CA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2020-01-07T03:41:45Z</cp:lastPrinted>
  <dcterms:modified xsi:type="dcterms:W3CDTF">2020-01-07T03:42:03Z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ies>
</file>