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b w:val="0"/>
          <w:bCs w:val="0"/>
          <w:sz w:val="32"/>
          <w:szCs w:val="32"/>
          <w:lang w:val="en-US" w:eastAsia="zh-CN"/>
        </w:rPr>
      </w:pPr>
    </w:p>
    <w:p>
      <w:pPr>
        <w:spacing w:line="360" w:lineRule="auto"/>
        <w:ind w:left="0" w:leftChars="0" w:right="0" w:rightChars="0" w:firstLine="0" w:firstLineChars="0"/>
        <w:jc w:val="center"/>
        <w:rPr>
          <w:rFonts w:hint="eastAsia" w:ascii="仿宋" w:hAnsi="仿宋" w:eastAsia="仿宋" w:cs="仿宋"/>
          <w:sz w:val="32"/>
          <w:szCs w:val="32"/>
          <w:lang w:eastAsia="zh-CN"/>
        </w:rPr>
      </w:pPr>
      <w:r>
        <w:rPr>
          <w:rFonts w:hint="eastAsia" w:ascii="宋体"/>
          <w:b/>
          <w:bCs/>
          <w:sz w:val="36"/>
          <w:szCs w:val="32"/>
          <w:lang w:eastAsia="zh-CN"/>
        </w:rPr>
        <w:t>企业招聘平台网络运行维护费项目</w:t>
      </w:r>
      <w:r>
        <w:rPr>
          <w:rFonts w:hint="eastAsia" w:ascii="宋体"/>
          <w:b/>
          <w:bCs/>
          <w:sz w:val="36"/>
          <w:szCs w:val="32"/>
        </w:rPr>
        <w:t>绩效评价报告</w:t>
      </w:r>
    </w:p>
    <w:p>
      <w:pPr>
        <w:spacing w:line="360" w:lineRule="auto"/>
        <w:ind w:left="0" w:leftChars="0" w:right="0" w:rightChars="0" w:firstLine="0" w:firstLineChars="0"/>
        <w:jc w:val="center"/>
        <w:rPr>
          <w:rFonts w:hint="eastAsia" w:ascii="华文楷体" w:eastAsia="华文楷体"/>
          <w:sz w:val="32"/>
          <w:szCs w:val="32"/>
          <w:lang w:eastAsia="zh-CN"/>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，遵循“科学性、规范性、客观性和公正性”的原则，对</w:t>
      </w:r>
      <w:r>
        <w:rPr>
          <w:rFonts w:hint="eastAsia" w:ascii="仿宋_GB2312" w:eastAsia="仿宋_GB2312"/>
          <w:sz w:val="32"/>
          <w:szCs w:val="32"/>
          <w:lang w:eastAsia="zh-CN"/>
        </w:rPr>
        <w:t>企业招聘平台网络运行维护费项目</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adjustRightInd w:val="0"/>
        <w:snapToGrid w:val="0"/>
        <w:spacing w:line="360" w:lineRule="auto"/>
        <w:ind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val="en-US" w:eastAsia="zh-CN"/>
        </w:rPr>
        <w:t xml:space="preserve"> </w:t>
      </w:r>
      <w:r>
        <w:rPr>
          <w:rFonts w:hint="eastAsia" w:ascii="仿宋_GB2312" w:eastAsia="仿宋_GB2312"/>
          <w:sz w:val="32"/>
          <w:szCs w:val="32"/>
        </w:rPr>
        <w:t>1</w:t>
      </w:r>
      <w:r>
        <w:rPr>
          <w:rFonts w:hint="eastAsia" w:ascii="仿宋_GB2312" w:eastAsia="仿宋_GB2312"/>
          <w:sz w:val="32"/>
          <w:szCs w:val="32"/>
          <w:lang w:val="en-US" w:eastAsia="zh-CN"/>
        </w:rPr>
        <w:t>.</w:t>
      </w:r>
      <w:r>
        <w:rPr>
          <w:rFonts w:hint="eastAsia" w:ascii="仿宋_GB2312" w:eastAsia="仿宋_GB2312"/>
          <w:sz w:val="32"/>
          <w:szCs w:val="32"/>
          <w:lang w:eastAsia="zh-CN"/>
        </w:rPr>
        <w:t>企业招聘平台网络运行维护费项目实施单位为石家庄市鹿泉区人力资源和社会保障局。以政府主导投资，依托国内知名人力资源公司搭建网上企业招聘平台。通过平台信息网络广泛宣传我区经济产业、历史文化、营商环境、自然环境等区位优势，打造我区面向全国、具有鹿泉特色的名片，提升我区影响力、知名度。</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2.项目主要实施内容是石家庄市鹿泉区人力资源和社会保障局向北京网聘咨询有限公司石家庄分公司网站购买发布招聘信息或下载简历等产品事宜。</w:t>
      </w:r>
    </w:p>
    <w:p>
      <w:pPr>
        <w:adjustRightInd w:val="0"/>
        <w:snapToGrid w:val="0"/>
        <w:spacing w:line="360" w:lineRule="auto"/>
        <w:ind w:firstLine="640" w:firstLineChars="200"/>
        <w:rPr>
          <w:rFonts w:hint="default" w:ascii="仿宋_GB2312" w:eastAsia="仿宋_GB2312"/>
          <w:sz w:val="32"/>
          <w:szCs w:val="32"/>
          <w:lang w:val="en-US" w:eastAsia="zh-CN"/>
        </w:rPr>
      </w:pPr>
      <w:r>
        <w:rPr>
          <w:rFonts w:hint="eastAsia" w:ascii="仿宋_GB2312" w:eastAsia="仿宋_GB2312"/>
          <w:sz w:val="32"/>
          <w:szCs w:val="32"/>
          <w:lang w:val="en-US" w:eastAsia="zh-CN"/>
        </w:rPr>
        <w:t>具体内容为：一是普通职位刷新、白领简历下载（省）、简历下载DataBase Search;二是石家庄频道钻石轮播展位、石家庄频道热门企业二合一按钮、置顶.优先排名-非热门职位大类（开设分公司城市）</w:t>
      </w:r>
    </w:p>
    <w:p>
      <w:pPr>
        <w:numPr>
          <w:ilvl w:val="0"/>
          <w:numId w:val="1"/>
        </w:numPr>
        <w:adjustRightInd w:val="0"/>
        <w:snapToGrid w:val="0"/>
        <w:spacing w:line="360" w:lineRule="auto"/>
        <w:ind w:left="800" w:leftChars="0" w:firstLine="0" w:firstLineChars="0"/>
        <w:rPr>
          <w:rFonts w:hint="eastAsia" w:ascii="仿宋_GB2312" w:eastAsia="仿宋_GB2312"/>
          <w:sz w:val="32"/>
          <w:szCs w:val="32"/>
          <w:lang w:val="en-US" w:eastAsia="zh-CN"/>
        </w:rPr>
      </w:pPr>
      <w:r>
        <w:rPr>
          <w:rFonts w:hint="eastAsia" w:ascii="仿宋_GB2312" w:eastAsia="仿宋_GB2312"/>
          <w:sz w:val="32"/>
          <w:szCs w:val="32"/>
          <w:lang w:val="en-US" w:eastAsia="zh-CN"/>
        </w:rPr>
        <w:t>项目资金投入情况。</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此项目资金数量为25.8万元，大写：贰拾伍万捌仟元整。</w:t>
      </w:r>
    </w:p>
    <w:p>
      <w:pPr>
        <w:adjustRightInd w:val="0"/>
        <w:snapToGrid w:val="0"/>
        <w:spacing w:line="360" w:lineRule="auto"/>
        <w:ind w:firstLine="640" w:firstLineChars="200"/>
        <w:rPr>
          <w:rFonts w:hint="default" w:ascii="仿宋_GB2312" w:eastAsia="仿宋_GB2312"/>
          <w:sz w:val="32"/>
          <w:szCs w:val="32"/>
          <w:lang w:val="en-US" w:eastAsia="zh-CN"/>
        </w:rPr>
      </w:pPr>
      <w:r>
        <w:rPr>
          <w:rFonts w:hint="eastAsia" w:ascii="仿宋_GB2312" w:eastAsia="仿宋_GB2312"/>
          <w:sz w:val="32"/>
          <w:szCs w:val="32"/>
          <w:lang w:val="en-US" w:eastAsia="zh-CN"/>
        </w:rPr>
        <w:t>资金结构分为两部分：一是普通职位刷新、白领简历下载（省）、简历下载DataBase Search为7.6万元，大写：柒万陆仟元整；二是石家庄频道钻石轮播展位、石家庄频道热门企业二合一按钮、置顶.优先排名-非热门职位大类（开设分公司城市）为18.2万元，大写壹拾捌万贰仟元整。资金来源渠道为财政。</w:t>
      </w:r>
    </w:p>
    <w:p>
      <w:pPr>
        <w:adjustRightInd w:val="0"/>
        <w:snapToGrid w:val="0"/>
        <w:spacing w:line="360" w:lineRule="auto"/>
        <w:ind w:firstLine="640"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b w:val="0"/>
          <w:bCs w:val="0"/>
          <w:sz w:val="32"/>
          <w:szCs w:val="32"/>
        </w:rPr>
        <w:t>（二）项目</w:t>
      </w:r>
      <w:r>
        <w:rPr>
          <w:rFonts w:hint="eastAsia" w:ascii="楷体_GB2312" w:hAnsi="楷体_GB2312" w:eastAsia="楷体_GB2312" w:cs="楷体_GB2312"/>
          <w:b w:val="0"/>
          <w:bCs w:val="0"/>
          <w:sz w:val="32"/>
          <w:szCs w:val="32"/>
          <w:lang w:eastAsia="zh-CN"/>
        </w:rPr>
        <w:t>预期</w:t>
      </w:r>
      <w:r>
        <w:rPr>
          <w:rFonts w:hint="eastAsia" w:ascii="楷体_GB2312" w:hAnsi="楷体_GB2312" w:eastAsia="楷体_GB2312" w:cs="楷体_GB2312"/>
          <w:b w:val="0"/>
          <w:bCs w:val="0"/>
          <w:sz w:val="32"/>
          <w:szCs w:val="32"/>
        </w:rPr>
        <w:t>绩效目标</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rPr>
        <w:t>项目</w:t>
      </w:r>
      <w:r>
        <w:rPr>
          <w:rFonts w:hint="eastAsia" w:ascii="仿宋_GB2312" w:eastAsia="仿宋_GB2312"/>
          <w:sz w:val="32"/>
          <w:szCs w:val="32"/>
          <w:lang w:eastAsia="zh-CN"/>
        </w:rPr>
        <w:t>预期</w:t>
      </w:r>
      <w:r>
        <w:rPr>
          <w:rFonts w:hint="eastAsia" w:ascii="仿宋_GB2312" w:eastAsia="仿宋_GB2312"/>
          <w:sz w:val="32"/>
          <w:szCs w:val="32"/>
        </w:rPr>
        <w:t>绩效</w:t>
      </w:r>
      <w:r>
        <w:rPr>
          <w:rFonts w:hint="eastAsia" w:ascii="仿宋_GB2312" w:eastAsia="仿宋_GB2312"/>
          <w:sz w:val="32"/>
          <w:szCs w:val="32"/>
          <w:lang w:eastAsia="zh-CN"/>
        </w:rPr>
        <w:t>总</w:t>
      </w:r>
      <w:r>
        <w:rPr>
          <w:rFonts w:hint="eastAsia" w:ascii="仿宋_GB2312" w:eastAsia="仿宋_GB2312"/>
          <w:sz w:val="32"/>
          <w:szCs w:val="32"/>
        </w:rPr>
        <w:t>目标</w:t>
      </w:r>
      <w:r>
        <w:rPr>
          <w:rFonts w:hint="eastAsia" w:ascii="仿宋_GB2312" w:eastAsia="仿宋_GB2312"/>
          <w:sz w:val="32"/>
          <w:szCs w:val="32"/>
          <w:lang w:eastAsia="zh-CN"/>
        </w:rPr>
        <w:t>为</w:t>
      </w:r>
      <w:r>
        <w:rPr>
          <w:rFonts w:hint="eastAsia" w:ascii="仿宋_GB2312" w:eastAsia="仿宋_GB2312"/>
          <w:sz w:val="32"/>
          <w:szCs w:val="32"/>
          <w:lang w:val="en-US" w:eastAsia="zh-CN"/>
        </w:rPr>
        <w:t>2019-07-01日至2020-02-29达到</w:t>
      </w:r>
      <w:r>
        <w:rPr>
          <w:rFonts w:hint="eastAsia" w:ascii="仿宋_GB2312" w:eastAsia="仿宋_GB2312"/>
          <w:sz w:val="32"/>
          <w:szCs w:val="32"/>
          <w:lang w:eastAsia="zh-CN"/>
        </w:rPr>
        <w:t>入驻企业</w:t>
      </w:r>
      <w:r>
        <w:rPr>
          <w:rFonts w:hint="eastAsia" w:ascii="仿宋_GB2312" w:eastAsia="仿宋_GB2312"/>
          <w:sz w:val="32"/>
          <w:szCs w:val="32"/>
          <w:lang w:val="en-US" w:eastAsia="zh-CN"/>
        </w:rPr>
        <w:t>80家及以上，企业熟练使用平台并通过平台招才引才。</w:t>
      </w:r>
      <w:r>
        <w:rPr>
          <w:rFonts w:hint="eastAsia" w:ascii="仿宋_GB2312" w:eastAsia="仿宋_GB2312"/>
          <w:sz w:val="32"/>
          <w:szCs w:val="32"/>
          <w:lang w:eastAsia="zh-CN"/>
        </w:rPr>
        <w:t>阶段性的绩效目标为入驻企业</w:t>
      </w:r>
      <w:r>
        <w:rPr>
          <w:rFonts w:hint="eastAsia" w:ascii="仿宋_GB2312" w:eastAsia="仿宋_GB2312"/>
          <w:sz w:val="32"/>
          <w:szCs w:val="32"/>
          <w:lang w:val="en-US" w:eastAsia="zh-CN"/>
        </w:rPr>
        <w:t>80家及以上，企业能够较为熟练使用平台</w:t>
      </w:r>
      <w:r>
        <w:rPr>
          <w:rFonts w:hint="eastAsia" w:ascii="仿宋_GB2312" w:eastAsia="仿宋_GB2312"/>
          <w:sz w:val="32"/>
          <w:szCs w:val="32"/>
          <w:lang w:eastAsia="zh-CN"/>
        </w:rPr>
        <w:t>和指标并</w:t>
      </w:r>
      <w:r>
        <w:rPr>
          <w:rFonts w:hint="eastAsia" w:ascii="仿宋_GB2312" w:eastAsia="仿宋_GB2312"/>
          <w:sz w:val="32"/>
          <w:szCs w:val="32"/>
          <w:lang w:val="en-US" w:eastAsia="zh-CN"/>
        </w:rPr>
        <w:t>通过平台招才引才。</w:t>
      </w:r>
    </w:p>
    <w:p>
      <w:pPr>
        <w:adjustRightInd w:val="0"/>
        <w:snapToGrid w:val="0"/>
        <w:spacing w:line="360" w:lineRule="auto"/>
        <w:ind w:firstLine="643" w:firstLineChars="200"/>
        <w:rPr>
          <w:rFonts w:hint="eastAsia" w:ascii="黑体" w:hAnsi="黑体" w:eastAsia="黑体" w:cs="黑体"/>
          <w:b/>
          <w:bCs/>
          <w:sz w:val="32"/>
          <w:szCs w:val="32"/>
          <w:lang w:eastAsia="zh-CN"/>
        </w:rPr>
      </w:pPr>
      <w:r>
        <w:rPr>
          <w:rFonts w:hint="eastAsia" w:ascii="黑体" w:hAnsi="黑体" w:eastAsia="黑体" w:cs="黑体"/>
          <w:b/>
          <w:bCs/>
          <w:sz w:val="32"/>
          <w:szCs w:val="32"/>
          <w:lang w:eastAsia="zh-CN"/>
        </w:rPr>
        <w:t>二、绩效评价工作情况</w:t>
      </w:r>
    </w:p>
    <w:p>
      <w:pPr>
        <w:ind w:left="0" w:leftChars="0" w:right="0" w:rightChars="0" w:firstLine="0" w:firstLineChars="0"/>
        <w:jc w:val="both"/>
        <w:rPr>
          <w:rFonts w:hint="eastAsia" w:ascii="楷体_GB2312" w:hAnsi="楷体_GB2312" w:eastAsia="楷体_GB2312" w:cs="楷体_GB2312"/>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val="0"/>
          <w:bCs w:val="0"/>
          <w:sz w:val="32"/>
          <w:szCs w:val="32"/>
          <w:lang w:val="en-US" w:eastAsia="zh-CN"/>
        </w:rPr>
        <w:t>（一）绩效评价的组织工作</w:t>
      </w:r>
    </w:p>
    <w:p>
      <w:pPr>
        <w:numPr>
          <w:ilvl w:val="0"/>
          <w:numId w:val="0"/>
        </w:numPr>
        <w:rPr>
          <w:rFonts w:hint="default" w:ascii="仿宋_GB2312" w:eastAsia="仿宋_GB2312"/>
          <w:sz w:val="32"/>
          <w:szCs w:val="32"/>
          <w:lang w:val="en-US" w:eastAsia="zh-CN"/>
        </w:rPr>
      </w:pPr>
      <w:r>
        <w:rPr>
          <w:rFonts w:hint="eastAsia" w:ascii="仿宋_GB2312" w:eastAsia="仿宋_GB2312"/>
          <w:sz w:val="32"/>
          <w:szCs w:val="32"/>
          <w:lang w:val="en-US" w:eastAsia="zh-CN"/>
        </w:rPr>
        <w:t xml:space="preserve">    此项目</w:t>
      </w:r>
      <w:r>
        <w:rPr>
          <w:rFonts w:hint="eastAsia" w:ascii="仿宋_GB2312" w:eastAsia="仿宋_GB2312"/>
          <w:sz w:val="32"/>
          <w:szCs w:val="32"/>
          <w:lang w:eastAsia="zh-CN"/>
        </w:rPr>
        <w:t>主要是通过北京网聘咨询有限公司石家庄分公司提供的鹿泉区企业招聘平台收获曝光率、点击率、招聘效果等指标及人社局工作人员对企业通过招聘平台招聘入职人数的统计来对评价资料进行统计。该项目于</w:t>
      </w:r>
      <w:r>
        <w:rPr>
          <w:rFonts w:hint="eastAsia" w:ascii="仿宋_GB2312" w:eastAsia="仿宋_GB2312"/>
          <w:sz w:val="32"/>
          <w:szCs w:val="32"/>
          <w:lang w:val="en-US" w:eastAsia="zh-CN"/>
        </w:rPr>
        <w:t>2019年末</w:t>
      </w:r>
      <w:r>
        <w:rPr>
          <w:rFonts w:hint="eastAsia" w:ascii="仿宋_GB2312" w:eastAsia="仿宋_GB2312"/>
          <w:sz w:val="32"/>
          <w:szCs w:val="32"/>
          <w:lang w:eastAsia="zh-CN"/>
        </w:rPr>
        <w:t>组织人社局工作人员对所有招聘平台在线企业的入职人数情况进行统计并由北京网聘咨询有限公司石家庄分公司提供鹿泉区招聘平台线上招聘效果分析报告，由鹿泉区人社局人才中心工作人员依据统计数及分析报告进行绩效评价工作。</w:t>
      </w:r>
    </w:p>
    <w:p>
      <w:pPr>
        <w:numPr>
          <w:ilvl w:val="0"/>
          <w:numId w:val="2"/>
        </w:numPr>
        <w:ind w:left="481" w:leftChars="0" w:right="0" w:rightChars="0" w:firstLine="0" w:firstLineChars="0"/>
        <w:jc w:val="both"/>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绩效评价的方法和过程</w:t>
      </w:r>
    </w:p>
    <w:p>
      <w:pPr>
        <w:numPr>
          <w:ilvl w:val="0"/>
          <w:numId w:val="0"/>
        </w:numPr>
        <w:ind w:right="0" w:rightChars="0"/>
        <w:jc w:val="both"/>
        <w:rPr>
          <w:rFonts w:hint="default"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w:t>
      </w:r>
      <w:r>
        <w:rPr>
          <w:rFonts w:hint="eastAsia" w:ascii="仿宋_GB2312" w:eastAsia="仿宋_GB2312"/>
          <w:sz w:val="32"/>
          <w:szCs w:val="32"/>
          <w:lang w:val="en-US" w:eastAsia="zh-CN"/>
        </w:rPr>
        <w:t>此项目以企业入驻招聘平台的效果为评价目标，鹿泉区人社局工作人员和</w:t>
      </w:r>
      <w:r>
        <w:rPr>
          <w:rFonts w:hint="eastAsia" w:ascii="仿宋_GB2312" w:eastAsia="仿宋_GB2312"/>
          <w:sz w:val="32"/>
          <w:szCs w:val="32"/>
          <w:lang w:eastAsia="zh-CN"/>
        </w:rPr>
        <w:t>北京网聘咨询有限公司石家庄分公司通过不同方式、不同纬度进行绩效评价。一是人社局工作人员对所有招聘平台在线企业的入职人数情况进行统计；二是由北京网聘咨询有限公司石家庄分公司提供鹿泉区招聘平台线上招聘效果分析报告。对二者的统计情况进行综合归纳形成评价结果。</w:t>
      </w:r>
    </w:p>
    <w:p>
      <w:pPr>
        <w:numPr>
          <w:ilvl w:val="0"/>
          <w:numId w:val="0"/>
        </w:numPr>
        <w:ind w:leftChars="0" w:right="0" w:rightChars="0"/>
        <w:jc w:val="both"/>
        <w:rPr>
          <w:rFonts w:hint="eastAsia" w:ascii="仿宋_GB2312" w:eastAsia="仿宋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（三）建立绩效评价指标体系</w:t>
      </w:r>
    </w:p>
    <w:p>
      <w:pPr>
        <w:ind w:firstLine="640" w:firstLineChars="200"/>
        <w:jc w:val="both"/>
        <w:rPr>
          <w:rFonts w:hint="eastAsia" w:ascii="仿宋_GB2312" w:eastAsia="仿宋_GB2312"/>
          <w:sz w:val="32"/>
          <w:szCs w:val="32"/>
          <w:lang w:val="en-US" w:eastAsia="zh-CN"/>
        </w:rPr>
      </w:pPr>
      <w:r>
        <w:rPr>
          <w:rFonts w:hint="eastAsia" w:ascii="仿宋_GB2312" w:eastAsia="仿宋_GB2312"/>
          <w:b w:val="0"/>
          <w:bCs w:val="0"/>
          <w:sz w:val="32"/>
          <w:szCs w:val="32"/>
          <w:lang w:val="en-US" w:eastAsia="zh-CN"/>
        </w:rPr>
        <w:t>建立了设计具体的绩效评价指标体系。个性指标包括：平台主站设计完成率、设立RD系统集团总账号、接收简历量增长率等。</w:t>
      </w:r>
    </w:p>
    <w:p>
      <w:pPr>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（一）项目投入</w:t>
      </w:r>
    </w:p>
    <w:p>
      <w:pPr>
        <w:ind w:firstLine="640" w:firstLineChars="200"/>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w:t>
      </w:r>
      <w:r>
        <w:rPr>
          <w:rFonts w:hint="default" w:ascii="仿宋_GB2312" w:eastAsia="仿宋_GB2312"/>
          <w:b w:val="0"/>
          <w:bCs w:val="0"/>
          <w:sz w:val="32"/>
          <w:szCs w:val="32"/>
          <w:lang w:val="en-US" w:eastAsia="zh-CN"/>
        </w:rPr>
        <w:t>项目</w:t>
      </w:r>
      <w:r>
        <w:rPr>
          <w:rFonts w:hint="eastAsia" w:ascii="仿宋_GB2312" w:eastAsia="仿宋_GB2312"/>
          <w:b w:val="0"/>
          <w:bCs w:val="0"/>
          <w:sz w:val="32"/>
          <w:szCs w:val="32"/>
          <w:lang w:val="en-US" w:eastAsia="zh-CN"/>
        </w:rPr>
        <w:t>立项情况分析。此项目</w:t>
      </w:r>
      <w:r>
        <w:rPr>
          <w:rFonts w:hint="default" w:ascii="仿宋_GB2312" w:eastAsia="仿宋_GB2312"/>
          <w:b w:val="0"/>
          <w:bCs w:val="0"/>
          <w:sz w:val="32"/>
          <w:szCs w:val="32"/>
          <w:lang w:val="en-US" w:eastAsia="zh-CN"/>
        </w:rPr>
        <w:t>立项规范</w:t>
      </w:r>
      <w:r>
        <w:rPr>
          <w:rFonts w:hint="eastAsia" w:ascii="仿宋_GB2312" w:eastAsia="仿宋_GB2312"/>
          <w:b w:val="0"/>
          <w:bCs w:val="0"/>
          <w:sz w:val="32"/>
          <w:szCs w:val="32"/>
          <w:lang w:val="en-US" w:eastAsia="zh-CN"/>
        </w:rPr>
        <w:t>、绩效目标合理和绩效指标明确，根据指标体系评分标准计算分值为100分。</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2.资金落实情况分析。资金于鹿泉区人社局与北京网聘咨询有限公司石家庄分公司签订</w:t>
      </w:r>
      <w:bookmarkStart w:id="0" w:name="_GoBack"/>
      <w:bookmarkEnd w:id="0"/>
      <w:r>
        <w:rPr>
          <w:rFonts w:hint="eastAsia" w:ascii="仿宋_GB2312" w:eastAsia="仿宋_GB2312"/>
          <w:b w:val="0"/>
          <w:bCs w:val="0"/>
          <w:sz w:val="32"/>
          <w:szCs w:val="32"/>
          <w:lang w:val="en-US" w:eastAsia="zh-CN"/>
        </w:rPr>
        <w:t>服务合同五日内已付清所有款项，资金到位率100%、到位及时率100%，根据指标体系评分标准计算分值为100分。</w:t>
      </w:r>
    </w:p>
    <w:p>
      <w:pPr>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楷体_GB2312" w:hAnsi="楷体_GB2312" w:eastAsia="楷体_GB2312" w:cs="楷体_GB2312"/>
          <w:b w:val="0"/>
          <w:bCs w:val="0"/>
          <w:sz w:val="32"/>
          <w:szCs w:val="32"/>
          <w:lang w:val="en-US" w:eastAsia="zh-CN"/>
        </w:rPr>
        <w:t>（二）项目实施过程</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1.业务管理情况分析。此项目管理制度健全、制度执行有效、项目质量可控，根据指标体系评分标准计算分值为100分。</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2.财务管理。此项目为一次性购买京网聘咨询有限公司石家庄分公司网站发布招聘信息及下载简历等产品事宜。具有管理制度健全性、资金使用合规性、财务监控有效性，根据指标体系评分标准计算分值为100分。</w:t>
      </w:r>
    </w:p>
    <w:p>
      <w:pPr>
        <w:numPr>
          <w:ilvl w:val="0"/>
          <w:numId w:val="0"/>
        </w:numPr>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（三）项目产出</w:t>
      </w:r>
    </w:p>
    <w:p>
      <w:pPr>
        <w:numPr>
          <w:ilvl w:val="0"/>
          <w:numId w:val="0"/>
        </w:numPr>
        <w:ind w:firstLine="640" w:firstLineChars="200"/>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此项目产出指标：一是平台主站设计完成率，完成率≥60%为优，完成率≤60%为差，根据指标体系评分标准计算分值为100分；二是设立一个RD系统集团总账号，设置完成为优，设置未完成为差，现已完成RD系统集团总账号的设置，根据指标体系评分标准计算分值为100分。</w:t>
      </w:r>
    </w:p>
    <w:p>
      <w:pPr>
        <w:numPr>
          <w:ilvl w:val="0"/>
          <w:numId w:val="0"/>
        </w:num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（四）项目效果</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此项目的效果指标为接收简历量增长率，增长率≥10%为优，根据指标体系评分标准计算分值为100分。</w:t>
      </w:r>
    </w:p>
    <w:p>
      <w:pPr>
        <w:numPr>
          <w:ilvl w:val="0"/>
          <w:numId w:val="0"/>
        </w:numPr>
        <w:ind w:firstLine="640" w:firstLineChars="20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numPr>
          <w:ilvl w:val="0"/>
          <w:numId w:val="0"/>
        </w:numPr>
        <w:ind w:firstLine="640" w:firstLineChars="200"/>
        <w:rPr>
          <w:rFonts w:hint="eastAsia" w:ascii="仿宋_GB2312" w:eastAsia="仿宋_GB2312"/>
          <w:sz w:val="32"/>
          <w:szCs w:val="32"/>
          <w:lang w:eastAsia="zh-CN"/>
        </w:rPr>
      </w:pPr>
      <w:r>
        <w:rPr>
          <w:rFonts w:hint="eastAsia" w:ascii="仿宋_GB2312" w:eastAsia="仿宋_GB2312"/>
          <w:b w:val="0"/>
          <w:bCs w:val="0"/>
          <w:sz w:val="32"/>
          <w:szCs w:val="32"/>
          <w:lang w:val="en-US" w:eastAsia="zh-CN"/>
        </w:rPr>
        <w:t>根据项目执行情况和项目绩效情况，此项目总得分为100分，由此得出此项目达到了预期效果，广泛宣传了我区的区位优势，提升了我区影响力、知名度，大幅提升了我区企业人才需求信息的社会覆盖面和影响力。项目综合绩效评价为</w:t>
      </w:r>
      <w:r>
        <w:rPr>
          <w:rFonts w:hint="eastAsia" w:ascii="仿宋_GB2312" w:eastAsia="仿宋_GB2312"/>
          <w:sz w:val="32"/>
          <w:szCs w:val="32"/>
        </w:rPr>
        <w:t>优秀</w:t>
      </w:r>
      <w:r>
        <w:rPr>
          <w:rFonts w:hint="eastAsia" w:ascii="仿宋_GB2312" w:eastAsia="仿宋_GB2312"/>
          <w:sz w:val="32"/>
          <w:szCs w:val="32"/>
          <w:lang w:eastAsia="zh-CN"/>
        </w:rPr>
        <w:t>。</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五、存在的问题及改进措施</w:t>
      </w:r>
    </w:p>
    <w:p>
      <w:pPr>
        <w:numPr>
          <w:ilvl w:val="0"/>
          <w:numId w:val="0"/>
        </w:numPr>
        <w:rPr>
          <w:rFonts w:hint="eastAsia" w:ascii="楷体_GB2312" w:hAnsi="楷体_GB2312" w:eastAsia="楷体_GB2312"/>
          <w:b w:val="0"/>
          <w:bCs w:val="0"/>
          <w:sz w:val="32"/>
          <w:szCs w:val="32"/>
          <w:lang w:val="en-US" w:eastAsia="zh-CN"/>
        </w:rPr>
      </w:pPr>
      <w:r>
        <w:rPr>
          <w:rFonts w:hint="eastAsia" w:ascii="楷体_GB2312" w:hAnsi="楷体_GB2312" w:eastAsia="楷体_GB2312"/>
          <w:b/>
          <w:bCs/>
          <w:sz w:val="32"/>
          <w:szCs w:val="32"/>
          <w:lang w:val="en-US" w:eastAsia="zh-CN"/>
        </w:rPr>
        <w:t xml:space="preserve">   </w:t>
      </w:r>
      <w:r>
        <w:rPr>
          <w:rFonts w:hint="eastAsia" w:ascii="楷体_GB2312" w:hAnsi="楷体_GB2312" w:eastAsia="楷体_GB2312"/>
          <w:b w:val="0"/>
          <w:bCs w:val="0"/>
          <w:sz w:val="32"/>
          <w:szCs w:val="32"/>
          <w:lang w:val="en-US" w:eastAsia="zh-CN"/>
        </w:rPr>
        <w:t>（一）项目存在的主要问题</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此项目还存在信息更新率不够高、数据分析不够全面、退出倾斜制度不够完善等问题，区人社局将针对以上问题，认真反思，总结完善。</w:t>
      </w:r>
    </w:p>
    <w:p>
      <w:pPr>
        <w:numPr>
          <w:ilvl w:val="0"/>
          <w:numId w:val="0"/>
        </w:numPr>
        <w:ind w:firstLine="640" w:firstLineChars="200"/>
        <w:rPr>
          <w:rFonts w:hint="eastAsia"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（二）针对问题提出具体的改进措施或建议</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针对主要问题区人社局将采取以下改进措施：一是不定期为平台内企业提供相互交流、培训的机会，让企业更好更活的把平台运用起来；二是实时跟踪企业招聘效果，及时了解企业面临的实际问题，并根据实际情况及时调整了；三是定期对入驻企业的规模、资质、实际招聘效果等方面进行复核，对工作积极且符合我区主导产业发展方向，经济发展贡献突出的企业，各项服务予以倾斜。</w:t>
      </w:r>
    </w:p>
    <w:p>
      <w:pPr>
        <w:adjustRightInd w:val="0"/>
        <w:snapToGrid w:val="0"/>
        <w:spacing w:line="360" w:lineRule="auto"/>
        <w:ind w:firstLine="640" w:firstLineChars="200"/>
        <w:rPr>
          <w:rFonts w:hint="eastAsia" w:ascii="仿宋_GB2312" w:hAnsi="宋体" w:eastAsia="仿宋_GB2312"/>
          <w:sz w:val="32"/>
          <w:szCs w:val="32"/>
          <w:lang w:val="en-US" w:eastAsia="zh-CN"/>
        </w:rPr>
      </w:pPr>
      <w:r>
        <w:rPr>
          <w:rFonts w:hint="eastAsia" w:ascii="黑体" w:eastAsia="黑体"/>
          <w:b w:val="0"/>
          <w:bCs w:val="0"/>
          <w:sz w:val="32"/>
          <w:szCs w:val="32"/>
          <w:lang w:eastAsia="zh-CN"/>
        </w:rPr>
        <w:t>六</w:t>
      </w:r>
      <w:r>
        <w:rPr>
          <w:rFonts w:hint="eastAsia" w:ascii="黑体" w:eastAsia="黑体"/>
          <w:b w:val="0"/>
          <w:bCs w:val="0"/>
          <w:sz w:val="32"/>
          <w:szCs w:val="32"/>
        </w:rPr>
        <w:t>、评价工作组人员名单及签字</w:t>
      </w:r>
      <w:r>
        <w:rPr>
          <w:rFonts w:hint="eastAsia" w:ascii="仿宋_GB2312" w:eastAsia="仿宋_GB2312"/>
          <w:sz w:val="32"/>
          <w:szCs w:val="32"/>
        </w:rPr>
        <w:t>（姓名、工作单位、职务、职称）</w:t>
      </w:r>
    </w:p>
    <w:tbl>
      <w:tblPr>
        <w:tblStyle w:val="5"/>
        <w:tblpPr w:leftFromText="180" w:rightFromText="180" w:vertAnchor="text" w:horzAnchor="page" w:tblpX="2167" w:tblpY="4"/>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71"/>
        <w:gridCol w:w="2739"/>
        <w:gridCol w:w="1830"/>
        <w:gridCol w:w="1182"/>
        <w:gridCol w:w="118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9" w:hRule="atLeast"/>
        </w:trPr>
        <w:tc>
          <w:tcPr>
            <w:tcW w:w="1471" w:type="dxa"/>
          </w:tcPr>
          <w:p>
            <w:pPr>
              <w:jc w:val="center"/>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姓名</w:t>
            </w:r>
          </w:p>
        </w:tc>
        <w:tc>
          <w:tcPr>
            <w:tcW w:w="2739" w:type="dxa"/>
          </w:tcPr>
          <w:p>
            <w:pPr>
              <w:jc w:val="center"/>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工作单位</w:t>
            </w:r>
          </w:p>
        </w:tc>
        <w:tc>
          <w:tcPr>
            <w:tcW w:w="1830" w:type="dxa"/>
          </w:tcPr>
          <w:p>
            <w:pPr>
              <w:jc w:val="center"/>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职务</w:t>
            </w:r>
          </w:p>
        </w:tc>
        <w:tc>
          <w:tcPr>
            <w:tcW w:w="1182" w:type="dxa"/>
          </w:tcPr>
          <w:p>
            <w:pPr>
              <w:jc w:val="center"/>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职称</w:t>
            </w:r>
          </w:p>
        </w:tc>
        <w:tc>
          <w:tcPr>
            <w:tcW w:w="1182" w:type="dxa"/>
          </w:tcPr>
          <w:p>
            <w:pPr>
              <w:jc w:val="center"/>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71" w:type="dxa"/>
          </w:tcPr>
          <w:p>
            <w:pPr>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李彦文</w:t>
            </w:r>
          </w:p>
        </w:tc>
        <w:tc>
          <w:tcPr>
            <w:tcW w:w="2739" w:type="dxa"/>
          </w:tcPr>
          <w:p>
            <w:pPr>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鹿泉区人力资源和社会保障局</w:t>
            </w:r>
          </w:p>
        </w:tc>
        <w:tc>
          <w:tcPr>
            <w:tcW w:w="1830" w:type="dxa"/>
          </w:tcPr>
          <w:p>
            <w:pPr>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人才中心科长</w:t>
            </w:r>
          </w:p>
        </w:tc>
        <w:tc>
          <w:tcPr>
            <w:tcW w:w="1182" w:type="dxa"/>
          </w:tcPr>
          <w:p>
            <w:pPr>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高级经济师</w:t>
            </w:r>
          </w:p>
        </w:tc>
        <w:tc>
          <w:tcPr>
            <w:tcW w:w="1182" w:type="dxa"/>
          </w:tcPr>
          <w:p>
            <w:pPr>
              <w:rPr>
                <w:rFonts w:hint="eastAsia" w:ascii="仿宋_GB2312" w:eastAsia="仿宋_GB2312"/>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71" w:type="dxa"/>
          </w:tcPr>
          <w:p>
            <w:pPr>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李园园</w:t>
            </w:r>
          </w:p>
        </w:tc>
        <w:tc>
          <w:tcPr>
            <w:tcW w:w="2739" w:type="dxa"/>
          </w:tcPr>
          <w:p>
            <w:pPr>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鹿泉区人力资源和社会保障局</w:t>
            </w:r>
          </w:p>
        </w:tc>
        <w:tc>
          <w:tcPr>
            <w:tcW w:w="1830" w:type="dxa"/>
          </w:tcPr>
          <w:p>
            <w:pPr>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科员</w:t>
            </w:r>
          </w:p>
        </w:tc>
        <w:tc>
          <w:tcPr>
            <w:tcW w:w="1182" w:type="dxa"/>
          </w:tcPr>
          <w:p>
            <w:pPr>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经济师</w:t>
            </w:r>
          </w:p>
        </w:tc>
        <w:tc>
          <w:tcPr>
            <w:tcW w:w="1182" w:type="dxa"/>
          </w:tcPr>
          <w:p>
            <w:pPr>
              <w:rPr>
                <w:rFonts w:hint="eastAsia" w:ascii="仿宋_GB2312" w:eastAsia="仿宋_GB2312"/>
                <w:sz w:val="32"/>
                <w:szCs w:val="32"/>
                <w:vertAlign w:val="baseline"/>
                <w:lang w:val="en-US" w:eastAsia="zh-CN"/>
              </w:rPr>
            </w:pPr>
          </w:p>
        </w:tc>
      </w:tr>
    </w:tbl>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sectPr>
      <w:headerReference r:id="rId3" w:type="first"/>
      <w:footerReference r:id="rId6" w:type="first"/>
      <w:footerReference r:id="rId4" w:type="default"/>
      <w:footerReference r:id="rId5"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auto"/>
    <w:pitch w:val="default"/>
    <w:sig w:usb0="800002BF" w:usb1="38CF7CFA" w:usb2="00000016" w:usb3="00000000" w:csb0="00040001" w:csb1="00000000"/>
  </w:font>
  <w:font w:name="华文楷体">
    <w:panose1 w:val="02010600040101010101"/>
    <w:charset w:val="86"/>
    <w:family w:val="auto"/>
    <w:pitch w:val="default"/>
    <w:sig w:usb0="00000287" w:usb1="080F0000" w:usb2="00000000" w:usb3="00000000" w:csb0="0004009F" w:csb1="DFD7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8"/>
      </w:rPr>
    </w:pPr>
    <w:r>
      <w:fldChar w:fldCharType="begin"/>
    </w:r>
    <w:r>
      <w:rPr>
        <w:rStyle w:val="8"/>
      </w:rPr>
      <w:instrText xml:space="preserve">PAGE  </w:instrText>
    </w:r>
    <w:r>
      <w:fldChar w:fldCharType="separate"/>
    </w:r>
    <w:r>
      <w:rPr>
        <w:rStyle w:val="8"/>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E285133"/>
    <w:multiLevelType w:val="singleLevel"/>
    <w:tmpl w:val="AE285133"/>
    <w:lvl w:ilvl="0" w:tentative="0">
      <w:start w:val="2"/>
      <w:numFmt w:val="chineseCounting"/>
      <w:suff w:val="nothing"/>
      <w:lvlText w:val="（%1）"/>
      <w:lvlJc w:val="left"/>
      <w:pPr>
        <w:ind w:left="481" w:leftChars="0" w:firstLine="0" w:firstLineChars="0"/>
      </w:pPr>
      <w:rPr>
        <w:rFonts w:hint="eastAsia"/>
      </w:rPr>
    </w:lvl>
  </w:abstractNum>
  <w:abstractNum w:abstractNumId="1">
    <w:nsid w:val="6E79D27A"/>
    <w:multiLevelType w:val="singleLevel"/>
    <w:tmpl w:val="6E79D27A"/>
    <w:lvl w:ilvl="0" w:tentative="0">
      <w:start w:val="3"/>
      <w:numFmt w:val="decimal"/>
      <w:lvlText w:val="%1."/>
      <w:lvlJc w:val="left"/>
      <w:pPr>
        <w:tabs>
          <w:tab w:val="left" w:pos="312"/>
        </w:tabs>
        <w:ind w:left="800" w:leftChars="0" w:firstLine="0" w:firstLineChars="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0C7C4300"/>
    <w:rsid w:val="2A2941B7"/>
    <w:rsid w:val="2AC94D93"/>
    <w:rsid w:val="32956B90"/>
    <w:rsid w:val="340E6E1C"/>
    <w:rsid w:val="61274260"/>
    <w:rsid w:val="74024421"/>
    <w:rsid w:val="749F56C0"/>
    <w:rsid w:val="7C14324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6">
    <w:name w:val="Default Paragraph Font"/>
    <w:link w:val="7"/>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默认段落字体 Para Char Char Char Char Char Char Char"/>
    <w:basedOn w:val="1"/>
    <w:link w:val="6"/>
    <w:qFormat/>
    <w:uiPriority w:val="0"/>
  </w:style>
  <w:style w:type="character" w:styleId="8">
    <w:name w:val="page number"/>
    <w:basedOn w:val="6"/>
    <w:qFormat/>
    <w:uiPriority w:val="0"/>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36</TotalTime>
  <ScaleCrop>false</ScaleCrop>
  <LinksUpToDate>false</LinksUpToDate>
  <CharactersWithSpaces>0</CharactersWithSpaces>
  <Application>WPS Office_11.8.2.10912_F1E327BC-269C-435d-A152-05C5408002CA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rensh</cp:lastModifiedBy>
  <cp:lastPrinted>2020-01-06T07:29:00Z</cp:lastPrinted>
  <dcterms:modified xsi:type="dcterms:W3CDTF">2024-07-08T08:10:55Z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2052-11.8.2.10912</vt:lpwstr>
  </property>
  <property fmtid="{D5CDD505-2E9C-101B-9397-08002B2CF9AE}" pid="3" name="ICV">
    <vt:lpwstr>58C9E54FD7B64FFC9CAA47240F398E84</vt:lpwstr>
  </property>
</Properties>
</file>