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黑体" w:hAnsi="黑体" w:eastAsia="黑体" w:cs="黑体"/>
          <w:sz w:val="44"/>
          <w:szCs w:val="44"/>
          <w:lang w:eastAsia="zh-CN"/>
        </w:rPr>
      </w:pPr>
      <w:r>
        <w:rPr>
          <w:rFonts w:hint="eastAsia" w:ascii="黑体" w:hAnsi="黑体" w:eastAsia="黑体" w:cs="黑体"/>
          <w:b/>
          <w:bCs/>
          <w:sz w:val="44"/>
          <w:szCs w:val="44"/>
          <w:lang w:eastAsia="zh-CN"/>
        </w:rPr>
        <w:t>劳动仲裁专项业务费项目</w:t>
      </w:r>
      <w:r>
        <w:rPr>
          <w:rFonts w:hint="eastAsia" w:ascii="黑体" w:hAnsi="黑体" w:eastAsia="黑体" w:cs="黑体"/>
          <w:b/>
          <w:bCs/>
          <w:sz w:val="44"/>
          <w:szCs w:val="44"/>
        </w:rPr>
        <w:t>绩效评价报告</w:t>
      </w:r>
    </w:p>
    <w:p>
      <w:pPr>
        <w:spacing w:line="360" w:lineRule="auto"/>
        <w:ind w:left="0" w:leftChars="0" w:right="0" w:rightChars="0" w:firstLine="0" w:firstLineChars="0"/>
        <w:jc w:val="both"/>
        <w:rPr>
          <w:rFonts w:hint="eastAsia" w:ascii="华文楷体" w:eastAsia="华文楷体"/>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劳动仲裁专项业务费项目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jc w:val="both"/>
        <w:textAlignment w:val="auto"/>
        <w:outlineLvl w:val="9"/>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劳动争议是用人单位与劳动者在从事生产经营活动中产生的纠纷。劳动争议的及时化解有利于保护当事人合法权益，促进劳动关系的和谐稳定。双方产生纠纷时，未能就事项达成一致意见，双方都有权利到劳动人事争议仲裁委员会提起仲裁，劳动人事争议仲裁院是处理纠纷的实体化办案机构。根据《中华人民共和国劳动争议调解仲裁法》第是五十三条之规定：劳动争议仲裁不收费。劳动争议仲裁委员会的经费由财政予以保障。</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及时高效处理我辖区内的劳动纠纷，人社局于2018年申请“劳动仲裁专项业务费”专项支出预算计划（费用金额10万元），用于2019年劳动仲裁业务的开展，有效维护了当事人的合法权益，并确保我区劳动关系的和谐稳定与经济的健康发展。</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根据《劳动人事争议办案规则》要求，通过立案、调查、开庭、公告、送达等，保障当事人工合法权益，提高工作效能，保证日常工作的正常开展。</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3" w:firstLineChars="200"/>
        <w:jc w:val="both"/>
        <w:textAlignment w:val="auto"/>
        <w:outlineLvl w:val="9"/>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keepNext w:val="0"/>
        <w:keepLines w:val="0"/>
        <w:pageBreakBefore w:val="0"/>
        <w:widowControl w:val="0"/>
        <w:kinsoku/>
        <w:wordWrap/>
        <w:overflowPunct/>
        <w:topLinePunct w:val="0"/>
        <w:autoSpaceDE/>
        <w:autoSpaceDN/>
        <w:bidi w:val="0"/>
        <w:spacing w:line="560" w:lineRule="exact"/>
        <w:ind w:left="0" w:leftChars="0" w:right="0" w:rightChars="0" w:firstLine="0" w:firstLineChars="0"/>
        <w:jc w:val="both"/>
        <w:textAlignment w:val="auto"/>
        <w:outlineLvl w:val="9"/>
        <w:rPr>
          <w:rFonts w:hint="eastAsia" w:ascii="仿宋_GB2312" w:hAnsi="仿宋_GB2312" w:eastAsia="仿宋_GB2312" w:cs="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hAnsi="仿宋_GB2312" w:eastAsia="仿宋_GB2312" w:cs="仿宋_GB2312"/>
          <w:b w:val="0"/>
          <w:bCs w:val="0"/>
          <w:sz w:val="32"/>
          <w:szCs w:val="32"/>
          <w:lang w:val="en-US" w:eastAsia="zh-CN"/>
        </w:rPr>
        <w:t>（一）绩效评价的组织工作</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加强财政专项资金管理，强化支出责任，建立科学、合理的财政专项资金绩效评价管理体系，提高财政专项资金使用效益，我局对“劳动仲裁专项业务”专项资金通过预算项目绩效的产出指标和效果指标进行逐项分析进行绩效评价工作。</w:t>
      </w:r>
    </w:p>
    <w:p>
      <w:pPr>
        <w:keepNext w:val="0"/>
        <w:keepLines w:val="0"/>
        <w:pageBreakBefore w:val="0"/>
        <w:widowControl w:val="0"/>
        <w:numPr>
          <w:ilvl w:val="0"/>
          <w:numId w:val="1"/>
        </w:numPr>
        <w:kinsoku/>
        <w:wordWrap/>
        <w:overflowPunct/>
        <w:topLinePunct w:val="0"/>
        <w:autoSpaceDE/>
        <w:autoSpaceDN/>
        <w:bidi w:val="0"/>
        <w:spacing w:line="560" w:lineRule="exact"/>
        <w:ind w:left="481" w:leftChars="0" w:right="0" w:rightChars="0" w:firstLine="0" w:firstLine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绩效评价的方法和过程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根据《中华人民共和国</w:t>
      </w:r>
      <w:bookmarkStart w:id="0" w:name="_GoBack"/>
      <w:bookmarkEnd w:id="0"/>
      <w:r>
        <w:rPr>
          <w:rFonts w:hint="eastAsia" w:ascii="仿宋_GB2312" w:hAnsi="仿宋_GB2312" w:eastAsia="仿宋_GB2312" w:cs="仿宋_GB2312"/>
          <w:sz w:val="32"/>
          <w:szCs w:val="32"/>
          <w:lang w:val="en-US" w:eastAsia="zh-CN"/>
        </w:rPr>
        <w:t>劳动争议调解仲裁法》、《劳动人事争议办案规则》和上级要求，对2019年“按期结案率”绩效效果问题进行自查分析评价。</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根据上级要求对绩效产出指标中的“调解结案率”问题，通过市局对年度考核评价进行分析评价。</w:t>
      </w:r>
    </w:p>
    <w:p>
      <w:pPr>
        <w:keepNext w:val="0"/>
        <w:keepLines w:val="0"/>
        <w:pageBreakBefore w:val="0"/>
        <w:widowControl w:val="0"/>
        <w:numPr>
          <w:ilvl w:val="0"/>
          <w:numId w:val="0"/>
        </w:numPr>
        <w:kinsoku/>
        <w:wordWrap/>
        <w:overflowPunct/>
        <w:topLinePunct w:val="0"/>
        <w:autoSpaceDE/>
        <w:autoSpaceDN/>
        <w:bidi w:val="0"/>
        <w:spacing w:line="560" w:lineRule="exact"/>
        <w:ind w:leftChars="0" w:right="0" w:rightChars="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（三）建立绩效评价指标体系</w:t>
      </w:r>
    </w:p>
    <w:p>
      <w:pPr>
        <w:keepNext w:val="0"/>
        <w:keepLines w:val="0"/>
        <w:pageBreakBefore w:val="0"/>
        <w:widowControl w:val="0"/>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eastAsia" w:ascii="仿宋_GB2312" w:hAnsi="仿宋_GB2312" w:eastAsia="仿宋_GB2312" w:cs="仿宋_GB2312"/>
          <w:color w:val="000000" w:themeColor="text1"/>
          <w:sz w:val="18"/>
          <w:szCs w:val="18"/>
          <w:vertAlign w:val="baseline"/>
          <w:lang w:val="en-US" w:eastAsia="zh-CN"/>
          <w14:textFill>
            <w14:solidFill>
              <w14:schemeClr w14:val="tx1"/>
            </w14:solidFill>
          </w14:textFill>
        </w:rPr>
      </w:pPr>
      <w:r>
        <w:rPr>
          <w:rFonts w:hint="eastAsia" w:ascii="仿宋_GB2312" w:hAnsi="仿宋_GB2312" w:eastAsia="仿宋_GB2312" w:cs="仿宋_GB2312"/>
          <w:sz w:val="32"/>
          <w:szCs w:val="32"/>
          <w:lang w:val="en-US" w:eastAsia="zh-CN"/>
        </w:rPr>
        <w:t>切实保障仲裁案件的及时、公平、高效等，确保仲裁对象满意，提高服务水平和工作效率，根据工作要求：仲裁案件按期结案率占总案件数95%以上；仲裁案件调解结案数量占总案件50%；当事人满意和较满意人数达到100%。</w:t>
      </w:r>
    </w:p>
    <w:p>
      <w:pPr>
        <w:keepNext w:val="0"/>
        <w:keepLines w:val="0"/>
        <w:pageBreakBefore w:val="0"/>
        <w:widowControl w:val="0"/>
        <w:kinsoku/>
        <w:wordWrap/>
        <w:overflowPunct/>
        <w:topLinePunct w:val="0"/>
        <w:autoSpaceDE/>
        <w:autoSpaceDN/>
        <w:bidi w:val="0"/>
        <w:spacing w:line="560" w:lineRule="exact"/>
        <w:ind w:right="0" w:rightChars="0"/>
        <w:jc w:val="both"/>
        <w:textAlignment w:val="auto"/>
        <w:outlineLvl w:val="9"/>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kinsoku/>
        <w:wordWrap/>
        <w:overflowPunct/>
        <w:topLinePunct w:val="0"/>
        <w:autoSpaceDE/>
        <w:autoSpaceDN/>
        <w:bidi w:val="0"/>
        <w:spacing w:line="560" w:lineRule="exact"/>
        <w:ind w:right="0" w:rightChars="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为切实保障仲裁各项工作及时、公平、高效，确保事实清楚，法律依据准确；提高服务水平和工作效率，切实方便服务仲裁对象，</w:t>
      </w:r>
      <w:r>
        <w:rPr>
          <w:rFonts w:hint="eastAsia" w:ascii="仿宋_GB2312" w:hAnsi="仿宋_GB2312" w:eastAsia="仿宋_GB2312" w:cs="仿宋_GB2312"/>
          <w:sz w:val="32"/>
          <w:szCs w:val="32"/>
          <w:lang w:val="en-US" w:eastAsia="zh-CN"/>
        </w:rPr>
        <w:t>人社局于2018年申请“</w:t>
      </w:r>
      <w:r>
        <w:rPr>
          <w:rFonts w:hint="eastAsia" w:ascii="仿宋_GB2312" w:hAnsi="仿宋_GB2312" w:eastAsia="仿宋_GB2312" w:cs="仿宋_GB2312"/>
          <w:sz w:val="32"/>
          <w:szCs w:val="32"/>
          <w:lang w:eastAsia="zh-CN"/>
        </w:rPr>
        <w:t>劳动仲裁专项业务费项目</w:t>
      </w:r>
      <w:r>
        <w:rPr>
          <w:rFonts w:hint="eastAsia" w:ascii="仿宋_GB2312" w:hAnsi="仿宋_GB2312" w:eastAsia="仿宋_GB2312" w:cs="仿宋_GB2312"/>
          <w:sz w:val="32"/>
          <w:szCs w:val="32"/>
          <w:lang w:val="en-US" w:eastAsia="zh-CN"/>
        </w:rPr>
        <w:t>”专项支出预算计划（费用金额10万元），用于2019年仲裁业务日常工作的正常开展。</w:t>
      </w:r>
    </w:p>
    <w:p>
      <w:pPr>
        <w:keepNext w:val="0"/>
        <w:keepLines w:val="0"/>
        <w:pageBreakBefore w:val="0"/>
        <w:widowControl w:val="0"/>
        <w:kinsoku/>
        <w:wordWrap/>
        <w:overflowPunct/>
        <w:topLinePunct w:val="0"/>
        <w:autoSpaceDE/>
        <w:autoSpaceDN/>
        <w:bidi w:val="0"/>
        <w:spacing w:line="560" w:lineRule="exact"/>
        <w:ind w:right="0" w:rightChars="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2019年全年进行开庭审理仲裁案件423起，通过立案、调查、开庭、审理、调解、送达等有效的维护了当事人的合法权益。</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jc w:val="both"/>
        <w:textAlignment w:val="auto"/>
        <w:outlineLvl w:val="9"/>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jc w:val="both"/>
        <w:textAlignment w:val="auto"/>
        <w:outlineLvl w:val="9"/>
        <w:rPr>
          <w:rFonts w:hint="eastAsia" w:ascii="楷体_GB2312" w:hAnsi="楷体_GB2312" w:eastAsia="楷体_GB2312" w:cs="楷体_GB2312"/>
          <w:b/>
          <w:bCs/>
          <w:sz w:val="32"/>
          <w:szCs w:val="32"/>
          <w:lang w:val="en-US" w:eastAsia="zh-CN"/>
        </w:rPr>
      </w:pPr>
      <w:r>
        <w:rPr>
          <w:rFonts w:hint="eastAsia" w:ascii="仿宋_GB2312" w:eastAsia="仿宋_GB2312"/>
          <w:b w:val="0"/>
          <w:bCs w:val="0"/>
          <w:sz w:val="32"/>
          <w:szCs w:val="32"/>
          <w:lang w:val="en-US" w:eastAsia="zh-CN"/>
        </w:rPr>
        <w:t>2019年全年进行开庭审理仲裁案件423起，按期结案率达到95%，完成年初效果（按期结案率达到95%以上）；调解结案数量85件，达到结案数量35%；仲裁对象和群众满意度达到95%以上。</w:t>
      </w:r>
      <w:r>
        <w:rPr>
          <w:rFonts w:hint="eastAsia" w:ascii="楷体_GB2312" w:hAnsi="楷体_GB2312" w:eastAsia="楷体_GB2312" w:cs="楷体_GB2312"/>
          <w:b/>
          <w:bCs/>
          <w:sz w:val="32"/>
          <w:szCs w:val="32"/>
          <w:lang w:val="en-US" w:eastAsia="zh-CN"/>
        </w:rPr>
        <w:t xml:space="preserve">   </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（四）项目效果</w:t>
      </w:r>
    </w:p>
    <w:p>
      <w:pPr>
        <w:keepNext w:val="0"/>
        <w:keepLines w:val="0"/>
        <w:pageBreakBefore w:val="0"/>
        <w:widowControl w:val="0"/>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通过开庭、审理、调解等对企业和用人单位进行了普法宣传，并对劳资双方的争议进行了化解，有效构建了劳动关系的和谐稳定，保障了职工和用人单位的合法权益，促进了我区经济的健康发展。</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jc w:val="both"/>
        <w:textAlignment w:val="auto"/>
        <w:outlineLvl w:val="9"/>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wordWrap/>
        <w:overflowPunct/>
        <w:topLinePunct w:val="0"/>
        <w:autoSpaceDE/>
        <w:autoSpaceDN/>
        <w:bidi w:val="0"/>
        <w:spacing w:line="560" w:lineRule="exact"/>
        <w:ind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根据2018年申请“</w:t>
      </w:r>
      <w:r>
        <w:rPr>
          <w:rFonts w:hint="eastAsia" w:ascii="仿宋_GB2312" w:eastAsia="仿宋_GB2312"/>
          <w:sz w:val="32"/>
          <w:szCs w:val="32"/>
          <w:lang w:eastAsia="zh-CN"/>
        </w:rPr>
        <w:t>劳动仲裁专项业务费</w:t>
      </w:r>
      <w:r>
        <w:rPr>
          <w:rFonts w:hint="eastAsia" w:ascii="仿宋_GB2312" w:eastAsia="仿宋_GB2312"/>
          <w:b w:val="0"/>
          <w:bCs w:val="0"/>
          <w:sz w:val="32"/>
          <w:szCs w:val="32"/>
          <w:lang w:val="en-US" w:eastAsia="zh-CN"/>
        </w:rPr>
        <w:t>”专项支出预算，仲裁科认真完成2019年仲裁各项工作，根据项目执行情况和项目效果及产出情况，得出项目综合成绩为优秀</w:t>
      </w:r>
      <w:r>
        <w:rPr>
          <w:rFonts w:hint="eastAsia" w:ascii="仿宋_GB2312" w:eastAsia="仿宋_GB2312"/>
          <w:sz w:val="32"/>
          <w:szCs w:val="32"/>
        </w:rPr>
        <w:t>。</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right="0" w:rightChars="0" w:firstLine="640" w:firstLineChars="200"/>
        <w:jc w:val="both"/>
        <w:textAlignment w:val="auto"/>
        <w:outlineLvl w:val="9"/>
        <w:rPr>
          <w:rFonts w:hint="eastAsia" w:ascii="黑体" w:eastAsia="黑体"/>
          <w:b w:val="0"/>
          <w:bCs w:val="0"/>
          <w:sz w:val="32"/>
          <w:szCs w:val="32"/>
        </w:rPr>
      </w:pPr>
      <w:r>
        <w:rPr>
          <w:rFonts w:hint="eastAsia" w:ascii="黑体" w:eastAsia="黑体"/>
          <w:b w:val="0"/>
          <w:bCs w:val="0"/>
          <w:sz w:val="32"/>
          <w:szCs w:val="32"/>
        </w:rPr>
        <w:t>评价工作组人员名单及签字</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rPr>
          <w:rFonts w:hint="eastAsia" w:ascii="仿宋" w:hAnsi="仿宋" w:eastAsia="仿宋" w:cs="仿宋"/>
          <w:b w:val="0"/>
          <w:bCs w:val="0"/>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960" w:firstLineChars="300"/>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仲裁科科长 强永红</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0" w:firstLineChars="15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2020年1月6日</w:t>
      </w:r>
    </w:p>
    <w:p>
      <w:pPr>
        <w:numPr>
          <w:ilvl w:val="0"/>
          <w:numId w:val="0"/>
        </w:numPr>
        <w:adjustRightInd w:val="0"/>
        <w:snapToGrid w:val="0"/>
        <w:spacing w:line="360" w:lineRule="auto"/>
        <w:jc w:val="right"/>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鹿泉区人力资源和社会保障局</w:t>
      </w:r>
    </w:p>
    <w:sectPr>
      <w:footerReference r:id="rId5" w:type="first"/>
      <w:footerReference r:id="rId3" w:type="default"/>
      <w:footerReference r:id="rId4"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2</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2</w:t>
                    </w:r>
                    <w:r>
                      <w:rPr>
                        <w:rFonts w:hint="eastAsia"/>
                        <w:sz w:val="1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4EF749C"/>
    <w:multiLevelType w:val="singleLevel"/>
    <w:tmpl w:val="C4EF749C"/>
    <w:lvl w:ilvl="0" w:tentative="0">
      <w:start w:val="2"/>
      <w:numFmt w:val="chineseCounting"/>
      <w:suff w:val="nothing"/>
      <w:lvlText w:val="（%1）"/>
      <w:lvlJc w:val="left"/>
      <w:pPr>
        <w:ind w:left="481" w:leftChars="0" w:firstLine="0" w:firstLineChars="0"/>
      </w:pPr>
      <w:rPr>
        <w:rFonts w:hint="eastAsia"/>
      </w:rPr>
    </w:lvl>
  </w:abstractNum>
  <w:abstractNum w:abstractNumId="1">
    <w:nsid w:val="698F9D58"/>
    <w:multiLevelType w:val="singleLevel"/>
    <w:tmpl w:val="698F9D58"/>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10D42F9F"/>
    <w:rsid w:val="13AE3F63"/>
    <w:rsid w:val="14AD420C"/>
    <w:rsid w:val="1BB57E4B"/>
    <w:rsid w:val="24592230"/>
    <w:rsid w:val="25790469"/>
    <w:rsid w:val="26922B48"/>
    <w:rsid w:val="2A2941B7"/>
    <w:rsid w:val="2C242ED7"/>
    <w:rsid w:val="2FA02DB2"/>
    <w:rsid w:val="494A685A"/>
    <w:rsid w:val="4C69046B"/>
    <w:rsid w:val="4F76018D"/>
    <w:rsid w:val="52766A47"/>
    <w:rsid w:val="58D867F1"/>
    <w:rsid w:val="6B973551"/>
    <w:rsid w:val="6C5408FB"/>
    <w:rsid w:val="7C741F8F"/>
    <w:rsid w:val="7D450CC8"/>
    <w:rsid w:val="7FD06BD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styleId="4">
    <w:name w:val="Normal (Web)"/>
    <w:basedOn w:val="1"/>
    <w:qFormat/>
    <w:uiPriority w:val="0"/>
    <w:rPr>
      <w:sz w:val="24"/>
    </w:r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 w:type="character" w:styleId="9">
    <w:name w:val="FollowedHyperlink"/>
    <w:basedOn w:val="6"/>
    <w:qFormat/>
    <w:uiPriority w:val="0"/>
    <w:rPr>
      <w:color w:val="800080"/>
      <w:u w:val="none"/>
    </w:rPr>
  </w:style>
  <w:style w:type="character" w:styleId="10">
    <w:name w:val="Hyperlink"/>
    <w:basedOn w:val="6"/>
    <w:qFormat/>
    <w:uiPriority w:val="0"/>
    <w:rPr>
      <w:color w:val="0000FF"/>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15</TotalTime>
  <ScaleCrop>false</ScaleCrop>
  <LinksUpToDate>false</LinksUpToDate>
  <CharactersWithSpaces>0</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rensh</cp:lastModifiedBy>
  <cp:lastPrinted>2020-01-06T06:04:00Z</cp:lastPrinted>
  <dcterms:modified xsi:type="dcterms:W3CDTF">2024-07-08T08:12:01Z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BA79C81EACA946ABB06AC5799406898B</vt:lpwstr>
  </property>
</Properties>
</file>