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鹿泉区交通运输局绿化租地项目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绿化租地项目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jc w:val="both"/>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该项目为</w:t>
      </w:r>
      <w:r>
        <w:rPr>
          <w:rFonts w:hint="eastAsia" w:ascii="仿宋_GB2312" w:eastAsia="仿宋_GB2312"/>
          <w:sz w:val="32"/>
          <w:szCs w:val="32"/>
          <w:lang w:val="en-US" w:eastAsia="zh-CN"/>
        </w:rPr>
        <w:t>2010至2019年以来</w:t>
      </w:r>
      <w:r>
        <w:rPr>
          <w:rFonts w:hint="eastAsia" w:ascii="仿宋_GB2312" w:eastAsia="仿宋_GB2312"/>
          <w:sz w:val="32"/>
          <w:szCs w:val="32"/>
          <w:lang w:eastAsia="zh-CN"/>
        </w:rPr>
        <w:t>历年鹿泉区公路两侧绿化租地项目，共涉及</w:t>
      </w:r>
      <w:r>
        <w:rPr>
          <w:rFonts w:hint="eastAsia" w:ascii="仿宋_GB2312" w:eastAsia="仿宋_GB2312"/>
          <w:sz w:val="32"/>
          <w:szCs w:val="32"/>
          <w:lang w:val="en-US" w:eastAsia="zh-CN"/>
        </w:rPr>
        <w:t>20项。全部为已完工项目，</w:t>
      </w:r>
      <w:r>
        <w:rPr>
          <w:rFonts w:hint="eastAsia" w:ascii="仿宋_GB2312" w:eastAsia="仿宋_GB2312"/>
          <w:sz w:val="32"/>
          <w:szCs w:val="32"/>
          <w:lang w:eastAsia="zh-CN"/>
        </w:rPr>
        <w:t>实施单位为交通运输局，全部完成立项、招标、建设、监理、审计等工作</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20个项目具体情况是：从2010年到2019年，为加快鹿泉区公路两侧绿化建设，按照鹿泉区2010年至2019年的城市建设投资计划安排，至2019年我局共承建公路绿化建设项目20个，租地费用494.33万元。我局共需支付绿化租地项目20个，绿化租地费用494.33万元。按照区政府的工作安排，所有租地项目由当地乡镇政府实施，由我局作为项目租地签字方，办理好合同签订手续，报区政府批准。合同签订以后的年份每年延续该项目，资金由我局汇总后上报区财政列入预算拨付，然后由我局发放到各乡镇或村委会。绿化租地费用项目严格执行区财政的财务管理制度，财政预算管理制度，对票据进行审核，附件发票完整齐全，符合我局报账审批程序，及时进行账</w:t>
      </w:r>
      <w:bookmarkStart w:id="0" w:name="_GoBack"/>
      <w:bookmarkEnd w:id="0"/>
      <w:r>
        <w:rPr>
          <w:rFonts w:hint="eastAsia" w:ascii="仿宋_GB2312" w:eastAsia="仿宋_GB2312"/>
          <w:sz w:val="32"/>
          <w:szCs w:val="32"/>
          <w:lang w:val="en-US" w:eastAsia="zh-CN"/>
        </w:rPr>
        <w:t>务核算。</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2010至2019年项目20个，租地费标准为1440元/亩/年。</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翠屏路提升租地184.73亩,26.6万；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动物园路绿化15.85亩,2.3万；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西外环匝道临时租地35.72亩，5.14万元；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南北线大修租地67.99亩,共9.79万元，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石铜路绿化租地78.65亩,11.4万;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田路分家需租地122.66亩,17.67万元；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307治超站租地15亩，2.16万元；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红旗大街南延共租用铜冶镇、寺家庄镇235.03亩，计33.84万元；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北斗路高速公路出口绿化租获鹿镇北新街村12亩，1.73万元；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东外环（北斗路至城区水厂段）绿化管护租地92.04亩，费用13.3万元；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东南外环绿化租地获鹿郑家庄村7.76亩，1.12万元；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北斗路高速公路出口绿化租获鹿镇北新城村220亩按1440元计租地费31.68万；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太平河两岸绿化慢行租地319.9亩，费用46.07万；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滨河路及南侧绿化工程租地291.7亩，费共42.01万；</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京赞公路翠屏路至槐安路段绿化工程2019年租地4.725亩，每年每亩1440元，年租金0.69万元；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获铜路南二环西延至金河桥段改建工程按每亩1440元其中上庄135.1245亩，铜冶32亩共计24.08万元；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旧杏苑路绿化租地149.6亩（其中杜家庄77.53亩，下聂庄72.07亩）按每亩1440元计21.55万元；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石柏大街绿化工程租地89.44亩（其中一街村租地57.4亩；二街村租地22.27亩；三街村租地3.37亩；八街村6.4亩）按每亩1440元，2019年12.88万元；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南二环西延（南水北调至水峪隧道）绿化租地457.8766亩，按每亩1440元，计65.94万元；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京赞线御园路至南二环西延段环境整治提升工程租地上庄镇145.636亩，按每亩1440元计20.98万元。</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资金来源为区财政预算资金。</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完成率</w:t>
      </w:r>
      <w:r>
        <w:rPr>
          <w:rFonts w:hint="eastAsia" w:ascii="仿宋_GB2312" w:eastAsia="仿宋_GB2312"/>
          <w:sz w:val="32"/>
          <w:szCs w:val="32"/>
          <w:lang w:val="en-US" w:eastAsia="zh-CN"/>
        </w:rPr>
        <w:t>100%</w:t>
      </w:r>
      <w:r>
        <w:rPr>
          <w:rFonts w:hint="eastAsia" w:ascii="仿宋_GB2312" w:eastAsia="仿宋_GB2312"/>
          <w:sz w:val="32"/>
          <w:szCs w:val="32"/>
          <w:lang w:eastAsia="zh-CN"/>
        </w:rPr>
        <w:t>，阶段性（当年）的绩效目标和指标完成率</w:t>
      </w:r>
      <w:r>
        <w:rPr>
          <w:rFonts w:hint="eastAsia" w:ascii="仿宋_GB2312" w:eastAsia="仿宋_GB2312"/>
          <w:sz w:val="32"/>
          <w:szCs w:val="32"/>
          <w:lang w:val="en-US" w:eastAsia="zh-CN"/>
        </w:rPr>
        <w:t>100%</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经过对项目立项审批、招投标文件</w:t>
      </w:r>
      <w:r>
        <w:rPr>
          <w:rFonts w:hint="eastAsia" w:ascii="仿宋_GB2312" w:eastAsia="仿宋_GB2312"/>
          <w:sz w:val="32"/>
          <w:szCs w:val="32"/>
        </w:rPr>
        <w:t>、</w:t>
      </w:r>
      <w:r>
        <w:rPr>
          <w:rFonts w:hint="eastAsia" w:ascii="仿宋_GB2312" w:eastAsia="仿宋_GB2312"/>
          <w:sz w:val="32"/>
          <w:szCs w:val="32"/>
          <w:lang w:eastAsia="zh-CN"/>
        </w:rPr>
        <w:t>设计监理文件、拨款明细、各类合同、审计结论、交（竣）工验收资料、资金拨付明细等进行审查评估，所有绿化项目全部按照计划实施完毕，绿化租地费用按期发放完毕。目标完成率</w:t>
      </w:r>
      <w:r>
        <w:rPr>
          <w:rFonts w:hint="eastAsia" w:ascii="仿宋_GB2312" w:eastAsia="仿宋_GB2312"/>
          <w:sz w:val="32"/>
          <w:szCs w:val="32"/>
          <w:lang w:val="en-US" w:eastAsia="zh-CN"/>
        </w:rPr>
        <w:t>100%。</w:t>
      </w:r>
    </w:p>
    <w:p>
      <w:pPr>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643" w:firstLineChars="200"/>
        <w:jc w:val="both"/>
        <w:textAlignment w:val="auto"/>
        <w:outlineLvl w:val="9"/>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460" w:lineRule="exact"/>
        <w:ind w:left="0" w:leftChars="0" w:right="0" w:rightChars="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jc w:val="both"/>
        <w:textAlignment w:val="auto"/>
        <w:outlineLvl w:val="9"/>
        <w:rPr>
          <w:rFonts w:hint="eastAsia" w:ascii="仿宋_GB2312" w:eastAsia="仿宋_GB2312"/>
          <w:sz w:val="32"/>
          <w:szCs w:val="32"/>
        </w:rPr>
      </w:pPr>
      <w:r>
        <w:rPr>
          <w:rFonts w:hint="eastAsia" w:ascii="仿宋_GB2312" w:eastAsia="仿宋_GB2312"/>
          <w:sz w:val="32"/>
          <w:szCs w:val="32"/>
        </w:rPr>
        <w:t>说明项目</w:t>
      </w:r>
      <w:r>
        <w:rPr>
          <w:rFonts w:hint="eastAsia" w:ascii="仿宋_GB2312" w:eastAsia="仿宋_GB2312"/>
          <w:sz w:val="32"/>
          <w:szCs w:val="32"/>
          <w:lang w:eastAsia="zh-CN"/>
        </w:rPr>
        <w:t>评价</w:t>
      </w:r>
      <w:r>
        <w:rPr>
          <w:rFonts w:hint="eastAsia" w:ascii="仿宋_GB2312" w:eastAsia="仿宋_GB2312"/>
          <w:sz w:val="32"/>
          <w:szCs w:val="32"/>
        </w:rPr>
        <w:t>资料收集、评</w:t>
      </w:r>
      <w:r>
        <w:rPr>
          <w:rFonts w:hint="eastAsia" w:ascii="仿宋_GB2312" w:eastAsia="仿宋_GB2312"/>
          <w:sz w:val="32"/>
          <w:szCs w:val="32"/>
          <w:lang w:eastAsia="zh-CN"/>
        </w:rPr>
        <w:t>价</w:t>
      </w:r>
      <w:r>
        <w:rPr>
          <w:rFonts w:hint="eastAsia" w:ascii="仿宋_GB2312" w:eastAsia="仿宋_GB2312"/>
          <w:sz w:val="32"/>
          <w:szCs w:val="32"/>
        </w:rPr>
        <w:t>过程、</w:t>
      </w:r>
      <w:r>
        <w:rPr>
          <w:rFonts w:hint="eastAsia" w:ascii="仿宋_GB2312" w:eastAsia="仿宋_GB2312"/>
          <w:sz w:val="32"/>
          <w:szCs w:val="32"/>
          <w:lang w:eastAsia="zh-CN"/>
        </w:rPr>
        <w:t>评价</w:t>
      </w:r>
      <w:r>
        <w:rPr>
          <w:rFonts w:hint="eastAsia" w:ascii="仿宋_GB2312" w:eastAsia="仿宋_GB2312"/>
          <w:sz w:val="32"/>
          <w:szCs w:val="32"/>
        </w:rPr>
        <w:t>工作管理组织等情况。</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jc w:val="both"/>
        <w:textAlignment w:val="auto"/>
        <w:outlineLvl w:val="9"/>
        <w:rPr>
          <w:rFonts w:hint="eastAsia" w:ascii="仿宋_GB2312" w:eastAsia="仿宋_GB2312"/>
          <w:sz w:val="32"/>
          <w:szCs w:val="32"/>
        </w:rPr>
      </w:pPr>
      <w:r>
        <w:rPr>
          <w:rFonts w:hint="eastAsia" w:ascii="仿宋_GB2312" w:eastAsia="仿宋_GB2312"/>
          <w:sz w:val="32"/>
          <w:szCs w:val="32"/>
        </w:rPr>
        <w:t>项目</w:t>
      </w:r>
      <w:r>
        <w:rPr>
          <w:rFonts w:hint="eastAsia" w:ascii="仿宋_GB2312" w:eastAsia="仿宋_GB2312"/>
          <w:sz w:val="32"/>
          <w:szCs w:val="32"/>
          <w:lang w:eastAsia="zh-CN"/>
        </w:rPr>
        <w:t>评价</w:t>
      </w:r>
      <w:r>
        <w:rPr>
          <w:rFonts w:hint="eastAsia" w:ascii="仿宋_GB2312" w:eastAsia="仿宋_GB2312"/>
          <w:sz w:val="32"/>
          <w:szCs w:val="32"/>
        </w:rPr>
        <w:t>资料</w:t>
      </w:r>
      <w:r>
        <w:rPr>
          <w:rFonts w:hint="eastAsia" w:ascii="仿宋_GB2312" w:eastAsia="仿宋_GB2312"/>
          <w:sz w:val="32"/>
          <w:szCs w:val="32"/>
          <w:lang w:eastAsia="zh-CN"/>
        </w:rPr>
        <w:t>按照每年工程进展和验收、审计结论进行评价。评价</w:t>
      </w:r>
      <w:r>
        <w:rPr>
          <w:rFonts w:hint="eastAsia" w:ascii="仿宋_GB2312" w:eastAsia="仿宋_GB2312"/>
          <w:sz w:val="32"/>
          <w:szCs w:val="32"/>
        </w:rPr>
        <w:t>资料</w:t>
      </w:r>
      <w:r>
        <w:rPr>
          <w:rFonts w:hint="eastAsia" w:ascii="仿宋_GB2312" w:eastAsia="仿宋_GB2312"/>
          <w:sz w:val="32"/>
          <w:szCs w:val="32"/>
          <w:lang w:eastAsia="zh-CN"/>
        </w:rPr>
        <w:t>的</w:t>
      </w:r>
      <w:r>
        <w:rPr>
          <w:rFonts w:hint="eastAsia" w:ascii="仿宋_GB2312" w:eastAsia="仿宋_GB2312"/>
          <w:sz w:val="32"/>
          <w:szCs w:val="32"/>
        </w:rPr>
        <w:t>收集</w:t>
      </w:r>
      <w:r>
        <w:rPr>
          <w:rFonts w:hint="eastAsia" w:ascii="仿宋_GB2312" w:eastAsia="仿宋_GB2312"/>
          <w:sz w:val="32"/>
          <w:szCs w:val="32"/>
          <w:lang w:eastAsia="zh-CN"/>
        </w:rPr>
        <w:t>主要是项目立项审批、招投标文件</w:t>
      </w:r>
      <w:r>
        <w:rPr>
          <w:rFonts w:hint="eastAsia" w:ascii="仿宋_GB2312" w:eastAsia="仿宋_GB2312"/>
          <w:sz w:val="32"/>
          <w:szCs w:val="32"/>
        </w:rPr>
        <w:t>、</w:t>
      </w:r>
      <w:r>
        <w:rPr>
          <w:rFonts w:hint="eastAsia" w:ascii="仿宋_GB2312" w:eastAsia="仿宋_GB2312"/>
          <w:sz w:val="32"/>
          <w:szCs w:val="32"/>
          <w:lang w:eastAsia="zh-CN"/>
        </w:rPr>
        <w:t>设计监理文件、拨款明细、各类合同、审计结论等。</w:t>
      </w:r>
      <w:r>
        <w:rPr>
          <w:rFonts w:hint="eastAsia" w:ascii="仿宋_GB2312" w:eastAsia="仿宋_GB2312"/>
          <w:sz w:val="32"/>
          <w:szCs w:val="32"/>
        </w:rPr>
        <w:t>评</w:t>
      </w:r>
      <w:r>
        <w:rPr>
          <w:rFonts w:hint="eastAsia" w:ascii="仿宋_GB2312" w:eastAsia="仿宋_GB2312"/>
          <w:sz w:val="32"/>
          <w:szCs w:val="32"/>
          <w:lang w:eastAsia="zh-CN"/>
        </w:rPr>
        <w:t>价</w:t>
      </w:r>
      <w:r>
        <w:rPr>
          <w:rFonts w:hint="eastAsia" w:ascii="仿宋_GB2312" w:eastAsia="仿宋_GB2312"/>
          <w:sz w:val="32"/>
          <w:szCs w:val="32"/>
        </w:rPr>
        <w:t>过程</w:t>
      </w:r>
      <w:r>
        <w:rPr>
          <w:rFonts w:hint="eastAsia" w:ascii="仿宋_GB2312" w:eastAsia="仿宋_GB2312"/>
          <w:sz w:val="32"/>
          <w:szCs w:val="32"/>
          <w:lang w:eastAsia="zh-CN"/>
        </w:rPr>
        <w:t>主要是对交（竣）工验收资料、资金拨付明细等进行审查。评价</w:t>
      </w:r>
      <w:r>
        <w:rPr>
          <w:rFonts w:hint="eastAsia" w:ascii="仿宋_GB2312" w:eastAsia="仿宋_GB2312"/>
          <w:sz w:val="32"/>
          <w:szCs w:val="32"/>
        </w:rPr>
        <w:t>工作管理组织</w:t>
      </w:r>
      <w:r>
        <w:rPr>
          <w:rFonts w:hint="eastAsia" w:ascii="仿宋_GB2312" w:eastAsia="仿宋_GB2312"/>
          <w:sz w:val="32"/>
          <w:szCs w:val="32"/>
          <w:lang w:eastAsia="zh-CN"/>
        </w:rPr>
        <w:t>主要是根据交通运输局绩效评价领导小组工作计划开展，每年对预算项目进行绩效评估，对预算完成情况进行绩效评价</w:t>
      </w:r>
      <w:r>
        <w:rPr>
          <w:rFonts w:hint="eastAsia" w:ascii="仿宋_GB2312" w:eastAsia="仿宋_GB2312"/>
          <w:sz w:val="32"/>
          <w:szCs w:val="32"/>
        </w:rPr>
        <w:t>。</w:t>
      </w:r>
      <w:r>
        <w:rPr>
          <w:rFonts w:hint="eastAsia" w:ascii="仿宋_GB2312" w:eastAsia="仿宋_GB2312"/>
          <w:sz w:val="32"/>
          <w:szCs w:val="32"/>
          <w:lang w:eastAsia="zh-CN"/>
        </w:rPr>
        <w:t>绿化租地费用的绩效评价基本达到</w:t>
      </w:r>
      <w:r>
        <w:rPr>
          <w:rFonts w:hint="eastAsia" w:ascii="仿宋_GB2312" w:eastAsia="仿宋_GB2312"/>
          <w:sz w:val="32"/>
          <w:szCs w:val="32"/>
          <w:lang w:val="en-US" w:eastAsia="zh-CN"/>
        </w:rPr>
        <w:t>93分。</w:t>
      </w:r>
    </w:p>
    <w:p>
      <w:pPr>
        <w:keepNext w:val="0"/>
        <w:keepLines w:val="0"/>
        <w:pageBreakBefore w:val="0"/>
        <w:widowControl w:val="0"/>
        <w:kinsoku/>
        <w:wordWrap/>
        <w:overflowPunct/>
        <w:topLinePunct w:val="0"/>
        <w:autoSpaceDE/>
        <w:autoSpaceDN/>
        <w:bidi w:val="0"/>
        <w:spacing w:line="460" w:lineRule="exact"/>
        <w:ind w:left="0"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460" w:lineRule="exact"/>
        <w:ind w:left="0"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交通运输局对本单位负责的20个绿化租地</w:t>
      </w:r>
      <w:r>
        <w:rPr>
          <w:rFonts w:hint="eastAsia" w:ascii="仿宋_GB2312" w:eastAsia="仿宋_GB2312"/>
          <w:sz w:val="32"/>
          <w:szCs w:val="32"/>
        </w:rPr>
        <w:t>项目</w:t>
      </w:r>
      <w:r>
        <w:rPr>
          <w:rFonts w:hint="eastAsia" w:ascii="仿宋_GB2312" w:eastAsia="仿宋_GB2312"/>
          <w:sz w:val="32"/>
          <w:szCs w:val="32"/>
          <w:lang w:eastAsia="zh-CN"/>
        </w:rPr>
        <w:t>评价办法主要从</w:t>
      </w:r>
      <w:r>
        <w:rPr>
          <w:rFonts w:hint="eastAsia" w:ascii="仿宋_GB2312" w:eastAsia="仿宋_GB2312"/>
          <w:sz w:val="32"/>
          <w:szCs w:val="32"/>
        </w:rPr>
        <w:t>资料</w:t>
      </w:r>
      <w:r>
        <w:rPr>
          <w:rFonts w:hint="eastAsia" w:ascii="仿宋_GB2312" w:eastAsia="仿宋_GB2312"/>
          <w:sz w:val="32"/>
          <w:szCs w:val="32"/>
          <w:lang w:eastAsia="zh-CN"/>
        </w:rPr>
        <w:t>收集检查，如按照每年工程进展和验收、审计结论进行评价。评价</w:t>
      </w:r>
      <w:r>
        <w:rPr>
          <w:rFonts w:hint="eastAsia" w:ascii="仿宋_GB2312" w:eastAsia="仿宋_GB2312"/>
          <w:sz w:val="32"/>
          <w:szCs w:val="32"/>
        </w:rPr>
        <w:t>资料</w:t>
      </w:r>
      <w:r>
        <w:rPr>
          <w:rFonts w:hint="eastAsia" w:ascii="仿宋_GB2312" w:eastAsia="仿宋_GB2312"/>
          <w:sz w:val="32"/>
          <w:szCs w:val="32"/>
          <w:lang w:eastAsia="zh-CN"/>
        </w:rPr>
        <w:t>的</w:t>
      </w:r>
      <w:r>
        <w:rPr>
          <w:rFonts w:hint="eastAsia" w:ascii="仿宋_GB2312" w:eastAsia="仿宋_GB2312"/>
          <w:sz w:val="32"/>
          <w:szCs w:val="32"/>
        </w:rPr>
        <w:t>收集</w:t>
      </w:r>
      <w:r>
        <w:rPr>
          <w:rFonts w:hint="eastAsia" w:ascii="仿宋_GB2312" w:eastAsia="仿宋_GB2312"/>
          <w:sz w:val="32"/>
          <w:szCs w:val="32"/>
          <w:lang w:eastAsia="zh-CN"/>
        </w:rPr>
        <w:t>主要是项目立项审批、招投标文件</w:t>
      </w:r>
      <w:r>
        <w:rPr>
          <w:rFonts w:hint="eastAsia" w:ascii="仿宋_GB2312" w:eastAsia="仿宋_GB2312"/>
          <w:sz w:val="32"/>
          <w:szCs w:val="32"/>
        </w:rPr>
        <w:t>、</w:t>
      </w:r>
      <w:r>
        <w:rPr>
          <w:rFonts w:hint="eastAsia" w:ascii="仿宋_GB2312" w:eastAsia="仿宋_GB2312"/>
          <w:sz w:val="32"/>
          <w:szCs w:val="32"/>
          <w:lang w:eastAsia="zh-CN"/>
        </w:rPr>
        <w:t>设计监理文件、拨款明细、各类合同、审计结论等。绩效评价如：</w:t>
      </w:r>
      <w:r>
        <w:rPr>
          <w:rFonts w:hint="eastAsia" w:ascii="仿宋_GB2312" w:eastAsia="仿宋_GB2312"/>
          <w:sz w:val="32"/>
          <w:szCs w:val="32"/>
        </w:rPr>
        <w:t>评</w:t>
      </w:r>
      <w:r>
        <w:rPr>
          <w:rFonts w:hint="eastAsia" w:ascii="仿宋_GB2312" w:eastAsia="仿宋_GB2312"/>
          <w:sz w:val="32"/>
          <w:szCs w:val="32"/>
          <w:lang w:eastAsia="zh-CN"/>
        </w:rPr>
        <w:t>价</w:t>
      </w:r>
      <w:r>
        <w:rPr>
          <w:rFonts w:hint="eastAsia" w:ascii="仿宋_GB2312" w:eastAsia="仿宋_GB2312"/>
          <w:sz w:val="32"/>
          <w:szCs w:val="32"/>
        </w:rPr>
        <w:t>过程</w:t>
      </w:r>
      <w:r>
        <w:rPr>
          <w:rFonts w:hint="eastAsia" w:ascii="仿宋_GB2312" w:eastAsia="仿宋_GB2312"/>
          <w:sz w:val="32"/>
          <w:szCs w:val="32"/>
          <w:lang w:eastAsia="zh-CN"/>
        </w:rPr>
        <w:t>主要是对交（竣）工验收资料、资金拨付明细等进行审查。评价</w:t>
      </w:r>
      <w:r>
        <w:rPr>
          <w:rFonts w:hint="eastAsia" w:ascii="仿宋_GB2312" w:eastAsia="仿宋_GB2312"/>
          <w:sz w:val="32"/>
          <w:szCs w:val="32"/>
        </w:rPr>
        <w:t>工作管理组织</w:t>
      </w:r>
      <w:r>
        <w:rPr>
          <w:rFonts w:hint="eastAsia" w:ascii="仿宋_GB2312" w:eastAsia="仿宋_GB2312"/>
          <w:sz w:val="32"/>
          <w:szCs w:val="32"/>
          <w:lang w:eastAsia="zh-CN"/>
        </w:rPr>
        <w:t>主要是根据交通运输局绩效评价领导小组工作计划开展，每年对预算项目进行绩效评估，对预算完成情况进行绩效评价</w:t>
      </w:r>
      <w:r>
        <w:rPr>
          <w:rFonts w:hint="eastAsia" w:ascii="仿宋_GB2312" w:eastAsia="仿宋_GB2312"/>
          <w:sz w:val="32"/>
          <w:szCs w:val="32"/>
        </w:rPr>
        <w:t>。</w:t>
      </w:r>
      <w:r>
        <w:rPr>
          <w:rFonts w:hint="eastAsia" w:ascii="仿宋_GB2312" w:eastAsia="仿宋_GB2312"/>
          <w:sz w:val="32"/>
          <w:szCs w:val="32"/>
          <w:lang w:eastAsia="zh-CN"/>
        </w:rPr>
        <w:t>绿化租地费用的绩效评价基本达到</w:t>
      </w:r>
      <w:r>
        <w:rPr>
          <w:rFonts w:hint="eastAsia" w:ascii="仿宋_GB2312" w:eastAsia="仿宋_GB2312"/>
          <w:sz w:val="32"/>
          <w:szCs w:val="32"/>
          <w:lang w:val="en-US" w:eastAsia="zh-CN"/>
        </w:rPr>
        <w:t>93分。</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jc w:val="both"/>
        <w:textAlignment w:val="auto"/>
        <w:outlineLvl w:val="9"/>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除共性指标外，设置能够体现项目特点和绩效的审批程序、招投标程序、资金支付程序、设计程序、监理程序、变更审批程序、交（竣）工验收程序等8个个性指标，分值权重占总体的30%。</w:t>
      </w:r>
    </w:p>
    <w:p>
      <w:pPr>
        <w:keepNext w:val="0"/>
        <w:keepLines w:val="0"/>
        <w:pageBreakBefore w:val="0"/>
        <w:widowControl w:val="0"/>
        <w:kinsoku/>
        <w:wordWrap/>
        <w:overflowPunct/>
        <w:topLinePunct w:val="0"/>
        <w:autoSpaceDE/>
        <w:autoSpaceDN/>
        <w:bidi w:val="0"/>
        <w:spacing w:line="460" w:lineRule="exact"/>
        <w:ind w:left="0" w:leftChars="0" w:right="0" w:rightChars="0"/>
        <w:jc w:val="both"/>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460" w:lineRule="exact"/>
        <w:ind w:left="0" w:leftChars="0"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numPr>
          <w:ilvl w:val="0"/>
          <w:numId w:val="2"/>
        </w:numPr>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2.2010至2019年项目20个：</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翠屏路提升租地184.73亩,26.6万；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动物园路绿化15.85亩,2.3万；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西外环匝道临时租地35.72亩，5.14万元；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南北线大修租地67.99亩,共9.79万元；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石铜路绿化租地78.65亩,11.4万;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田路分家需租地122.66亩,17.67万元；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307治超站租地15亩，2.16万元；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红旗大街南延共租用铜冶镇、寺家庄镇235.03亩，计33.84万元；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北斗路高速公路出口绿化租获鹿镇北新街村12亩，1.73万元；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东外环（北斗路至城区水厂段）绿化管护租地92.04亩，费用13.3万元；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东南外环绿化租地获鹿郑家庄村7.76亩，1.12万元；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北斗路高速公路出口绿化租获鹿镇北新城村220亩按1440元计租地费31.68万；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太平河两岸绿化慢行租地319.9亩，费用46.07万；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滨河路及南侧绿化工程租地291.7亩，费共42.01万；</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京赞公路翠屏路至槐安路段绿化工程2019年租地4.725亩，每年每亩1440元，年租金0.69万元；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获铜路南二环西延至金河桥段改建工程按每亩1440元其中上庄135.1245亩，铜冶32亩共计24.08万元；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旧杏苑路绿化租地149.6亩（其中杜家庄77.53亩，下聂庄72.07亩）按每亩1440元计21.55万元；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石柏大街绿化工程租地89.44亩（其中一街村租地57.4亩；二街村租地22.27亩；三街村租地3.37亩；八街村6.4亩）按每亩1440元，2019年12.88万元；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南二环西延（南水北调至水峪隧道）绿化租地457.8766亩，按每亩1440元，计65.94万元；</w:t>
      </w:r>
    </w:p>
    <w:p>
      <w:pPr>
        <w:keepNext w:val="0"/>
        <w:keepLines w:val="0"/>
        <w:pageBreakBefore w:val="0"/>
        <w:widowControl w:val="0"/>
        <w:numPr>
          <w:ilvl w:val="0"/>
          <w:numId w:val="3"/>
        </w:numPr>
        <w:kinsoku/>
        <w:wordWrap/>
        <w:overflowPunct/>
        <w:topLinePunct w:val="0"/>
        <w:autoSpaceDE/>
        <w:autoSpaceDN/>
        <w:bidi w:val="0"/>
        <w:adjustRightInd w:val="0"/>
        <w:snapToGrid w:val="0"/>
        <w:spacing w:line="460" w:lineRule="exact"/>
        <w:ind w:left="0" w:leftChars="0" w:right="0" w:rightChars="0" w:firstLine="40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京赞线御园路至南二环西延段环境整治提升工程租地上庄镇145.636亩，按每亩1440元计20.98万元。</w:t>
      </w:r>
    </w:p>
    <w:p>
      <w:pPr>
        <w:keepNext w:val="0"/>
        <w:keepLines w:val="0"/>
        <w:pageBreakBefore w:val="0"/>
        <w:widowControl w:val="0"/>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经过对以上项目</w:t>
      </w: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、绩效目标合理性和绩效指标明确性等情况进行综合分析，确定指标体系评分标准计算分值为10%。</w:t>
      </w:r>
    </w:p>
    <w:p>
      <w:pPr>
        <w:keepNext w:val="0"/>
        <w:keepLines w:val="0"/>
        <w:pageBreakBefore w:val="0"/>
        <w:widowControl w:val="0"/>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2.资金落实情况分析。对资金到位率和到位及时率等情况确定指标体系评分标准计算分值为10%。</w:t>
      </w:r>
    </w:p>
    <w:p>
      <w:pPr>
        <w:keepNext w:val="0"/>
        <w:keepLines w:val="0"/>
        <w:pageBreakBefore w:val="0"/>
        <w:widowControl w:val="0"/>
        <w:kinsoku/>
        <w:wordWrap/>
        <w:overflowPunct/>
        <w:topLinePunct w:val="0"/>
        <w:autoSpaceDE/>
        <w:autoSpaceDN/>
        <w:bidi w:val="0"/>
        <w:spacing w:line="460" w:lineRule="exact"/>
        <w:ind w:left="0" w:leftChars="0"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1.业务管理情况分析。对管理制度健全性、制度执行有效性和项目质量可控性等指标体系确定的评分标准计算分值为10%。</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2.财务管理。对管理制度健全性、资金使用合规性和财务监控有效性等情况进行检查评估，确定其在指标体系评分标准计算分值为20%。</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过对产出效果进行调查，近年来大气环境质量改善明显，2018年全年空气质量优良150天，比上年增加5天；随着绿地植被不断生长，区域环境质量和空气质量都将持续改善，预计2019年全年空气质量优良天数增加至160天。确定结合对项目的实际完成率、完成及时率、质量达标率、成本节约率等情况，指标体系评分标准计算分值为10%。</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效果评价依照社会调查确认，对鹿泉区域公路绿化后的</w:t>
      </w:r>
      <w:r>
        <w:rPr>
          <w:rFonts w:hint="default" w:ascii="仿宋_GB2312" w:eastAsia="仿宋_GB2312"/>
          <w:b w:val="0"/>
          <w:bCs w:val="0"/>
          <w:sz w:val="32"/>
          <w:szCs w:val="32"/>
          <w:lang w:val="en-US" w:eastAsia="zh-CN"/>
        </w:rPr>
        <w:t>社会效益</w:t>
      </w:r>
      <w:r>
        <w:rPr>
          <w:rFonts w:hint="eastAsia" w:ascii="仿宋_GB2312" w:eastAsia="仿宋_GB2312"/>
          <w:b w:val="0"/>
          <w:bCs w:val="0"/>
          <w:sz w:val="32"/>
          <w:szCs w:val="32"/>
          <w:lang w:val="en-US" w:eastAsia="zh-CN"/>
        </w:rPr>
        <w:t>调查显示，群众好评不断。2019年石家庄市交通运输局组织网络投票调查，群众评价将鹿泉十里花廊等多条农村公路评为最美道路，社会调查群众满意度100%。对项目的经济效益、社会效益、生态效益、可持续影响和社会公众或服务对象满意度等情况进行分析后，根据指标体系评分标准计算分值为10%。</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根据项目执行情况和项目绩效情况，绩效评价总得分为93分，总体优良。其中：业务管理情况得分6分；财务管理得分19分；</w:t>
      </w: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得分8分；</w:t>
      </w:r>
      <w:r>
        <w:rPr>
          <w:rFonts w:hint="eastAsia" w:ascii="仿宋_GB2312" w:eastAsia="仿宋_GB2312"/>
          <w:sz w:val="32"/>
          <w:szCs w:val="32"/>
          <w:lang w:val="en-US" w:eastAsia="zh-CN"/>
        </w:rPr>
        <w:t>审批程序、招投标程序、资金支付程序、设计程序、监理程序、变更审批程序、交（竣）工验收程序等得分30分；</w:t>
      </w:r>
      <w:r>
        <w:rPr>
          <w:rFonts w:hint="eastAsia" w:ascii="仿宋_GB2312" w:eastAsia="仿宋_GB2312"/>
          <w:b w:val="0"/>
          <w:bCs w:val="0"/>
          <w:sz w:val="32"/>
          <w:szCs w:val="32"/>
          <w:lang w:val="en-US" w:eastAsia="zh-CN"/>
        </w:rPr>
        <w:t>资金落实情况到位率评价得分10分；</w:t>
      </w:r>
      <w:r>
        <w:rPr>
          <w:rFonts w:hint="eastAsia" w:ascii="仿宋_GB2312" w:eastAsia="仿宋_GB2312"/>
          <w:sz w:val="32"/>
          <w:szCs w:val="32"/>
          <w:lang w:val="en-US" w:eastAsia="zh-CN"/>
        </w:rPr>
        <w:t>项目产出</w:t>
      </w:r>
      <w:r>
        <w:rPr>
          <w:rFonts w:hint="eastAsia" w:ascii="仿宋_GB2312" w:eastAsia="仿宋_GB2312"/>
          <w:b w:val="0"/>
          <w:bCs w:val="0"/>
          <w:sz w:val="32"/>
          <w:szCs w:val="32"/>
          <w:lang w:val="en-US" w:eastAsia="zh-CN"/>
        </w:rPr>
        <w:t>完成率、完成及时率、质量达标率、成本节约率等评价得分10分；社会公众或服务对象满意度得分10分；</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jc w:val="both"/>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交通运输局负责的绿化租地项目为已完成项目，项目建设期间的各项要求全部符合规定。财政资金到位及时，但是有两项无法支付到位：1、后期资金拨付涉及铜冶镇北降壁村红旗大街租用村集体土地12.64亩，租金18201.6元没有支付。2、翠屏路绿化提升租用上庄村14.13亩，租金20347元没有支付。主要原因一是该该部分资金都是属于村委会集体所有，资金量非常小，虽经多次督促，铜冶镇政府一直不予支取。二是红旗大街涉及的租地双方并未签订土地租赁协议，只是根据区长办公会纪要拨付。翠屏路绿化提升租地协议已经过期，上庄镇没有续签协议。</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firstLine="640"/>
        <w:jc w:val="both"/>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460" w:lineRule="exact"/>
        <w:ind w:left="0" w:leftChars="0" w:right="0" w:rightChars="0"/>
        <w:jc w:val="both"/>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sz w:val="32"/>
          <w:szCs w:val="32"/>
          <w:lang w:val="en-US" w:eastAsia="zh-CN"/>
        </w:rPr>
        <w:t>针对资金拨付过程中涉及铜冶镇北降壁村红旗大街租用村集体土地12.64亩，租金18201.6元没有支付和翠屏路绿化提升租用上庄村14.13亩，租金20347元没有支付的问题，由于资金量非常小，而且双方并未签订土地租赁协议或协议已经过期情况，；建议自2020年起对该部分资金免于支付。</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right="0" w:rightChars="0" w:firstLine="640" w:firstLineChars="200"/>
        <w:jc w:val="both"/>
        <w:textAlignment w:val="auto"/>
        <w:outlineLvl w:val="9"/>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交通运输局绿化租地项目绩效评价工作组成员：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张计安  工程科科长           李占元  工程科副科长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李  华  工程科科员           王  平  公路站站长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赵辰会  地方站站长           温春燕  绿化中心主任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0" w:leftChars="0" w:right="0" w:rightChars="0" w:firstLine="640"/>
        <w:jc w:val="both"/>
        <w:textAlignment w:val="auto"/>
        <w:outlineLvl w:val="9"/>
      </w:pPr>
      <w:r>
        <w:rPr>
          <w:rFonts w:hint="eastAsia" w:ascii="仿宋_GB2312" w:eastAsia="仿宋_GB2312"/>
          <w:sz w:val="32"/>
          <w:szCs w:val="32"/>
          <w:lang w:val="en-US" w:eastAsia="zh-CN"/>
        </w:rPr>
        <w:t>王永伟  滨河路管理中心主任</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14940"/>
    <w:multiLevelType w:val="singleLevel"/>
    <w:tmpl w:val="5E114940"/>
    <w:lvl w:ilvl="0" w:tentative="0">
      <w:start w:val="1"/>
      <w:numFmt w:val="decimalEnclosedCircleChinese"/>
      <w:suff w:val="nothing"/>
      <w:lvlText w:val="%1　"/>
      <w:lvlJc w:val="left"/>
      <w:pPr>
        <w:ind w:left="0" w:leftChars="0" w:firstLine="400" w:firstLineChars="0"/>
      </w:pPr>
      <w:rPr>
        <w:rFonts w:hint="eastAsia"/>
      </w:rPr>
    </w:lvl>
  </w:abstractNum>
  <w:abstractNum w:abstractNumId="1">
    <w:nsid w:val="5E114AE6"/>
    <w:multiLevelType w:val="singleLevel"/>
    <w:tmpl w:val="5E114AE6"/>
    <w:lvl w:ilvl="0" w:tentative="0">
      <w:start w:val="1"/>
      <w:numFmt w:val="decimal"/>
      <w:suff w:val="nothing"/>
      <w:lvlText w:val="%1."/>
      <w:lvlJc w:val="left"/>
    </w:lvl>
  </w:abstractNum>
  <w:abstractNum w:abstractNumId="2">
    <w:nsid w:val="5E114B05"/>
    <w:multiLevelType w:val="singleLevel"/>
    <w:tmpl w:val="5E114B05"/>
    <w:lvl w:ilvl="0" w:tentative="0">
      <w:start w:val="1"/>
      <w:numFmt w:val="decimalEnclosedCircleChinese"/>
      <w:suff w:val="nothing"/>
      <w:lvlText w:val="%1　"/>
      <w:lvlJc w:val="left"/>
      <w:pPr>
        <w:ind w:left="0" w:leftChars="0" w:firstLine="400" w:firstLineChars="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dlZmY1ZWQ5NTg1MzExNWIzYzA2ODViNDk4NDEifQ=="/>
  </w:docVars>
  <w:rsids>
    <w:rsidRoot w:val="2A2941B7"/>
    <w:rsid w:val="1A1D35AD"/>
    <w:rsid w:val="2A2941B7"/>
    <w:rsid w:val="2B3C68B8"/>
    <w:rsid w:val="2BE00A4A"/>
    <w:rsid w:val="3EDE5C33"/>
    <w:rsid w:val="42881AA6"/>
    <w:rsid w:val="5BF72CAA"/>
    <w:rsid w:val="65522E0D"/>
    <w:rsid w:val="68656A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3565</Words>
  <Characters>4129</Characters>
  <Lines>0</Lines>
  <Paragraphs>0</Paragraphs>
  <TotalTime>6</TotalTime>
  <ScaleCrop>false</ScaleCrop>
  <LinksUpToDate>false</LinksUpToDate>
  <CharactersWithSpaces>4222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2024-07-04T02:17:30Z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0E29AF767CDC4ACE86BA6AA853360A48_13</vt:lpwstr>
  </property>
</Properties>
</file>