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val="en-US" w:eastAsia="zh-CN"/>
        </w:rPr>
        <w:t>2019新增</w:t>
      </w:r>
      <w:r>
        <w:rPr>
          <w:rFonts w:hint="eastAsia" w:ascii="宋体"/>
          <w:b/>
          <w:bCs/>
          <w:sz w:val="36"/>
          <w:szCs w:val="32"/>
          <w:lang w:eastAsia="zh-CN"/>
        </w:rPr>
        <w:t>路灯电费及维护费项目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路灯电费及维护费项目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路灯电费及维护费项目由鹿泉区交通运输局路灯管理办公室管理，对南环路灯、南二环西延亮化、御园路亮化、京赞路亮化、十里画廊亮化、太平河两岸亮化巡查维护，及时缴纳电费，确保路灯的亮灯率和设备的完好率。鹿泉区财政预算资金</w:t>
      </w:r>
      <w:r>
        <w:rPr>
          <w:rFonts w:hint="eastAsia" w:ascii="仿宋_GB2312" w:eastAsia="仿宋_GB2312"/>
          <w:sz w:val="32"/>
          <w:szCs w:val="32"/>
          <w:lang w:val="en-US" w:eastAsia="zh-CN"/>
        </w:rPr>
        <w:t>90万元，到位资金30万元，已全部支出。</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对纳入2</w:t>
      </w:r>
      <w:r>
        <w:rPr>
          <w:rFonts w:hint="eastAsia" w:ascii="仿宋" w:hAnsi="仿宋" w:eastAsia="仿宋" w:cs="仿宋"/>
          <w:sz w:val="32"/>
          <w:szCs w:val="32"/>
          <w:lang w:val="en-US" w:eastAsia="zh-CN"/>
        </w:rPr>
        <w:t>019</w:t>
      </w:r>
      <w:r>
        <w:rPr>
          <w:rFonts w:hint="eastAsia" w:ascii="仿宋" w:hAnsi="仿宋" w:eastAsia="仿宋" w:cs="仿宋"/>
          <w:sz w:val="32"/>
          <w:szCs w:val="32"/>
        </w:rPr>
        <w:t>年正常维护的</w:t>
      </w:r>
      <w:r>
        <w:rPr>
          <w:rFonts w:hint="eastAsia" w:ascii="仿宋" w:hAnsi="仿宋" w:eastAsia="仿宋" w:cs="仿宋"/>
          <w:sz w:val="32"/>
          <w:szCs w:val="32"/>
          <w:lang w:eastAsia="zh-CN"/>
        </w:rPr>
        <w:t>南环路</w:t>
      </w:r>
      <w:r>
        <w:rPr>
          <w:rFonts w:hint="eastAsia" w:ascii="仿宋" w:hAnsi="仿宋" w:eastAsia="仿宋" w:cs="仿宋"/>
          <w:sz w:val="32"/>
          <w:szCs w:val="32"/>
          <w:lang w:val="en-US" w:eastAsia="zh-CN"/>
        </w:rPr>
        <w:t>144</w:t>
      </w:r>
      <w:r>
        <w:rPr>
          <w:rFonts w:hint="eastAsia" w:ascii="仿宋" w:hAnsi="仿宋" w:eastAsia="仿宋" w:cs="仿宋"/>
          <w:sz w:val="32"/>
          <w:szCs w:val="32"/>
        </w:rPr>
        <w:t>盏路灯</w:t>
      </w:r>
      <w:r>
        <w:rPr>
          <w:rFonts w:hint="eastAsia" w:ascii="仿宋" w:hAnsi="仿宋" w:eastAsia="仿宋" w:cs="仿宋"/>
          <w:sz w:val="32"/>
          <w:szCs w:val="32"/>
          <w:lang w:eastAsia="zh-CN"/>
        </w:rPr>
        <w:t>和</w:t>
      </w:r>
      <w:r>
        <w:rPr>
          <w:rFonts w:hint="eastAsia" w:ascii="仿宋" w:hAnsi="仿宋" w:eastAsia="仿宋" w:cs="仿宋"/>
          <w:sz w:val="32"/>
          <w:szCs w:val="32"/>
          <w:lang w:val="en-US" w:eastAsia="zh-CN"/>
        </w:rPr>
        <w:t>659.28</w:t>
      </w:r>
      <w:r>
        <w:rPr>
          <w:rFonts w:hint="eastAsia" w:ascii="仿宋" w:hAnsi="仿宋" w:eastAsia="仿宋" w:cs="仿宋"/>
          <w:sz w:val="32"/>
          <w:szCs w:val="32"/>
        </w:rPr>
        <w:t>KW功率公共亮化设施进行</w:t>
      </w:r>
      <w:r>
        <w:rPr>
          <w:rFonts w:hint="eastAsia" w:ascii="仿宋" w:hAnsi="仿宋" w:eastAsia="仿宋" w:cs="仿宋"/>
          <w:sz w:val="32"/>
          <w:szCs w:val="32"/>
          <w:lang w:eastAsia="zh-CN"/>
        </w:rPr>
        <w:t>电费缴纳和</w:t>
      </w:r>
      <w:r>
        <w:rPr>
          <w:rFonts w:hint="eastAsia" w:ascii="仿宋" w:hAnsi="仿宋" w:eastAsia="仿宋" w:cs="仿宋"/>
          <w:sz w:val="32"/>
          <w:szCs w:val="32"/>
        </w:rPr>
        <w:t>维护管理，保障</w:t>
      </w:r>
      <w:r>
        <w:rPr>
          <w:rFonts w:hint="eastAsia" w:ascii="仿宋" w:hAnsi="仿宋" w:eastAsia="仿宋" w:cs="仿宋"/>
          <w:sz w:val="32"/>
          <w:szCs w:val="32"/>
          <w:lang w:eastAsia="zh-CN"/>
        </w:rPr>
        <w:t>我</w:t>
      </w:r>
      <w:r>
        <w:rPr>
          <w:rFonts w:hint="eastAsia" w:ascii="仿宋" w:hAnsi="仿宋" w:eastAsia="仿宋" w:cs="仿宋"/>
          <w:sz w:val="32"/>
          <w:szCs w:val="32"/>
        </w:rPr>
        <w:t>区道路照明及公共亮化设施的正常运行，方便市民夜间出行，美化、亮化城市。</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p>
    <w:tbl>
      <w:tblPr>
        <w:tblStyle w:val="5"/>
        <w:tblW w:w="0" w:type="auto"/>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Layout w:type="autofit"/>
        <w:tblCellMar>
          <w:top w:w="30" w:type="dxa"/>
          <w:left w:w="30" w:type="dxa"/>
          <w:bottom w:w="30" w:type="dxa"/>
          <w:right w:w="30" w:type="dxa"/>
        </w:tblCellMar>
      </w:tblPr>
      <w:tblGrid>
        <w:gridCol w:w="1137"/>
        <w:gridCol w:w="911"/>
        <w:gridCol w:w="148"/>
        <w:gridCol w:w="1036"/>
        <w:gridCol w:w="946"/>
        <w:gridCol w:w="849"/>
        <w:gridCol w:w="809"/>
        <w:gridCol w:w="425"/>
        <w:gridCol w:w="2417"/>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CellMar>
            <w:top w:w="30" w:type="dxa"/>
            <w:left w:w="30" w:type="dxa"/>
            <w:bottom w:w="30" w:type="dxa"/>
            <w:right w:w="30" w:type="dxa"/>
          </w:tblCellMar>
        </w:tblPrEx>
        <w:tc>
          <w:tcPr>
            <w:tcW w:w="1137"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项目绩效定量目标（指标）及完成情况</w:t>
            </w:r>
          </w:p>
        </w:tc>
        <w:tc>
          <w:tcPr>
            <w:tcW w:w="1059"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一级指标</w:t>
            </w:r>
          </w:p>
        </w:tc>
        <w:tc>
          <w:tcPr>
            <w:tcW w:w="1036"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二级指标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指标内容</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指标（目标）值</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实际完成值</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项目产出指标</w:t>
            </w: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数量指标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eastAsia="zh-CN"/>
              </w:rPr>
              <w:t>道路</w:t>
            </w:r>
            <w:r>
              <w:rPr>
                <w:sz w:val="21"/>
                <w:szCs w:val="21"/>
              </w:rPr>
              <w:t>路灯盏数</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val="en-US" w:eastAsia="zh-CN"/>
              </w:rPr>
              <w:t>144</w:t>
            </w:r>
            <w:r>
              <w:rPr>
                <w:sz w:val="21"/>
                <w:szCs w:val="21"/>
              </w:rPr>
              <w:t>盏</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保障</w:t>
            </w:r>
            <w:r>
              <w:rPr>
                <w:rFonts w:hint="eastAsia"/>
                <w:sz w:val="21"/>
                <w:szCs w:val="21"/>
                <w:lang w:eastAsia="zh-CN"/>
              </w:rPr>
              <w:t>道路</w:t>
            </w:r>
            <w:r>
              <w:rPr>
                <w:rFonts w:hint="eastAsia"/>
                <w:sz w:val="21"/>
                <w:szCs w:val="21"/>
                <w:lang w:val="en-US" w:eastAsia="zh-CN"/>
              </w:rPr>
              <w:t>144</w:t>
            </w:r>
            <w:r>
              <w:rPr>
                <w:sz w:val="21"/>
                <w:szCs w:val="21"/>
              </w:rPr>
              <w:t>盏路灯</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eastAsia="zh-CN"/>
              </w:rPr>
              <w:t>照明</w:t>
            </w:r>
            <w:r>
              <w:rPr>
                <w:sz w:val="21"/>
                <w:szCs w:val="21"/>
              </w:rPr>
              <w:t>亮化设施功率</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val="en-US" w:eastAsia="zh-CN"/>
              </w:rPr>
              <w:t>680.88</w:t>
            </w:r>
            <w:r>
              <w:rPr>
                <w:sz w:val="21"/>
                <w:szCs w:val="21"/>
              </w:rPr>
              <w:t>KW</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val="en-US" w:eastAsia="zh-CN"/>
              </w:rPr>
              <w:t>680.88</w:t>
            </w:r>
            <w:r>
              <w:rPr>
                <w:sz w:val="21"/>
                <w:szCs w:val="21"/>
              </w:rPr>
              <w:t>KW设施正常运行</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质量指标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路灯设施完好率</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路灯设施完好率98%</w:t>
            </w:r>
          </w:p>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4"/>
                <w:szCs w:val="24"/>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亮灯率</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亮灯率98%</w:t>
            </w:r>
          </w:p>
          <w:p>
            <w:pPr>
              <w:pStyle w:val="4"/>
              <w:keepNext w:val="0"/>
              <w:keepLines w:val="0"/>
              <w:widowControl/>
              <w:suppressLineNumbers w:val="0"/>
              <w:spacing w:before="0" w:beforeAutospacing="0" w:after="0" w:afterAutospacing="0" w:line="33" w:lineRule="atLeast"/>
              <w:jc w:val="both"/>
              <w:rPr>
                <w:sz w:val="24"/>
                <w:szCs w:val="24"/>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时效指标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路灯日运行</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10小时</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路灯日运行10小时</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4"/>
                <w:szCs w:val="24"/>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公共亮化日运行</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rFonts w:hint="eastAsia"/>
                <w:sz w:val="24"/>
                <w:szCs w:val="24"/>
                <w:lang w:val="en-US" w:eastAsia="zh-CN"/>
              </w:rPr>
              <w:t>2</w:t>
            </w:r>
            <w:r>
              <w:rPr>
                <w:sz w:val="24"/>
                <w:szCs w:val="24"/>
              </w:rPr>
              <w:t>小时</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公共亮化日运行</w:t>
            </w:r>
            <w:r>
              <w:rPr>
                <w:rFonts w:hint="eastAsia"/>
                <w:sz w:val="24"/>
                <w:szCs w:val="24"/>
                <w:lang w:val="en-US" w:eastAsia="zh-CN"/>
              </w:rPr>
              <w:t>2</w:t>
            </w:r>
            <w:r>
              <w:rPr>
                <w:sz w:val="24"/>
                <w:szCs w:val="24"/>
              </w:rPr>
              <w:t>小时</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成本指标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控制支出在预算内</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rFonts w:hint="eastAsia"/>
                <w:sz w:val="24"/>
                <w:szCs w:val="24"/>
                <w:lang w:val="en-US" w:eastAsia="zh-CN"/>
              </w:rPr>
              <w:t>30</w:t>
            </w:r>
            <w:r>
              <w:rPr>
                <w:sz w:val="24"/>
                <w:szCs w:val="24"/>
              </w:rPr>
              <w:t>万</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控制支出在预算内</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项目效益指标</w:t>
            </w: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经济效益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本项目为公益项目，非以</w:t>
            </w:r>
            <w:r>
              <w:rPr>
                <w:rFonts w:hint="eastAsia"/>
                <w:sz w:val="21"/>
                <w:szCs w:val="21"/>
                <w:lang w:eastAsia="zh-CN"/>
              </w:rPr>
              <w:t>营</w:t>
            </w:r>
            <w:bookmarkStart w:id="0" w:name="_GoBack"/>
            <w:bookmarkEnd w:id="0"/>
            <w:r>
              <w:rPr>
                <w:sz w:val="21"/>
                <w:szCs w:val="21"/>
              </w:rPr>
              <w:t>利为目的。</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社会效益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方便市民夜间出行</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方便了市民夜间出行</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保障夜间交通安全</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保障了夜间交通安全</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生态效益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美化、亮化城市</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美化、亮化了城市</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服务对象满意度</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市民满意率</w:t>
            </w: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100%</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市民满意率100%</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100%</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gridSpan w:val="2"/>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196"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绩效自评综合得分</w:t>
            </w:r>
          </w:p>
        </w:tc>
        <w:tc>
          <w:tcPr>
            <w:tcW w:w="6482" w:type="dxa"/>
            <w:gridSpan w:val="6"/>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100分</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196"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评价等次</w:t>
            </w:r>
          </w:p>
        </w:tc>
        <w:tc>
          <w:tcPr>
            <w:tcW w:w="6482" w:type="dxa"/>
            <w:gridSpan w:val="6"/>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优秀</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8678" w:type="dxa"/>
            <w:gridSpan w:val="9"/>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四、评价人员</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04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姓名</w:t>
            </w:r>
          </w:p>
        </w:tc>
        <w:tc>
          <w:tcPr>
            <w:tcW w:w="2130"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职称/职务</w:t>
            </w:r>
          </w:p>
        </w:tc>
        <w:tc>
          <w:tcPr>
            <w:tcW w:w="165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单  位</w:t>
            </w:r>
          </w:p>
        </w:tc>
        <w:tc>
          <w:tcPr>
            <w:tcW w:w="2842"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签字</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04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rFonts w:hint="eastAsia" w:eastAsia="宋体"/>
                <w:sz w:val="21"/>
                <w:szCs w:val="21"/>
                <w:lang w:eastAsia="zh-CN"/>
              </w:rPr>
            </w:pPr>
            <w:r>
              <w:rPr>
                <w:rFonts w:hint="eastAsia"/>
                <w:sz w:val="21"/>
                <w:szCs w:val="21"/>
                <w:lang w:eastAsia="zh-CN"/>
              </w:rPr>
              <w:t>曹东亮</w:t>
            </w:r>
          </w:p>
        </w:tc>
        <w:tc>
          <w:tcPr>
            <w:tcW w:w="2130"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主任</w:t>
            </w:r>
          </w:p>
        </w:tc>
        <w:tc>
          <w:tcPr>
            <w:tcW w:w="165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rFonts w:hint="eastAsia" w:eastAsia="宋体"/>
                <w:sz w:val="21"/>
                <w:szCs w:val="21"/>
                <w:lang w:eastAsia="zh-CN"/>
              </w:rPr>
            </w:pPr>
            <w:r>
              <w:rPr>
                <w:rFonts w:hint="eastAsia"/>
                <w:sz w:val="21"/>
                <w:szCs w:val="21"/>
                <w:lang w:eastAsia="zh-CN"/>
              </w:rPr>
              <w:t>交通局路灯办</w:t>
            </w:r>
          </w:p>
        </w:tc>
        <w:tc>
          <w:tcPr>
            <w:tcW w:w="2842"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04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rFonts w:hint="eastAsia" w:eastAsia="宋体"/>
                <w:sz w:val="21"/>
                <w:szCs w:val="21"/>
                <w:lang w:eastAsia="zh-CN"/>
              </w:rPr>
            </w:pPr>
            <w:r>
              <w:rPr>
                <w:rFonts w:hint="eastAsia"/>
                <w:sz w:val="21"/>
                <w:szCs w:val="21"/>
                <w:lang w:eastAsia="zh-CN"/>
              </w:rPr>
              <w:t>张建军</w:t>
            </w:r>
          </w:p>
        </w:tc>
        <w:tc>
          <w:tcPr>
            <w:tcW w:w="2130"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副主任</w:t>
            </w:r>
          </w:p>
        </w:tc>
        <w:tc>
          <w:tcPr>
            <w:tcW w:w="165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eastAsia="zh-CN"/>
              </w:rPr>
              <w:t>交通局路灯办</w:t>
            </w:r>
          </w:p>
        </w:tc>
        <w:tc>
          <w:tcPr>
            <w:tcW w:w="2842"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204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rFonts w:hint="eastAsia" w:eastAsia="宋体"/>
                <w:sz w:val="21"/>
                <w:szCs w:val="21"/>
                <w:lang w:eastAsia="zh-CN"/>
              </w:rPr>
            </w:pPr>
            <w:r>
              <w:rPr>
                <w:rFonts w:hint="eastAsia"/>
                <w:sz w:val="21"/>
                <w:szCs w:val="21"/>
                <w:lang w:eastAsia="zh-CN"/>
              </w:rPr>
              <w:t>刘勇虎</w:t>
            </w:r>
          </w:p>
        </w:tc>
        <w:tc>
          <w:tcPr>
            <w:tcW w:w="2130" w:type="dxa"/>
            <w:gridSpan w:val="3"/>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副主任</w:t>
            </w:r>
          </w:p>
        </w:tc>
        <w:tc>
          <w:tcPr>
            <w:tcW w:w="1658"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rFonts w:hint="eastAsia"/>
                <w:sz w:val="21"/>
                <w:szCs w:val="21"/>
                <w:lang w:eastAsia="zh-CN"/>
              </w:rPr>
              <w:t>交通局路灯办</w:t>
            </w:r>
          </w:p>
        </w:tc>
        <w:tc>
          <w:tcPr>
            <w:tcW w:w="2842" w:type="dxa"/>
            <w:gridSpan w:val="2"/>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8678" w:type="dxa"/>
            <w:gridSpan w:val="9"/>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评价组组长（签字）：</w:t>
            </w:r>
          </w:p>
          <w:p>
            <w:pPr>
              <w:pStyle w:val="4"/>
              <w:keepNext w:val="0"/>
              <w:keepLines w:val="0"/>
              <w:widowControl/>
              <w:suppressLineNumbers w:val="0"/>
              <w:spacing w:before="0" w:beforeAutospacing="0" w:after="0" w:afterAutospacing="0" w:line="33" w:lineRule="atLeast"/>
              <w:ind w:firstLine="630" w:firstLineChars="300"/>
              <w:jc w:val="both"/>
              <w:rPr>
                <w:sz w:val="21"/>
                <w:szCs w:val="21"/>
              </w:rPr>
            </w:pPr>
            <w:r>
              <w:rPr>
                <w:sz w:val="21"/>
                <w:szCs w:val="21"/>
              </w:rPr>
              <w:t xml:space="preserve">年   </w:t>
            </w:r>
            <w:r>
              <w:rPr>
                <w:rFonts w:hint="eastAsia"/>
                <w:sz w:val="21"/>
                <w:szCs w:val="21"/>
                <w:lang w:val="en-US" w:eastAsia="zh-CN"/>
              </w:rPr>
              <w:t xml:space="preserve"> </w:t>
            </w:r>
            <w:r>
              <w:rPr>
                <w:sz w:val="21"/>
                <w:szCs w:val="21"/>
              </w:rPr>
              <w:t xml:space="preserve">月   </w:t>
            </w:r>
            <w:r>
              <w:rPr>
                <w:rFonts w:hint="eastAsia"/>
                <w:sz w:val="21"/>
                <w:szCs w:val="21"/>
                <w:lang w:val="en-US" w:eastAsia="zh-CN"/>
              </w:rPr>
              <w:t xml:space="preserve"> </w:t>
            </w:r>
            <w:r>
              <w:rPr>
                <w:sz w:val="21"/>
                <w:szCs w:val="21"/>
              </w:rPr>
              <w:t>日</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8678" w:type="dxa"/>
            <w:gridSpan w:val="9"/>
            <w:tcBorders>
              <w:top w:val="outset" w:color="000000" w:sz="6" w:space="0"/>
              <w:left w:val="outset" w:color="000000" w:sz="6" w:space="0"/>
              <w:bottom w:val="outset" w:color="000000" w:sz="6" w:space="0"/>
              <w:right w:val="outset" w:color="000000" w:sz="6" w:space="0"/>
            </w:tcBorders>
            <w:shd w:val="clear" w:color="auto" w:fill="auto"/>
            <w:vAlign w:val="top"/>
          </w:tcPr>
          <w:p>
            <w:pPr>
              <w:pStyle w:val="4"/>
              <w:keepNext w:val="0"/>
              <w:keepLines w:val="0"/>
              <w:widowControl/>
              <w:suppressLineNumbers w:val="0"/>
              <w:spacing w:before="0" w:beforeAutospacing="0" w:after="0" w:afterAutospacing="0" w:line="33" w:lineRule="atLeast"/>
              <w:jc w:val="both"/>
            </w:pPr>
            <w:r>
              <w:t>项目单位意见：</w:t>
            </w:r>
          </w:p>
          <w:p>
            <w:pPr>
              <w:pStyle w:val="4"/>
              <w:keepNext w:val="0"/>
              <w:keepLines w:val="0"/>
              <w:widowControl/>
              <w:suppressLineNumbers w:val="0"/>
              <w:spacing w:before="0" w:beforeAutospacing="0" w:after="0" w:afterAutospacing="0" w:line="33" w:lineRule="atLeast"/>
              <w:jc w:val="both"/>
            </w:pPr>
            <w:r>
              <w:t>项目单位负责人（签字）：</w:t>
            </w:r>
          </w:p>
          <w:p>
            <w:pPr>
              <w:pStyle w:val="4"/>
              <w:keepNext w:val="0"/>
              <w:keepLines w:val="0"/>
              <w:widowControl/>
              <w:suppressLineNumbers w:val="0"/>
              <w:spacing w:before="0" w:beforeAutospacing="0" w:after="0" w:afterAutospacing="0" w:line="33" w:lineRule="atLeast"/>
              <w:ind w:firstLine="480" w:firstLineChars="200"/>
              <w:jc w:val="both"/>
            </w:pPr>
            <w:r>
              <w:t>年   月   日</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8678" w:type="dxa"/>
            <w:gridSpan w:val="9"/>
            <w:tcBorders>
              <w:top w:val="outset" w:color="000000" w:sz="6" w:space="0"/>
              <w:left w:val="outset" w:color="000000" w:sz="6" w:space="0"/>
              <w:bottom w:val="outset" w:color="000000" w:sz="6" w:space="0"/>
              <w:right w:val="outset" w:color="000000" w:sz="6" w:space="0"/>
            </w:tcBorders>
            <w:shd w:val="clear" w:color="auto" w:fill="auto"/>
            <w:vAlign w:val="top"/>
          </w:tcPr>
          <w:p>
            <w:pPr>
              <w:pStyle w:val="4"/>
              <w:keepNext w:val="0"/>
              <w:keepLines w:val="0"/>
              <w:widowControl/>
              <w:suppressLineNumbers w:val="0"/>
              <w:spacing w:before="0" w:beforeAutospacing="0" w:after="0" w:afterAutospacing="0" w:line="33" w:lineRule="atLeast"/>
              <w:jc w:val="both"/>
            </w:pPr>
            <w:r>
              <w:t>主管部门意见：</w:t>
            </w:r>
          </w:p>
          <w:p>
            <w:pPr>
              <w:pStyle w:val="4"/>
              <w:keepNext w:val="0"/>
              <w:keepLines w:val="0"/>
              <w:widowControl/>
              <w:suppressLineNumbers w:val="0"/>
              <w:spacing w:before="0" w:beforeAutospacing="0" w:after="0" w:afterAutospacing="0" w:line="33" w:lineRule="atLeast"/>
              <w:jc w:val="both"/>
            </w:pPr>
            <w:r>
              <w:t>主管部门负责人（签字）：</w:t>
            </w:r>
          </w:p>
          <w:p>
            <w:pPr>
              <w:pStyle w:val="4"/>
              <w:keepNext w:val="0"/>
              <w:keepLines w:val="0"/>
              <w:widowControl/>
              <w:suppressLineNumbers w:val="0"/>
              <w:spacing w:before="0" w:beforeAutospacing="0" w:after="0" w:afterAutospacing="0" w:line="33" w:lineRule="atLeast"/>
              <w:ind w:firstLine="480" w:firstLineChars="200"/>
              <w:jc w:val="both"/>
            </w:pPr>
            <w:r>
              <w:t>年   月   日</w:t>
            </w:r>
          </w:p>
        </w:tc>
      </w:tr>
    </w:tbl>
    <w:p>
      <w:pPr>
        <w:numPr>
          <w:ilvl w:val="0"/>
          <w:numId w:val="0"/>
        </w:numPr>
        <w:rPr>
          <w:rFonts w:hint="eastAsia" w:ascii="仿宋_GB2312" w:eastAsia="仿宋_GB2312"/>
          <w:sz w:val="32"/>
          <w:szCs w:val="32"/>
        </w:rPr>
      </w:pPr>
    </w:p>
    <w:p>
      <w:pPr>
        <w:numPr>
          <w:ilvl w:val="0"/>
          <w:numId w:val="0"/>
        </w:numPr>
        <w:ind w:leftChars="0" w:right="0" w:rightChars="0"/>
        <w:jc w:val="both"/>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pStyle w:val="4"/>
        <w:keepNext w:val="0"/>
        <w:keepLines w:val="0"/>
        <w:widowControl/>
        <w:suppressLineNumbers w:val="0"/>
        <w:spacing w:before="0" w:beforeAutospacing="0" w:after="0" w:afterAutospacing="0" w:line="33" w:lineRule="atLeas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核定201</w:t>
      </w:r>
      <w:r>
        <w:rPr>
          <w:rFonts w:hint="eastAsia" w:ascii="仿宋" w:hAnsi="仿宋" w:eastAsia="仿宋" w:cs="仿宋"/>
          <w:sz w:val="32"/>
          <w:szCs w:val="32"/>
          <w:lang w:val="en-US" w:eastAsia="zh-CN"/>
        </w:rPr>
        <w:t>9</w:t>
      </w:r>
      <w:r>
        <w:rPr>
          <w:rFonts w:hint="eastAsia" w:ascii="仿宋" w:hAnsi="仿宋" w:eastAsia="仿宋" w:cs="仿宋"/>
          <w:sz w:val="32"/>
          <w:szCs w:val="32"/>
        </w:rPr>
        <w:t>年度</w:t>
      </w:r>
      <w:r>
        <w:rPr>
          <w:rFonts w:hint="eastAsia" w:ascii="仿宋" w:hAnsi="仿宋" w:eastAsia="仿宋" w:cs="仿宋"/>
          <w:sz w:val="32"/>
          <w:szCs w:val="32"/>
          <w:lang w:eastAsia="zh-CN"/>
        </w:rPr>
        <w:t>新增</w:t>
      </w:r>
      <w:r>
        <w:rPr>
          <w:rFonts w:hint="eastAsia" w:ascii="仿宋" w:hAnsi="仿宋" w:eastAsia="仿宋" w:cs="仿宋"/>
          <w:sz w:val="32"/>
          <w:szCs w:val="32"/>
        </w:rPr>
        <w:t>路灯及公共亮化</w:t>
      </w:r>
      <w:r>
        <w:rPr>
          <w:rFonts w:hint="eastAsia" w:ascii="仿宋" w:hAnsi="仿宋" w:eastAsia="仿宋" w:cs="仿宋"/>
          <w:sz w:val="32"/>
          <w:szCs w:val="32"/>
          <w:lang w:eastAsia="zh-CN"/>
        </w:rPr>
        <w:t>电费和</w:t>
      </w:r>
      <w:r>
        <w:rPr>
          <w:rFonts w:hint="eastAsia" w:ascii="仿宋" w:hAnsi="仿宋" w:eastAsia="仿宋" w:cs="仿宋"/>
          <w:sz w:val="32"/>
          <w:szCs w:val="32"/>
        </w:rPr>
        <w:t>设施维护费为</w:t>
      </w:r>
      <w:r>
        <w:rPr>
          <w:rFonts w:hint="eastAsia" w:ascii="仿宋" w:hAnsi="仿宋" w:eastAsia="仿宋" w:cs="仿宋"/>
          <w:sz w:val="32"/>
          <w:szCs w:val="32"/>
          <w:lang w:val="en-US" w:eastAsia="zh-CN"/>
        </w:rPr>
        <w:t>90</w:t>
      </w:r>
      <w:r>
        <w:rPr>
          <w:rFonts w:hint="eastAsia" w:ascii="仿宋" w:hAnsi="仿宋" w:eastAsia="仿宋" w:cs="仿宋"/>
          <w:sz w:val="32"/>
          <w:szCs w:val="32"/>
        </w:rPr>
        <w:t>万元，201</w:t>
      </w:r>
      <w:r>
        <w:rPr>
          <w:rFonts w:hint="eastAsia" w:ascii="仿宋" w:hAnsi="仿宋" w:eastAsia="仿宋" w:cs="仿宋"/>
          <w:sz w:val="32"/>
          <w:szCs w:val="32"/>
          <w:lang w:val="en-US" w:eastAsia="zh-CN"/>
        </w:rPr>
        <w:t>9</w:t>
      </w:r>
      <w:r>
        <w:rPr>
          <w:rFonts w:hint="eastAsia" w:ascii="仿宋" w:hAnsi="仿宋" w:eastAsia="仿宋" w:cs="仿宋"/>
          <w:sz w:val="32"/>
          <w:szCs w:val="32"/>
        </w:rPr>
        <w:t>年度</w:t>
      </w:r>
      <w:r>
        <w:rPr>
          <w:rFonts w:hint="eastAsia" w:ascii="仿宋" w:hAnsi="仿宋" w:eastAsia="仿宋" w:cs="仿宋"/>
          <w:sz w:val="32"/>
          <w:szCs w:val="32"/>
          <w:lang w:eastAsia="zh-CN"/>
        </w:rPr>
        <w:t>鹿泉区交通运输局</w:t>
      </w:r>
      <w:r>
        <w:rPr>
          <w:rFonts w:hint="eastAsia" w:ascii="仿宋" w:hAnsi="仿宋" w:eastAsia="仿宋" w:cs="仿宋"/>
          <w:sz w:val="32"/>
          <w:szCs w:val="32"/>
        </w:rPr>
        <w:t>实际收到财政局拨付的路灯及公共亮化</w:t>
      </w:r>
      <w:r>
        <w:rPr>
          <w:rFonts w:hint="eastAsia" w:ascii="仿宋" w:hAnsi="仿宋" w:eastAsia="仿宋" w:cs="仿宋"/>
          <w:sz w:val="32"/>
          <w:szCs w:val="32"/>
          <w:lang w:eastAsia="zh-CN"/>
        </w:rPr>
        <w:t>电费和</w:t>
      </w:r>
      <w:r>
        <w:rPr>
          <w:rFonts w:hint="eastAsia" w:ascii="仿宋" w:hAnsi="仿宋" w:eastAsia="仿宋" w:cs="仿宋"/>
          <w:sz w:val="32"/>
          <w:szCs w:val="32"/>
        </w:rPr>
        <w:t>设施维护费</w:t>
      </w:r>
      <w:r>
        <w:rPr>
          <w:rFonts w:hint="eastAsia" w:ascii="仿宋" w:hAnsi="仿宋" w:eastAsia="仿宋" w:cs="仿宋"/>
          <w:sz w:val="32"/>
          <w:szCs w:val="32"/>
          <w:lang w:val="en-US" w:eastAsia="zh-CN"/>
        </w:rPr>
        <w:t>30</w:t>
      </w:r>
      <w:r>
        <w:rPr>
          <w:rFonts w:hint="eastAsia" w:ascii="仿宋" w:hAnsi="仿宋" w:eastAsia="仿宋" w:cs="仿宋"/>
          <w:sz w:val="32"/>
          <w:szCs w:val="32"/>
        </w:rPr>
        <w:t>万元，全部用于路灯及公共亮化</w:t>
      </w:r>
      <w:r>
        <w:rPr>
          <w:rFonts w:hint="eastAsia" w:ascii="仿宋" w:hAnsi="仿宋" w:eastAsia="仿宋" w:cs="仿宋"/>
          <w:sz w:val="32"/>
          <w:szCs w:val="32"/>
          <w:lang w:eastAsia="zh-CN"/>
        </w:rPr>
        <w:t>电费</w:t>
      </w:r>
      <w:r>
        <w:rPr>
          <w:rFonts w:hint="eastAsia" w:ascii="仿宋" w:hAnsi="仿宋" w:eastAsia="仿宋" w:cs="仿宋"/>
          <w:sz w:val="32"/>
          <w:szCs w:val="32"/>
        </w:rPr>
        <w:t>运行专项支出</w:t>
      </w:r>
      <w:r>
        <w:rPr>
          <w:rFonts w:hint="eastAsia" w:ascii="仿宋" w:hAnsi="仿宋" w:eastAsia="仿宋" w:cs="仿宋"/>
          <w:sz w:val="32"/>
          <w:szCs w:val="32"/>
          <w:lang w:eastAsia="zh-CN"/>
        </w:rPr>
        <w:t>，每季度按时拨付</w:t>
      </w:r>
      <w:r>
        <w:rPr>
          <w:rFonts w:hint="eastAsia" w:ascii="仿宋" w:hAnsi="仿宋" w:eastAsia="仿宋" w:cs="仿宋"/>
          <w:sz w:val="32"/>
          <w:szCs w:val="32"/>
        </w:rPr>
        <w:t>。</w:t>
      </w:r>
      <w:r>
        <w:rPr>
          <w:rFonts w:hint="eastAsia" w:ascii="仿宋" w:hAnsi="仿宋" w:eastAsia="仿宋" w:cs="仿宋"/>
          <w:sz w:val="32"/>
          <w:szCs w:val="32"/>
          <w:lang w:eastAsia="zh-CN"/>
        </w:rPr>
        <w:t>鹿泉区交通运输局路灯管理办公室</w:t>
      </w:r>
      <w:r>
        <w:rPr>
          <w:rFonts w:hint="eastAsia" w:ascii="仿宋" w:hAnsi="仿宋" w:eastAsia="仿宋" w:cs="仿宋"/>
          <w:sz w:val="32"/>
          <w:szCs w:val="32"/>
        </w:rPr>
        <w:t>负责路灯及公用亮化</w:t>
      </w:r>
      <w:r>
        <w:rPr>
          <w:rFonts w:hint="eastAsia" w:ascii="仿宋" w:hAnsi="仿宋" w:eastAsia="仿宋" w:cs="仿宋"/>
          <w:sz w:val="32"/>
          <w:szCs w:val="32"/>
          <w:lang w:eastAsia="zh-CN"/>
        </w:rPr>
        <w:t>电费的缴纳和</w:t>
      </w:r>
      <w:r>
        <w:rPr>
          <w:rFonts w:hint="eastAsia" w:ascii="仿宋" w:hAnsi="仿宋" w:eastAsia="仿宋" w:cs="仿宋"/>
          <w:sz w:val="32"/>
          <w:szCs w:val="32"/>
        </w:rPr>
        <w:t>设施维护费的使用。路灯及公共亮化设施维护费的拨付是按路灯</w:t>
      </w:r>
      <w:r>
        <w:rPr>
          <w:rFonts w:hint="eastAsia" w:ascii="仿宋" w:hAnsi="仿宋" w:eastAsia="仿宋" w:cs="仿宋"/>
          <w:sz w:val="32"/>
          <w:szCs w:val="32"/>
          <w:lang w:eastAsia="zh-CN"/>
        </w:rPr>
        <w:t>及</w:t>
      </w:r>
      <w:r>
        <w:rPr>
          <w:rFonts w:hint="eastAsia" w:ascii="仿宋" w:hAnsi="仿宋" w:eastAsia="仿宋" w:cs="仿宋"/>
          <w:sz w:val="32"/>
          <w:szCs w:val="32"/>
        </w:rPr>
        <w:t>公用亮化设施功率计算，列入财政预算。本着专款专用，专项管理的原则，由财政国库集中支付</w:t>
      </w:r>
      <w:r>
        <w:rPr>
          <w:rFonts w:hint="eastAsia" w:ascii="仿宋" w:hAnsi="仿宋" w:eastAsia="仿宋" w:cs="仿宋"/>
          <w:sz w:val="32"/>
          <w:szCs w:val="32"/>
          <w:lang w:eastAsia="zh-CN"/>
        </w:rPr>
        <w:t>路灯电费及</w:t>
      </w:r>
      <w:r>
        <w:rPr>
          <w:rFonts w:hint="eastAsia" w:ascii="仿宋" w:hAnsi="仿宋" w:eastAsia="仿宋" w:cs="仿宋"/>
          <w:sz w:val="32"/>
          <w:szCs w:val="32"/>
        </w:rPr>
        <w:t>各项维护支出。</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pStyle w:val="4"/>
        <w:keepNext w:val="0"/>
        <w:keepLines w:val="0"/>
        <w:widowControl/>
        <w:suppressLineNumbers w:val="0"/>
        <w:spacing w:before="0" w:beforeAutospacing="0" w:after="0" w:afterAutospacing="0" w:line="33" w:lineRule="atLeast"/>
        <w:jc w:val="both"/>
        <w:rPr>
          <w:rFonts w:hint="eastAsia" w:ascii="仿宋" w:hAnsi="仿宋" w:eastAsia="仿宋" w:cs="仿宋"/>
          <w:sz w:val="32"/>
          <w:szCs w:val="32"/>
        </w:rPr>
      </w:pPr>
      <w:r>
        <w:rPr>
          <w:rFonts w:hint="eastAsia" w:ascii="仿宋" w:hAnsi="仿宋" w:eastAsia="仿宋" w:cs="仿宋"/>
          <w:sz w:val="32"/>
          <w:szCs w:val="32"/>
        </w:rPr>
        <w:t>（1）智能化管理系统为项目管理提供了技术保证</w:t>
      </w:r>
    </w:p>
    <w:p>
      <w:pPr>
        <w:pStyle w:val="4"/>
        <w:keepNext w:val="0"/>
        <w:keepLines w:val="0"/>
        <w:widowControl/>
        <w:suppressLineNumbers w:val="0"/>
        <w:spacing w:before="0" w:beforeAutospacing="0" w:after="0" w:afterAutospacing="0" w:line="33" w:lineRule="atLeas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2013</w:t>
      </w:r>
      <w:r>
        <w:rPr>
          <w:rFonts w:hint="eastAsia" w:ascii="仿宋" w:hAnsi="仿宋" w:eastAsia="仿宋" w:cs="仿宋"/>
          <w:sz w:val="32"/>
          <w:szCs w:val="32"/>
        </w:rPr>
        <w:t>年</w:t>
      </w:r>
      <w:r>
        <w:rPr>
          <w:rFonts w:hint="eastAsia" w:ascii="仿宋" w:hAnsi="仿宋" w:eastAsia="仿宋" w:cs="仿宋"/>
          <w:sz w:val="32"/>
          <w:szCs w:val="32"/>
          <w:lang w:eastAsia="zh-CN"/>
        </w:rPr>
        <w:t>鹿泉区交通运输局辖区</w:t>
      </w:r>
      <w:r>
        <w:rPr>
          <w:rFonts w:hint="eastAsia" w:ascii="仿宋" w:hAnsi="仿宋" w:eastAsia="仿宋" w:cs="仿宋"/>
          <w:sz w:val="32"/>
          <w:szCs w:val="32"/>
        </w:rPr>
        <w:t>路灯监控系统建成，路灯、亮化实现智能化管理确保了故障及时发现、及时处理，为保障市民夜间出入提供安全保证。</w:t>
      </w:r>
    </w:p>
    <w:p>
      <w:pPr>
        <w:pStyle w:val="4"/>
        <w:keepNext w:val="0"/>
        <w:keepLines w:val="0"/>
        <w:widowControl/>
        <w:suppressLineNumbers w:val="0"/>
        <w:spacing w:before="0" w:beforeAutospacing="0" w:after="0" w:afterAutospacing="0" w:line="33" w:lineRule="atLeast"/>
        <w:jc w:val="both"/>
        <w:rPr>
          <w:rFonts w:hint="eastAsia" w:ascii="仿宋" w:hAnsi="仿宋" w:eastAsia="仿宋" w:cs="仿宋"/>
          <w:sz w:val="32"/>
          <w:szCs w:val="32"/>
        </w:rPr>
      </w:pPr>
      <w:r>
        <w:rPr>
          <w:rFonts w:hint="eastAsia" w:ascii="仿宋" w:hAnsi="仿宋" w:eastAsia="仿宋" w:cs="仿宋"/>
          <w:sz w:val="32"/>
          <w:szCs w:val="32"/>
        </w:rPr>
        <w:t>（2）绩效管理、整章建制为项目管理提供了制度保证</w:t>
      </w:r>
      <w:r>
        <w:rPr>
          <w:rFonts w:hint="eastAsia" w:ascii="仿宋" w:hAnsi="仿宋" w:eastAsia="仿宋" w:cs="仿宋"/>
          <w:sz w:val="32"/>
          <w:szCs w:val="32"/>
          <w:lang w:eastAsia="zh-CN"/>
        </w:rPr>
        <w:t>，</w:t>
      </w:r>
      <w:r>
        <w:rPr>
          <w:rFonts w:hint="eastAsia" w:ascii="仿宋" w:hAnsi="仿宋" w:eastAsia="仿宋" w:cs="仿宋"/>
          <w:sz w:val="32"/>
          <w:szCs w:val="32"/>
        </w:rPr>
        <w:t>我</w:t>
      </w:r>
      <w:r>
        <w:rPr>
          <w:rFonts w:hint="eastAsia" w:ascii="仿宋" w:hAnsi="仿宋" w:eastAsia="仿宋" w:cs="仿宋"/>
          <w:sz w:val="32"/>
          <w:szCs w:val="32"/>
          <w:lang w:eastAsia="zh-CN"/>
        </w:rPr>
        <w:t>局</w:t>
      </w:r>
      <w:r>
        <w:rPr>
          <w:rFonts w:hint="eastAsia" w:ascii="仿宋" w:hAnsi="仿宋" w:eastAsia="仿宋" w:cs="仿宋"/>
          <w:sz w:val="32"/>
          <w:szCs w:val="32"/>
        </w:rPr>
        <w:t>制定了《201</w:t>
      </w:r>
      <w:r>
        <w:rPr>
          <w:rFonts w:hint="eastAsia" w:ascii="仿宋" w:hAnsi="仿宋" w:eastAsia="仿宋" w:cs="仿宋"/>
          <w:sz w:val="32"/>
          <w:szCs w:val="32"/>
          <w:lang w:val="en-US" w:eastAsia="zh-CN"/>
        </w:rPr>
        <w:t>9</w:t>
      </w:r>
      <w:r>
        <w:rPr>
          <w:rFonts w:hint="eastAsia" w:ascii="仿宋" w:hAnsi="仿宋" w:eastAsia="仿宋" w:cs="仿宋"/>
          <w:sz w:val="32"/>
          <w:szCs w:val="32"/>
        </w:rPr>
        <w:t>年度各部门目标管理考核细则方案 》</w:t>
      </w:r>
      <w:r>
        <w:rPr>
          <w:rFonts w:hint="eastAsia" w:ascii="仿宋" w:hAnsi="仿宋" w:eastAsia="仿宋" w:cs="仿宋"/>
          <w:sz w:val="32"/>
          <w:szCs w:val="32"/>
          <w:lang w:eastAsia="zh-CN"/>
        </w:rPr>
        <w:t>、</w:t>
      </w:r>
      <w:r>
        <w:rPr>
          <w:rFonts w:hint="eastAsia" w:ascii="仿宋" w:hAnsi="仿宋" w:eastAsia="仿宋" w:cs="仿宋"/>
          <w:sz w:val="32"/>
          <w:szCs w:val="32"/>
        </w:rPr>
        <w:t>《绩效考核方案》等系列管理制度，为确保</w:t>
      </w:r>
      <w:r>
        <w:rPr>
          <w:rFonts w:hint="eastAsia" w:ascii="仿宋" w:hAnsi="仿宋" w:eastAsia="仿宋" w:cs="仿宋"/>
          <w:sz w:val="32"/>
          <w:szCs w:val="32"/>
          <w:lang w:eastAsia="zh-CN"/>
        </w:rPr>
        <w:t>路灯及</w:t>
      </w:r>
      <w:r>
        <w:rPr>
          <w:rFonts w:hint="eastAsia" w:ascii="仿宋" w:hAnsi="仿宋" w:eastAsia="仿宋" w:cs="仿宋"/>
          <w:sz w:val="32"/>
          <w:szCs w:val="32"/>
        </w:rPr>
        <w:t>亮化设施完好率、亮灯率提供了制度保证。对一年的目标任务进行细化、量化，</w:t>
      </w:r>
      <w:r>
        <w:rPr>
          <w:rFonts w:hint="eastAsia" w:ascii="仿宋" w:hAnsi="仿宋" w:eastAsia="仿宋" w:cs="仿宋"/>
          <w:sz w:val="32"/>
          <w:szCs w:val="32"/>
          <w:lang w:eastAsia="zh-CN"/>
        </w:rPr>
        <w:t>由局考核督查科负责</w:t>
      </w:r>
      <w:r>
        <w:rPr>
          <w:rFonts w:hint="eastAsia" w:ascii="仿宋" w:hAnsi="仿宋" w:eastAsia="仿宋" w:cs="仿宋"/>
          <w:sz w:val="32"/>
          <w:szCs w:val="32"/>
        </w:rPr>
        <w:t>，每月自查的基础上，</w:t>
      </w:r>
      <w:r>
        <w:rPr>
          <w:rFonts w:hint="eastAsia" w:ascii="仿宋" w:hAnsi="仿宋" w:eastAsia="仿宋" w:cs="仿宋"/>
          <w:sz w:val="32"/>
          <w:szCs w:val="32"/>
          <w:lang w:eastAsia="zh-CN"/>
        </w:rPr>
        <w:t>考核督查科</w:t>
      </w:r>
      <w:r>
        <w:rPr>
          <w:rFonts w:hint="eastAsia" w:ascii="仿宋" w:hAnsi="仿宋" w:eastAsia="仿宋" w:cs="仿宋"/>
          <w:sz w:val="32"/>
          <w:szCs w:val="32"/>
        </w:rPr>
        <w:t>采取不定期的查、看、督等方式对</w:t>
      </w:r>
      <w:r>
        <w:rPr>
          <w:rFonts w:hint="eastAsia" w:ascii="仿宋" w:hAnsi="仿宋" w:eastAsia="仿宋" w:cs="仿宋"/>
          <w:sz w:val="32"/>
          <w:szCs w:val="32"/>
          <w:lang w:eastAsia="zh-CN"/>
        </w:rPr>
        <w:t>路灯管理</w:t>
      </w:r>
      <w:r>
        <w:rPr>
          <w:rFonts w:hint="eastAsia" w:ascii="仿宋" w:hAnsi="仿宋" w:eastAsia="仿宋" w:cs="仿宋"/>
          <w:sz w:val="32"/>
          <w:szCs w:val="32"/>
        </w:rPr>
        <w:t>工作进行全面考核和综合打分，并以此作为年终目标考核评优评先的重要依据。</w:t>
      </w:r>
    </w:p>
    <w:p>
      <w:pPr>
        <w:pStyle w:val="4"/>
        <w:keepNext w:val="0"/>
        <w:keepLines w:val="0"/>
        <w:widowControl/>
        <w:suppressLineNumbers w:val="0"/>
        <w:spacing w:before="0" w:beforeAutospacing="0" w:after="0" w:afterAutospacing="0" w:line="33" w:lineRule="atLeast"/>
        <w:jc w:val="both"/>
        <w:rPr>
          <w:rFonts w:hint="eastAsia" w:ascii="仿宋" w:hAnsi="仿宋" w:eastAsia="仿宋" w:cs="仿宋"/>
          <w:sz w:val="32"/>
          <w:szCs w:val="32"/>
        </w:rPr>
      </w:pPr>
      <w:r>
        <w:rPr>
          <w:rFonts w:hint="eastAsia" w:ascii="仿宋" w:hAnsi="仿宋" w:eastAsia="仿宋" w:cs="仿宋"/>
          <w:sz w:val="32"/>
          <w:szCs w:val="32"/>
        </w:rPr>
        <w:t>（3）完善的内控管理为项目管理保驾护行</w:t>
      </w:r>
    </w:p>
    <w:p>
      <w:pPr>
        <w:pStyle w:val="4"/>
        <w:keepNext w:val="0"/>
        <w:keepLines w:val="0"/>
        <w:widowControl/>
        <w:suppressLineNumbers w:val="0"/>
        <w:spacing w:before="0" w:beforeAutospacing="0" w:after="0" w:afterAutospacing="0" w:line="33" w:lineRule="atLeast"/>
        <w:jc w:val="both"/>
        <w:rPr>
          <w:rFonts w:hint="eastAsia" w:ascii="仿宋" w:hAnsi="仿宋" w:eastAsia="仿宋" w:cs="仿宋"/>
          <w:sz w:val="32"/>
          <w:szCs w:val="32"/>
        </w:rPr>
      </w:pPr>
      <w:r>
        <w:rPr>
          <w:rFonts w:hint="eastAsia" w:ascii="仿宋" w:hAnsi="仿宋" w:eastAsia="仿宋" w:cs="仿宋"/>
          <w:sz w:val="32"/>
          <w:szCs w:val="32"/>
        </w:rPr>
        <w:t>为确保资金合理、合规，从支付流程分析，每一笔维护支出经过经办人、部门负责人证明签字，资金支付经主管领导审批同意及财务负责人复核，并严格执行支出审核控制，重点审核单据来源是否合法，内容是否真实、完整，使用是否准确。保证了整个项目组织工作的高效性、约束性、风险控制性，为合法、合理、合规使用资金使用打下了夯实的基础。</w:t>
      </w:r>
    </w:p>
    <w:p>
      <w:pPr>
        <w:pStyle w:val="4"/>
        <w:keepNext w:val="0"/>
        <w:keepLines w:val="0"/>
        <w:widowControl/>
        <w:suppressLineNumbers w:val="0"/>
        <w:spacing w:before="0" w:beforeAutospacing="0" w:after="0" w:afterAutospacing="0" w:line="33" w:lineRule="atLeast"/>
        <w:jc w:val="both"/>
        <w:rPr>
          <w:rFonts w:hint="eastAsia" w:ascii="仿宋" w:hAnsi="仿宋" w:eastAsia="仿宋" w:cs="仿宋"/>
          <w:sz w:val="32"/>
          <w:szCs w:val="32"/>
        </w:rPr>
      </w:pPr>
      <w:r>
        <w:rPr>
          <w:rFonts w:hint="eastAsia" w:ascii="仿宋" w:hAnsi="仿宋" w:eastAsia="仿宋" w:cs="仿宋"/>
          <w:sz w:val="32"/>
          <w:szCs w:val="32"/>
        </w:rPr>
        <w:t>总体分析，路灯及公共亮化设施维护费专项资金的使用和管理做到了机构分工明确，工作流程实施合理，在执行风险控制方面有良好的约束机制。</w:t>
      </w:r>
    </w:p>
    <w:p>
      <w:pPr>
        <w:numPr>
          <w:ilvl w:val="0"/>
          <w:numId w:val="0"/>
        </w:numPr>
        <w:ind w:firstLine="320" w:firstLineChars="100"/>
        <w:rPr>
          <w:rFonts w:hint="eastAsia" w:ascii="仿宋_GB2312" w:eastAsia="仿宋_GB2312"/>
          <w:b/>
          <w:bCs/>
          <w:sz w:val="32"/>
          <w:szCs w:val="32"/>
          <w:lang w:val="en-US" w:eastAsia="zh-CN"/>
        </w:rPr>
      </w:pPr>
      <w:r>
        <w:rPr>
          <w:rFonts w:hint="eastAsia" w:ascii="楷体_GB2312" w:hAnsi="楷体_GB2312" w:eastAsia="楷体_GB2312" w:cs="楷体_GB2312"/>
          <w:b w:val="0"/>
          <w:bCs w:val="0"/>
          <w:sz w:val="32"/>
          <w:szCs w:val="32"/>
          <w:lang w:val="en-US" w:eastAsia="zh-CN"/>
        </w:rPr>
        <w:t>（三）项目产出</w:t>
      </w:r>
    </w:p>
    <w:tbl>
      <w:tblPr>
        <w:tblStyle w:val="5"/>
        <w:tblW w:w="8689" w:type="dxa"/>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Layout w:type="autofit"/>
        <w:tblCellMar>
          <w:top w:w="30" w:type="dxa"/>
          <w:left w:w="30" w:type="dxa"/>
          <w:bottom w:w="30" w:type="dxa"/>
          <w:right w:w="30" w:type="dxa"/>
        </w:tblCellMar>
      </w:tblPr>
      <w:tblGrid>
        <w:gridCol w:w="1036"/>
        <w:gridCol w:w="2208"/>
        <w:gridCol w:w="1380"/>
        <w:gridCol w:w="406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CellMar>
            <w:top w:w="30" w:type="dxa"/>
            <w:left w:w="30" w:type="dxa"/>
            <w:bottom w:w="30" w:type="dxa"/>
            <w:right w:w="30" w:type="dxa"/>
          </w:tblCellMar>
        </w:tblPrEx>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质量指标</w:t>
            </w: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路灯设施完好率</w:t>
            </w: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路灯设施完好率98%</w:t>
            </w:r>
          </w:p>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4"/>
                <w:szCs w:val="24"/>
              </w:rPr>
            </w:pP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亮灯率</w:t>
            </w: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98%</w:t>
            </w: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亮灯率98%</w:t>
            </w:r>
          </w:p>
          <w:p>
            <w:pPr>
              <w:pStyle w:val="4"/>
              <w:keepNext w:val="0"/>
              <w:keepLines w:val="0"/>
              <w:widowControl/>
              <w:suppressLineNumbers w:val="0"/>
              <w:spacing w:before="0" w:beforeAutospacing="0" w:after="0" w:afterAutospacing="0" w:line="33" w:lineRule="atLeast"/>
              <w:jc w:val="both"/>
              <w:rPr>
                <w:sz w:val="24"/>
                <w:szCs w:val="24"/>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时效指标</w:t>
            </w: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路灯日运行</w:t>
            </w: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10小时</w:t>
            </w: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路灯日运行10小时</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4"/>
                <w:szCs w:val="24"/>
              </w:rPr>
            </w:pP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公共亮化日运行</w:t>
            </w: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rFonts w:hint="eastAsia"/>
                <w:sz w:val="24"/>
                <w:szCs w:val="24"/>
                <w:lang w:val="en-US" w:eastAsia="zh-CN"/>
              </w:rPr>
              <w:t>2</w:t>
            </w:r>
            <w:r>
              <w:rPr>
                <w:sz w:val="24"/>
                <w:szCs w:val="24"/>
              </w:rPr>
              <w:t>小时</w:t>
            </w: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公共亮化日运行</w:t>
            </w:r>
            <w:r>
              <w:rPr>
                <w:rFonts w:hint="eastAsia"/>
                <w:sz w:val="24"/>
                <w:szCs w:val="24"/>
                <w:lang w:val="en-US" w:eastAsia="zh-CN"/>
              </w:rPr>
              <w:t>2</w:t>
            </w:r>
            <w:r>
              <w:rPr>
                <w:sz w:val="24"/>
                <w:szCs w:val="24"/>
              </w:rPr>
              <w:t>小时</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成本指标</w:t>
            </w: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控制支出在预算内</w:t>
            </w: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rFonts w:hint="eastAsia"/>
                <w:sz w:val="24"/>
                <w:szCs w:val="24"/>
                <w:lang w:val="en-US" w:eastAsia="zh-CN"/>
              </w:rPr>
              <w:t>30</w:t>
            </w:r>
            <w:r>
              <w:rPr>
                <w:sz w:val="24"/>
                <w:szCs w:val="24"/>
              </w:rPr>
              <w:t>万</w:t>
            </w: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4"/>
                <w:szCs w:val="24"/>
              </w:rPr>
            </w:pPr>
            <w:r>
              <w:rPr>
                <w:sz w:val="24"/>
                <w:szCs w:val="24"/>
              </w:rPr>
              <w:t>控制支出在预算内</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208"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380"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4065"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bl>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tbl>
      <w:tblPr>
        <w:tblStyle w:val="5"/>
        <w:tblW w:w="0" w:type="auto"/>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Layout w:type="autofit"/>
        <w:tblCellMar>
          <w:top w:w="30" w:type="dxa"/>
          <w:left w:w="30" w:type="dxa"/>
          <w:bottom w:w="30" w:type="dxa"/>
          <w:right w:w="30" w:type="dxa"/>
        </w:tblCellMar>
      </w:tblPr>
      <w:tblGrid>
        <w:gridCol w:w="1137"/>
        <w:gridCol w:w="1059"/>
        <w:gridCol w:w="1036"/>
        <w:gridCol w:w="1795"/>
        <w:gridCol w:w="1234"/>
        <w:gridCol w:w="2417"/>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auto"/>
          <w:tblCellMar>
            <w:top w:w="30" w:type="dxa"/>
            <w:left w:w="30" w:type="dxa"/>
            <w:bottom w:w="30" w:type="dxa"/>
            <w:right w:w="30" w:type="dxa"/>
          </w:tblCellMar>
        </w:tblPrEx>
        <w:tc>
          <w:tcPr>
            <w:tcW w:w="1137"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项目效益指标</w:t>
            </w: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经济效益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本项目为公益项目，非以盈利为目的。</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利为目的。</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社会效益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方便市民夜间出行</w:t>
            </w: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方便了市民夜间出行</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保障夜间交通安全</w:t>
            </w: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保障了夜间交通安全</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生态效益</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美化、亮化城市</w:t>
            </w: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美化、亮化了城市</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restart"/>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对象满意度</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指标</w:t>
            </w: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市民满意率</w:t>
            </w: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100%</w:t>
            </w: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pStyle w:val="4"/>
              <w:keepNext w:val="0"/>
              <w:keepLines w:val="0"/>
              <w:widowControl/>
              <w:suppressLineNumbers w:val="0"/>
              <w:spacing w:before="0" w:beforeAutospacing="0" w:after="0" w:afterAutospacing="0" w:line="33" w:lineRule="atLeast"/>
              <w:jc w:val="both"/>
              <w:rPr>
                <w:sz w:val="21"/>
                <w:szCs w:val="21"/>
              </w:rPr>
            </w:pPr>
            <w:r>
              <w:rPr>
                <w:sz w:val="21"/>
                <w:szCs w:val="21"/>
              </w:rPr>
              <w:t>市民满意率100%</w:t>
            </w:r>
          </w:p>
          <w:p>
            <w:pPr>
              <w:pStyle w:val="4"/>
              <w:keepNext w:val="0"/>
              <w:keepLines w:val="0"/>
              <w:widowControl/>
              <w:suppressLineNumbers w:val="0"/>
              <w:spacing w:before="0" w:beforeAutospacing="0" w:after="0" w:afterAutospacing="0" w:line="33" w:lineRule="atLeast"/>
              <w:jc w:val="both"/>
              <w:rPr>
                <w:sz w:val="21"/>
                <w:szCs w:val="21"/>
              </w:rPr>
            </w:pPr>
            <w:r>
              <w:rPr>
                <w:sz w:val="21"/>
                <w:szCs w:val="21"/>
              </w:rPr>
              <w:t>100%</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30" w:type="dxa"/>
            <w:left w:w="30" w:type="dxa"/>
            <w:bottom w:w="30" w:type="dxa"/>
            <w:right w:w="30" w:type="dxa"/>
          </w:tblCellMar>
        </w:tblPrEx>
        <w:tc>
          <w:tcPr>
            <w:tcW w:w="1137"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59"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036" w:type="dxa"/>
            <w:vMerge w:val="continue"/>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795"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1234"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c>
          <w:tcPr>
            <w:tcW w:w="2417" w:type="dxa"/>
            <w:tcBorders>
              <w:top w:val="outset" w:color="000000" w:sz="6" w:space="0"/>
              <w:left w:val="outset" w:color="000000" w:sz="6" w:space="0"/>
              <w:bottom w:val="outset" w:color="000000" w:sz="6" w:space="0"/>
              <w:right w:val="outset" w:color="000000" w:sz="6" w:space="0"/>
            </w:tcBorders>
            <w:shd w:val="clear" w:color="auto" w:fill="auto"/>
            <w:vAlign w:val="center"/>
          </w:tcPr>
          <w:p>
            <w:pPr>
              <w:rPr>
                <w:rFonts w:hint="eastAsia" w:ascii="宋体"/>
                <w:sz w:val="21"/>
                <w:szCs w:val="21"/>
              </w:rPr>
            </w:pPr>
          </w:p>
        </w:tc>
      </w:tr>
    </w:tbl>
    <w:p>
      <w:pPr>
        <w:numPr>
          <w:ilvl w:val="0"/>
          <w:numId w:val="0"/>
        </w:numPr>
        <w:ind w:firstLine="640" w:firstLineChars="200"/>
        <w:rPr>
          <w:rFonts w:hint="eastAsia" w:ascii="仿宋_GB2312" w:eastAsia="仿宋_GB2312"/>
          <w:b w:val="0"/>
          <w:bCs w:val="0"/>
          <w:sz w:val="32"/>
          <w:szCs w:val="32"/>
          <w:lang w:val="en-US" w:eastAsia="zh-CN"/>
        </w:rPr>
      </w:pP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pStyle w:val="4"/>
        <w:keepNext w:val="0"/>
        <w:keepLines w:val="0"/>
        <w:widowControl/>
        <w:suppressLineNumbers w:val="0"/>
        <w:spacing w:before="0" w:beforeAutospacing="0" w:after="0" w:afterAutospacing="0" w:line="33" w:lineRule="atLeast"/>
        <w:ind w:firstLine="640" w:firstLineChars="200"/>
        <w:jc w:val="both"/>
        <w:rPr>
          <w:rFonts w:hint="eastAsia" w:ascii="仿宋" w:hAnsi="仿宋" w:eastAsia="仿宋" w:cs="仿宋"/>
          <w:sz w:val="32"/>
          <w:szCs w:val="32"/>
        </w:rPr>
      </w:pPr>
      <w:r>
        <w:rPr>
          <w:rFonts w:hint="eastAsia" w:ascii="仿宋" w:hAnsi="仿宋" w:eastAsia="仿宋" w:cs="仿宋"/>
          <w:sz w:val="32"/>
          <w:szCs w:val="32"/>
        </w:rPr>
        <w:t>道路照明建设及公共亮化工程的实施方便了市民夜间出行，保障了夜间交通安全，得到了绝大多数市民的赞扬。每到夜晚，</w:t>
      </w:r>
      <w:r>
        <w:rPr>
          <w:rFonts w:hint="eastAsia" w:ascii="仿宋" w:hAnsi="仿宋" w:eastAsia="仿宋" w:cs="仿宋"/>
          <w:sz w:val="32"/>
          <w:szCs w:val="32"/>
          <w:lang w:eastAsia="zh-CN"/>
        </w:rPr>
        <w:t>十里画廊</w:t>
      </w:r>
      <w:r>
        <w:rPr>
          <w:rFonts w:hint="eastAsia" w:ascii="仿宋" w:hAnsi="仿宋" w:eastAsia="仿宋" w:cs="仿宋"/>
          <w:sz w:val="32"/>
          <w:szCs w:val="32"/>
        </w:rPr>
        <w:t>广场灯火通明，市民载歌载舞，喜笑颜开，媒体对此进行了大量的报道，市民满意率为100%。</w:t>
      </w:r>
    </w:p>
    <w:p>
      <w:pPr>
        <w:pStyle w:val="4"/>
        <w:keepNext w:val="0"/>
        <w:keepLines w:val="0"/>
        <w:widowControl/>
        <w:suppressLineNumbers w:val="0"/>
        <w:spacing w:before="0" w:beforeAutospacing="0" w:after="0" w:afterAutospacing="0" w:line="33" w:lineRule="atLeas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根据考核评分细则，考评组认为，路灯及公用亮化设施维护运行项目从整体上看做到了财政资金管理规范、项目管理到位、政策执行有力，有效发挥了财政资金的使用效率，综合考评得分等级为“优”。该项目的实施，保障了道路照明及公共亮化设施的正常运行，美化、亮化了城市，方便了市民夜间出行及夜间道路安全。在此基础上，我</w:t>
      </w:r>
      <w:r>
        <w:rPr>
          <w:rFonts w:hint="eastAsia" w:ascii="仿宋" w:hAnsi="仿宋" w:eastAsia="仿宋" w:cs="仿宋"/>
          <w:sz w:val="32"/>
          <w:szCs w:val="32"/>
          <w:lang w:eastAsia="zh-CN"/>
        </w:rPr>
        <w:t>局</w:t>
      </w:r>
      <w:r>
        <w:rPr>
          <w:rFonts w:hint="eastAsia" w:ascii="仿宋" w:hAnsi="仿宋" w:eastAsia="仿宋" w:cs="仿宋"/>
          <w:sz w:val="32"/>
          <w:szCs w:val="32"/>
        </w:rPr>
        <w:t>明年将争取资金，推动</w:t>
      </w:r>
      <w:r>
        <w:rPr>
          <w:rFonts w:hint="eastAsia" w:ascii="仿宋" w:hAnsi="仿宋" w:eastAsia="仿宋" w:cs="仿宋"/>
          <w:sz w:val="32"/>
          <w:szCs w:val="32"/>
          <w:lang w:eastAsia="zh-CN"/>
        </w:rPr>
        <w:t>道路</w:t>
      </w:r>
      <w:r>
        <w:rPr>
          <w:rFonts w:hint="eastAsia" w:ascii="仿宋" w:hAnsi="仿宋" w:eastAsia="仿宋" w:cs="仿宋"/>
          <w:sz w:val="32"/>
          <w:szCs w:val="32"/>
        </w:rPr>
        <w:t>路灯节能改造项目尽快启动，以实现节约电力资源，建设生态绿色城市的长远目标。</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（一）安全意识淡薄</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（二）加强安全意识，增加安全学习教育次数，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247" w:right="1531" w:bottom="1247" w:left="147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dlZmY1ZWQ5NTg1MzExNWIzYzA2ODViNDk4NDEifQ=="/>
  </w:docVars>
  <w:rsids>
    <w:rsidRoot w:val="2A2941B7"/>
    <w:rsid w:val="02BE333D"/>
    <w:rsid w:val="08187C55"/>
    <w:rsid w:val="099D51FF"/>
    <w:rsid w:val="0D8938F1"/>
    <w:rsid w:val="183A4B29"/>
    <w:rsid w:val="1E91185F"/>
    <w:rsid w:val="1ED72421"/>
    <w:rsid w:val="200F348C"/>
    <w:rsid w:val="216A1B9D"/>
    <w:rsid w:val="255F3510"/>
    <w:rsid w:val="2A2941B7"/>
    <w:rsid w:val="2E5D5938"/>
    <w:rsid w:val="2E69315E"/>
    <w:rsid w:val="2FB6027A"/>
    <w:rsid w:val="32A96561"/>
    <w:rsid w:val="34CC7FD9"/>
    <w:rsid w:val="367540D9"/>
    <w:rsid w:val="36C26774"/>
    <w:rsid w:val="36CD201C"/>
    <w:rsid w:val="37B20BB3"/>
    <w:rsid w:val="39237853"/>
    <w:rsid w:val="3C3B3E0A"/>
    <w:rsid w:val="3F0C58E5"/>
    <w:rsid w:val="4CD747E2"/>
    <w:rsid w:val="4F991ED5"/>
    <w:rsid w:val="51DF69A1"/>
    <w:rsid w:val="51F247E2"/>
    <w:rsid w:val="53EF08C1"/>
    <w:rsid w:val="55B0322E"/>
    <w:rsid w:val="562E1BCD"/>
    <w:rsid w:val="564D0309"/>
    <w:rsid w:val="56F94D0D"/>
    <w:rsid w:val="5D837571"/>
    <w:rsid w:val="5E475800"/>
    <w:rsid w:val="5FCE4AA5"/>
    <w:rsid w:val="5FF05775"/>
    <w:rsid w:val="618E7138"/>
    <w:rsid w:val="6858027D"/>
    <w:rsid w:val="69CB41BC"/>
    <w:rsid w:val="6ABD20DF"/>
    <w:rsid w:val="6F0126C3"/>
    <w:rsid w:val="70815235"/>
    <w:rsid w:val="736945E4"/>
    <w:rsid w:val="7779718A"/>
    <w:rsid w:val="780C2DEC"/>
    <w:rsid w:val="79AA4AB1"/>
    <w:rsid w:val="7CFF74AB"/>
    <w:rsid w:val="7F010A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2068</Words>
  <Characters>2173</Characters>
  <Lines>0</Lines>
  <Paragraphs>0</Paragraphs>
  <TotalTime>41</TotalTime>
  <ScaleCrop>false</ScaleCrop>
  <LinksUpToDate>false</LinksUpToDate>
  <CharactersWithSpaces>2223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2024-07-04T02:32:00Z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1649E6458A104C16AB59F206F84A39EA_13</vt:lpwstr>
  </property>
</Properties>
</file>