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4" w:name="_GoBack"/>
      <w:bookmarkEnd w:id="4"/>
      <w:r>
        <w:pict>
          <v:shape id="文本框 10" o:spid="_x0000_s1026" o:spt="202" type="#_x0000_t202" style="position:absolute;left:0pt;margin-left:106.25pt;margin-top:693.55pt;height:79.95pt;width:404.15pt;z-index:25166438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H5HpQEAABEDAAAOAAAAZHJzL2Uyb0RvYy54bWysUktu2zAQ3RfoHQjua0kOnBSC5SBpkG6K&#10;pEDaA9AUaREQOSyHtuQLpDfoqpvuey6fI0PasYNkV3QzJOfz5s0bzi9H27ONCmjANbyalJwpJ6E1&#10;btXw799uP3zkDKNwrejBqYZvFfLLxft388HXagod9K0KjEAc1oNveBejr4sCZaeswAl45SioIVgR&#10;6RlWRRvEQOi2L6ZleV4MEFofQCpE8t7sg3yR8bVWMt5rjSqyvuHELWYbsl0mWyzmol4F4TsjDzTE&#10;P7CwwjhqeoS6EVGwdTBvoKyRARB0nEiwBWhtpMoz0DRV+Wqah054lWchcdAfZcL/ByvvNl8DMy3t&#10;jjMnLK1o9+vn7vff3Z9HVmV9Bo81pT14SozjNYwpl3RLfiRnGnvUwaaTBmIUJ6W3R3XVGJkk56w6&#10;m16UM84kxaqymp2dzxJOcSr3AeNnBZalS8MDrS+rKjZfMO5Tn1NSNwe3pu+T/8Ql3eK4HA8El9Bu&#10;ifdAG244/liLoDgLsf8E+UMkFPRX60hIuUEq39ccUEn3TPHwR9JiX75z1uknL54AAAD//wMAUEsD&#10;BBQABgAIAAAAIQCAaDK74AAAAA4BAAAPAAAAZHJzL2Rvd25yZXYueG1sTI/NTsMwEITvSLyDtUjc&#10;qJ1AaBXiVBU/EgcuLeG+jbdJ1NiOYrdJ357tCW47mk+zM8V6tr040xg67zQkCwWCXO1N5xoN1ffH&#10;wwpEiOgM9t6RhgsFWJe3NwXmxk9uS+ddbASHuJCjhjbGIZcy1C1ZDAs/kGPv4EeLkeXYSDPixOG2&#10;l6lSz9Ji5/hDiwO9tlQfdyerIUazSS7Vuw2fP/PX29SqOsNK6/u7efMCItIc/2C41ufqUHKnvT85&#10;E0SvIU3SjFE2HlfLBMQVUaniOXu+sqelAlkW8v+M8hcAAP//AwBQSwECLQAUAAYACAAAACEAtoM4&#10;kv4AAADhAQAAEwAAAAAAAAAAAAAAAAAAAAAAW0NvbnRlbnRfVHlwZXNdLnhtbFBLAQItABQABgAI&#10;AAAAIQA4/SH/1gAAAJQBAAALAAAAAAAAAAAAAAAAAC8BAABfcmVscy8ucmVsc1BLAQItABQABgAI&#10;AAAAIQDrYH5HpQEAABEDAAAOAAAAAAAAAAAAAAAAAC4CAABkcnMvZTJvRG9jLnhtbFBLAQItABQA&#10;BgAIAAAAIQCAaDK74AAAAA4BAAAPAAAAAAAAAAAAAAAAAP8DAABkcnMvZG93bnJldi54bWxQSwUG&#10;AAAAAAQABADzAAAADA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二〇二〇年十一月四日</w:t>
                  </w:r>
                </w:p>
              </w:txbxContent>
            </v:textbox>
          </v:shape>
        </w:pict>
      </w:r>
      <w:r>
        <w:pict>
          <v:shape id="椭圆 8" o:spid="_x0000_s1027" o:spt="3" type="#_x0000_t3" style="position:absolute;left:0pt;margin-left:53.5pt;margin-top:232.45pt;height:121.95pt;width:121.95pt;z-index:251661312;v-text-anchor:middle;mso-width-relative:page;mso-height-relative:page;" fillcolor="#FFFFFF"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GDLCgIAAFgEAAAOAAAAZHJzL2Uyb0RvYy54bWysVEuO1DAQ3SNxB8t7OkmLgSbq9CxmNGwQ&#10;jBg4gNspdyz5J9t0py/AKViy5VhwDsp2kuYnFogsHFf51at6lXK216NW5Ag+SGs62qxqSsBw20tz&#10;6Oj7d3dPNpSEyEzPlDXQ0TMEer17/Gh7ci2s7WBVD54giQntyXV0iNG1VRX4AJqFlXVg8FBYr1lE&#10;0x+q3rMTsmtVrev6WXWyvnfecggBvbflkO4yvxDA4xshAkSiOoq1xbz6vO7TWu22rD145gbJpzLY&#10;P1ShmTSYdKG6ZZGRD17+RqUl9zZYEVfc6soKITlkDaimqX9R8zAwB1kLNie4pU3h/9Hy18d7T2Tf&#10;0ReUGKbxE337/OXrp49kk3pzcqFFyIO795MVcJuEjsLr9EYJZMz9PC/9hDESjs7m6unm+bqhhOPZ&#10;bCBPdQl3PsSXYDVJm46CUtKFpJm17PgqxIKeUckdrJL9nVQqG2lO4EZ5cmT4hfeHJlWN/D+hlElY&#10;Y1NUOU6eKokrcvIunhUknDJvQWBLUMA6F5KH8ZKEcQ4mNuVoYD2U3Fc1PnP2uaxcSyZMzALzL9wT&#10;wYwsJDN3qXLCp1DIs7wE138rrAQvETmzNXEJ1tJY/ycChaqmzAU/N6m0JnUpjvsxj0tGJs/e9mcc&#10;IR/VjS2XjBk+WLxjPPpMl1A4vrkX01VL9+NHOye6/BB23wEAAP//AwBQSwMEFAAGAAgAAAAhAG9A&#10;toLiAAAACwEAAA8AAABkcnMvZG93bnJldi54bWxMj81OwzAQhO9IvIO1SNyoDWnaEOJUiL9LgaoB&#10;CXFzY5NEjdeR7Tbh7VlOcNvRjma+KVaT7dnR+NA5lHA5E8AM1k532Eh4f3u8yICFqFCr3qGR8G0C&#10;rMrTk0Ll2o24NccqNoxCMORKQhvjkHMe6tZYFWZuMEi/L+etiiR9w7VXI4Xbnl8JseBWdUgNrRrM&#10;XWvqfXWwEp4/XveJT5/uNy8P67ESSdpV608pz8+m2xtg0Uzxzwy/+IQOJTHt3AF1YD1psaQtUcJ8&#10;Mb8GRo4kFXTsJCxFlgEvC/5/Q/kDAAD//wMAUEsBAi0AFAAGAAgAAAAhALaDOJL+AAAA4QEAABMA&#10;AAAAAAAAAAAAAAAAAAAAAFtDb250ZW50X1R5cGVzXS54bWxQSwECLQAUAAYACAAAACEAOP0h/9YA&#10;AACUAQAACwAAAAAAAAAAAAAAAAAvAQAAX3JlbHMvLnJlbHNQSwECLQAUAAYACAAAACEA77hgywoC&#10;AABYBAAADgAAAAAAAAAAAAAAAAAuAgAAZHJzL2Uyb0RvYy54bWxQSwECLQAUAAYACAAAACEAb0C2&#10;guIAAAALAQAADwAAAAAAAAAAAAAAAABkBAAAZHJzL2Rvd25yZXYueG1sUEsFBgAAAAAEAAQA8wAA&#10;AHMFAAAAAA==&#10;">
            <v:path/>
            <v:fill on="t" focussize="0,0"/>
            <v:stroke on="f" weight="1pt" joinstyle="miter"/>
            <v:imagedata o:title=""/>
            <o:lock v:ext="edit"/>
            <v:textbox>
              <w:txbxContent>
                <w:p>
                  <w:pPr>
                    <w:jc w:val="center"/>
                  </w:pPr>
                </w:p>
              </w:txbxContent>
            </v:textbox>
          </v:shape>
        </w:pict>
      </w:r>
      <w:r>
        <w:pict>
          <v:rect id="矩形 14" o:spid="_x0000_s1028" o:spt="1" style="position:absolute;left:0pt;margin-left:33.6pt;margin-top:256.75pt;height:69.6pt;width:160.65pt;z-index:25166643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byanwEAAAADAAAOAAAAZHJzL2Uyb0RvYy54bWysUktu2zAU3BfoHQjua8mM7biC6aBAkGyC&#10;NkDaA9AUaREQP+GjLfk0AbrrIXqcotfoI+UkRbsrunki9YbDmXncXI22J0cVwXjH6XxWU6Kc9K1x&#10;e06/fL55t6YEknCt6L1TnJ4U0Kvt2zebITSK+c73rYoESRw0Q+C0Syk0VQWyU1bAzAflsKl9tCLh&#10;Nu6rNooB2W1fsbpeVYOPbYheKgD8ez016bbwa61k+qQ1qER6TlFbKjWWusu12m5Es48idEaeZYh/&#10;UGGFcXjpC9W1SIIcovmLyhoZPXidZtLbymttpCoe0M28/sPNQyeCKl4wHAgvMcH/o5Ufj/eRmBZn&#10;t6TECYsz+vn07cf3r2S+yOkMARoEPYT7eN4BLrPVUUebv2iCjJwu2OqSYcQnTi/Yqr5kyylcNSYi&#10;sc/qRc2WeIlExHp98R7ByFi9EoUI6VZ5S/KC04jDK5mK4x2kCfoMwXNZ2CQlr9K4G4sN9ix659sT&#10;WhtwtpzC40HEHKXAMx8Oyd+YwpiPTsAzI8ZcNJ2fRJ7j7/uCen24218AAAD//wMAUEsDBBQABgAI&#10;AAAAIQCb66j14AAAAAoBAAAPAAAAZHJzL2Rvd25yZXYueG1sTI/dToNAEEbvTXyHzZh4Y+xSKj8i&#10;S2OqJrV3Yh9ggRGw7Cxhty2+vdMrvZvJd/LNmXw9m0GccHK9JQXLRQACqbZNT62C/efbfQrCeU2N&#10;Hiyhgh90sC6ur3KdNfZMH3gqfSu4hFymFXTej5mUru7QaLewIxJnX3Yy2vM6tbKZ9JnLzSDDIIil&#10;0T3xhU6PuOmwPpRHo+B997Dbb7by+/DYv9xtkzKQVfyq1O3N/PwEwuPs/2C46LM6FOxU2SM1TgwK&#10;4iRkUkG0XEUgGFilKQ8VJ1GYgCxy+f+F4hcAAP//AwBQSwECLQAUAAYACAAAACEAtoM4kv4AAADh&#10;AQAAEwAAAAAAAAAAAAAAAAAAAAAAW0NvbnRlbnRfVHlwZXNdLnhtbFBLAQItABQABgAIAAAAIQA4&#10;/SH/1gAAAJQBAAALAAAAAAAAAAAAAAAAAC8BAABfcmVscy8ucmVsc1BLAQItABQABgAIAAAAIQAC&#10;zbyanwEAAAADAAAOAAAAAAAAAAAAAAAAAC4CAABkcnMvZTJvRG9jLnhtbFBLAQItABQABgAIAAAA&#10;IQCb66j14AAAAAoBAAAPAAAAAAAAAAAAAAAAAPkDAABkcnMvZG93bnJldi54bWxQSwUGAAAAAAQA&#10;BADzAAAABg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29" o:spt="3" type="#_x0000_t3" style="position:absolute;left:0pt;margin-left:62.2pt;margin-top:242.75pt;height:103.45pt;width:103.45pt;z-index:251665408;v-text-anchor:middle;mso-width-relative:page;mso-height-relative:page;" fillcolor="#1F2959"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lQkHQIAAGUEAAAOAAAAZHJzL2Uyb0RvYy54bWysVEuOEzEQ3SNxB8t7pj8hkLTSmcWMwgbB&#10;iBkO4LjttCW3bdkm6VyAU7Bky7HgHFTZnR5+YoHIwnHZr175PZd7cz0OmhyFD8qallZXJSXCcNsp&#10;c2jp+4fdsxUlITLTMW2NaOlZBHq9ffpkc3KNqG1vdSc8ARITmpNraR+ja4oi8F4MLFxZJwxsSusH&#10;FiH0h6Lz7ATsgy7qsnxRnKzvnLdchACrt3mTbhO/lILHt1IGEYluKZwtptGncY9jsd2w5uCZ6xWf&#10;jsH+4RQDUwaKzlS3LDLywavfqAbFvQ1Wxituh8JKqbhIGkBNVf6i5r5nTiQtYE5ws03h/9HyN8c7&#10;T1QHdwf2GDbAHX37/OXrp49kjeacXGgAc+/u/BQFmKLSUfoB/0EDGVv6crVePweKc0sX5ape18vs&#10;rRgj4bBfLarFqlpSwgFxCYCyeGRyPsRXwg4EJy0VWisXUD9r2PF1iBl9QeFysFp1O6V1Cvxhf6M9&#10;OTK462pXr5dJART4CaYNgo3FtMyIKwUKzdLSLJ61QJw274QEf0BBnU6SOlPMdRjnwsQqb/WsE7n8&#10;soQfGoDVsZcxI0WJEJkl1J+5J4ILMpNcuDPNhMdUkRp7Ti7/drCcPGekytbEOXlQxvo/EWhQNVXO&#10;+ItJ2Rp0KY77MfXOApG4srfdGfrJR31j84tjhvcWHhyPPtEhCno5eTG9O3wsP8ap0OPXYfsdAAD/&#10;/wMAUEsDBBQABgAIAAAAIQAAye7k3wAAAAsBAAAPAAAAZHJzL2Rvd25yZXYueG1sTI/BTsMwEETv&#10;SPyDtUhcKuo0caomxKlQJc4oCQeObrwkEfY6it02/D3mBMfRPs28rY6rNeyKi58cSdhtE2BIvdMT&#10;DRLeu9enAzAfFGllHKGEb/RwrO/vKlVqd6MGr20YWCwhXyoJYwhzybnvR7TKb92MFG+fbrEqxLgM&#10;XC/qFsut4WmS7LlVE8WFUc14GrH/ai9WQrHqTefmOS8689Zq0Yhmc/qQ8vFhfXkGFnANfzD86kd1&#10;qKPT2V1Ie2ZiToWIqARxyHNgkciyXQbsLGFfpAJ4XfH/P9Q/AAAA//8DAFBLAQItABQABgAIAAAA&#10;IQC2gziS/gAAAOEBAAATAAAAAAAAAAAAAAAAAAAAAABbQ29udGVudF9UeXBlc10ueG1sUEsBAi0A&#10;FAAGAAgAAAAhADj9If/WAAAAlAEAAAsAAAAAAAAAAAAAAAAALwEAAF9yZWxzLy5yZWxzUEsBAi0A&#10;FAAGAAgAAAAhAPS6VCQdAgAAZQQAAA4AAAAAAAAAAAAAAAAALgIAAGRycy9lMm9Eb2MueG1sUEsB&#10;Ai0AFAAGAAgAAAAhAADJ7uTfAAAACwEAAA8AAAAAAAAAAAAAAAAAdwQAAGRycy9kb3ducmV2Lnht&#10;bFBLBQYAAAAABAAEAPMAAACDBQAAAAA=&#10;">
            <v:path/>
            <v:fill on="t" focussize="0,0"/>
            <v:stroke on="f" weight="1pt" joinstyle="miter"/>
            <v:imagedata o:title=""/>
            <o:lock v:ext="edit"/>
            <v:textbox>
              <w:txbxContent>
                <w:p>
                  <w:pPr>
                    <w:jc w:val="center"/>
                  </w:pPr>
                </w:p>
              </w:txbxContent>
            </v:textbox>
          </v:shape>
        </w:pict>
      </w:r>
      <w:r>
        <w:pict>
          <v:group id="组合 13" o:spid="_x0000_s1040" o:spt="203" style="position:absolute;left:0pt;margin-left:1.25pt;margin-top:821.7pt;height:21.45pt;width:595.25pt;z-index:251662336;mso-width-relative:page;mso-height-relative:page;" coordorigin="1483,16692" coordsize="1190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JQzswIAACwIAAAOAAAAZHJzL2Uyb0RvYy54bWzsVc1u1DAQviPxDlbubOKwv1F3K7HL9oKg&#10;ovAAruP8SI5t2e5m986BI2+AxK3PgHicitdgbCcpLSuEiiou7MEbe2a+mfk8Mz453Tcc7Zg2tRTL&#10;CI+SCDFBZV6Lchm9f7d9No+QsUTkhEvBltGBmeh09fTJSasylspK8pxpBCDCZK1aRpW1KotjQyvW&#10;EDOSigkQFlI3xMJWl3GuSQvoDY/TJJnGrdS50pIyY+B0E4TRyuMXBaP2TVEYZhFfRhCb9av266Vb&#10;49UJyUpNVFXTLgzygCgaUgtwOkBtiCXoSte/QDU11dLIwo6obGJZFDVlPgfIBif3sjnT8kr5XMqs&#10;LdVAE1B7j6cHw9LXu3ON6hzu7nmEBGngjr5//XDz6SOCA2CnVWUGSmdaXahz3R2UYecS3he6cf+Q&#10;Ctp7Xg8Dr2xvEYXD2WSymM4mEaIgS2fpGE8C8bSC23FmeDwH9yDF0+ki7YUvO3uMF0lnPU4XThr3&#10;jmMX3xBOq6CKzC1R5u+IuqiIYp5/4zjoiJoNPH2+vvn2BU1dQM4zqAwcmcwAXUcIOpZpzxPG6ZDm&#10;/E6aJFPa2DMmG+Q+lpGGyvYFR3avjA2M9CrOq5G8zrc1536jy8s112hHoAu2mxdrjDv0O2pcOGUh&#10;nVlAdCfAcJ+M/7IHzpweF29ZAZUDt5f6SHzPssEPoZQJi4OoIjkL7icJ/Hrvrsudhb9QD+iQC/A/&#10;YHcAvWYA6bFDlJ2+M2W+5Qfj5HeBBePBwnuWwg7GTS2kPgbAIavOc9DvSQrUOJYuZX6ActGWr2WY&#10;PETQSsLgoVZ7Y6cFpRoq59FrFqZw19uhZmcuBhfCH9VsOk0AoOtOPxWA6b43k9kcBqvr7HH6aEWL&#10;t+li0nf+/6L950Xrxy48Sb5xu+fTvXk/731X3D7yqx8AAAD//wMAUEsDBBQABgAIAAAAIQClXuEE&#10;4AAAAAwBAAAPAAAAZHJzL2Rvd25yZXYueG1sTI9Nb4JAEIbvTfofNtOkt7ogSpSyGGPankyTapPG&#10;2wojENlZwq6A/77DqT3OO0/ej3Qzmkb02LnakoJwFoBAym1RU6ng+/j+sgLhvKZCN5ZQwR0dbLLH&#10;h1QnhR3oC/uDLwWbkEu0gsr7NpHS5RUa7Wa2ReLfxXZGez67UhadHtjcNHIeBLE0uiZOqHSLuwrz&#10;6+FmFHwMethG4Vu/v15299Nx+fmzD1Gp56dx+wrC4+j/YJjqc3XIuNPZ3qhwolEwXzLIcryIFiAm&#10;IFxHvO48aas4Apml8v+I7BcAAP//AwBQSwECLQAUAAYACAAAACEAtoM4kv4AAADhAQAAEwAAAAAA&#10;AAAAAAAAAAAAAAAAW0NvbnRlbnRfVHlwZXNdLnhtbFBLAQItABQABgAIAAAAIQA4/SH/1gAAAJQB&#10;AAALAAAAAAAAAAAAAAAAAC8BAABfcmVscy8ucmVsc1BLAQItABQABgAIAAAAIQDfpJQzswIAACwI&#10;AAAOAAAAAAAAAAAAAAAAAC4CAABkcnMvZTJvRG9jLnhtbFBLAQItABQABgAIAAAAIQClXuEE4AAA&#10;AAwBAAAPAAAAAAAAAAAAAAAAAA0FAABkcnMvZG93bnJldi54bWxQSwUGAAAAAAQABADzAAAAGgYA&#10;AAAA&#10;">
            <o:lock v:ext="edit"/>
            <v:rect id="矩形 6" o:spid="_x0000_s1042" o:spt="1" style="position:absolute;left:1483;top:16692;height:428;width:1125;v-text-anchor:middle;" fillcolor="#FDBC11"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IaSxAAAANoAAAAPAAAAZHJzL2Rvd25yZXYueG1sRI/RasJA&#10;FETfC/2H5RZ8azYWbDV1Fa1YCipo9ANus9ckmL0bd7ea/n1XKPg4zMwZZjztTCMu5HxtWUE/SUEQ&#10;F1bXXCo47JfPQxA+IGtsLJOCX/IwnTw+jDHT9so7uuShFBHCPkMFVQhtJqUvKjLoE9sSR+9oncEQ&#10;pSuldniNcNPIlzR9lQZrjgsVtvRRUXHKf4wCN8hNSM/zzWhZUzH/XK+2w8W3Ur2nbvYOIlAX7uH/&#10;9pdW8Aa3K/EGyMkfAAAA//8DAFBLAQItABQABgAIAAAAIQDb4fbL7gAAAIUBAAATAAAAAAAAAAAA&#10;AAAAAAAAAABbQ29udGVudF9UeXBlc10ueG1sUEsBAi0AFAAGAAgAAAAhAFr0LFu/AAAAFQEAAAsA&#10;AAAAAAAAAAAAAAAAHwEAAF9yZWxzLy5yZWxzUEsBAi0AFAAGAAgAAAAhAHC4hpLEAAAA2gAAAA8A&#10;AAAAAAAAAAAAAAAABwIAAGRycy9kb3ducmV2LnhtbFBLBQYAAAAAAwADALcAAAD4AgAAAAA=&#10;">
              <v:path/>
              <v:fill on="t" focussize="0,0"/>
              <v:stroke on="f" weight="1pt"/>
              <v:imagedata o:title=""/>
              <o:lock v:ext="edit"/>
            </v:rect>
            <v:rect id="矩形 7" o:spid="_x0000_s1041" o:spt="1" style="position:absolute;left:2608;top:16693;height:428;width:10780;v-text-anchor:middle;" fillcolor="#1F2959"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NsRvwAAANoAAAAPAAAAZHJzL2Rvd25yZXYueG1sRE/LisIw&#10;FN0L/kO4wuw0VZhBalNRmYFZzGaq4PbS3D40uSlNrO3fTxYDLg/nne1Ha8RAvW8dK1ivEhDEpdMt&#10;1wou56/lFoQPyBqNY1IwkYd9Pp9lmGr35F8ailCLGMI+RQVNCF0qpS8bsuhXriOOXOV6iyHCvpa6&#10;x2cMt0ZukuRDWmw5NjTY0amh8l48rIJN2D6Ot/Y6mc7cBqzeq5/7p1TqbTEediACjeEl/nd/awVx&#10;a7wSb4DM/wAAAP//AwBQSwECLQAUAAYACAAAACEA2+H2y+4AAACFAQAAEwAAAAAAAAAAAAAAAAAA&#10;AAAAW0NvbnRlbnRfVHlwZXNdLnhtbFBLAQItABQABgAIAAAAIQBa9CxbvwAAABUBAAALAAAAAAAA&#10;AAAAAAAAAB8BAABfcmVscy8ucmVsc1BLAQItABQABgAIAAAAIQD0ONsRvwAAANoAAAAPAAAAAAAA&#10;AAAAAAAAAAcCAABkcnMvZG93bnJldi54bWxQSwUGAAAAAAMAAwC3AAAA8wIAAAAA&#10;">
              <v:path/>
              <v:fill on="t" focussize="0,0"/>
              <v:stroke on="f" weight="1pt"/>
              <v:imagedata o:title=""/>
              <o:lock v:ext="edit"/>
            </v:rect>
          </v:group>
        </w:pict>
      </w:r>
      <w:r>
        <w:pict>
          <v:group id="组合 4" o:spid="_x0000_s1030" o:spt="203" style="position:absolute;left:0pt;margin-left:-2.5pt;margin-top:0pt;height:308.5pt;width:600.25pt;z-index:-251649024;mso-width-relative:page;mso-height-relative:page;" coordorigin="13622,283" coordsize="12005,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yRm6AIAAAEHAAAOAAAAZHJzL2Uyb0RvYy54bWy8Vctu1DAU3SPxD5b3NI/Oo42aqWhLu0FQ&#10;UfgAj+M8pMQOtmeS2SNgyYoVEoIdEn+A+JyW3+D6kUwphUWRmIXHj/s899ybg8O+qdGaSVUJnuJo&#10;J8SIcSqyihcpfvH89MEeRkoTnpFacJbiDVP4cHH/3kHXJiwWpagzJhEY4Srp2hSXWrdJEChasoao&#10;HdEyDo+5kA3RcJRFkEnSgfWmDuIwnAWdkFkrBWVKwe2Je8QLaz/PGdVP81wxjeoUQ2zartKuS7MG&#10;iwOSFJK0ZUV9GOQOUTSk4uB0NHVCNEErWf1mqqmoFErkeoeKJhB5XlFmc4BsovBGNmdSrFqbS5F0&#10;RTvCBNDewOnOZumT9blEVZbiCUacNFCiH99eXb57iyYGm64tEhA5k+1Fey79ReFOJt0+l435h0RQ&#10;b1HdjKiyXiMKl/NZvBvNpxhReJuE++Fs7nGnJRTH6EW7szjGCN7jvV1XE1o+8voR1NlrzyaT2DwH&#10;g+fABDjG07VAIrXFSf0bThclaZmFXxkQPE6zEaePXy6/f0ZTh5MVGUFSiQK8bkHolkwHnK7nGTmI&#10;xjxJ0kqlz5hokNmkWAKzLeHI+rHSDpJBxLhVoq6y06qu7UEWy+NaojWBLjg9OTqOIo/iL2I1N8Jc&#10;GDVn0dwAxEM2dqc3NTNyNX/GcmAOlC+2kdieZaMfQinjOnJPJcmYcz8N4Td4N11uNGxFrUFjOQf/&#10;o21vYJB0RgbbLkovb1SZbflROfxbYE551LCeBdejclNxIW8zUENW3rOTH0By0BiUliLbAF+kro+F&#10;mzyE01LA4KFaWmXPVdNi/4G0UHDf3Vfv31x9+Hr16TWKbBmMeyC3YS7S/ZEw3WgCNPd/4vA8jvdt&#10;t07D2AoD8L5Z90JoYNvpQGE7Qu7O4S0Tt8GYne6XvR9ZPlAPdwdzPMXq5YpIhq+Bb0qr2ocrDdS2&#10;vWKsOB1fOpgadmfnrGWj/yaYQX79bKW2X67FTwAAAP//AwBQSwMEFAAGAAgAAAAhAOadYaTgAAAA&#10;CAEAAA8AAABkcnMvZG93bnJldi54bWxMj0FrwkAQhe+F/odlCr3pJtZITTMRkbYnKVQLxduYHZNg&#10;djdk1yT++66nenkwvOG972WrUTei587V1iDE0wgEm8Kq2pQIP/uPySsI58koaqxhhCs7WOWPDxml&#10;yg7mm/udL0UIMS4lhMr7NpXSFRVrclPbsgneyXaafDi7UqqOhhCuGzmLooXUVJvQUFHLm4qL8+6i&#10;ET4HGtYv8Xu/PZ8218M++frdxoz4/DSu30B4Hv3/M9zwAzrkgeloL0Y50SBMkjDFIwS9ufEySUAc&#10;ERbz+Qxknsn7AfkfAAAA//8DAFBLAQItABQABgAIAAAAIQC2gziS/gAAAOEBAAATAAAAAAAAAAAA&#10;AAAAAAAAAABbQ29udGVudF9UeXBlc10ueG1sUEsBAi0AFAAGAAgAAAAhADj9If/WAAAAlAEAAAsA&#10;AAAAAAAAAAAAAAAALwEAAF9yZWxzLy5yZWxzUEsBAi0AFAAGAAgAAAAhAAG3JGboAgAAAQcAAA4A&#10;AAAAAAAAAAAAAAAALgIAAGRycy9lMm9Eb2MueG1sUEsBAi0AFAAGAAgAAAAhAOadYaTgAAAACAEA&#10;AA8AAAAAAAAAAAAAAAAAQgUAAGRycy9kb3ducmV2LnhtbFBLBQYAAAAABAAEAPMAAABPBgAAAAA=&#10;">
            <o:lock v:ext="edit"/>
            <v:rect id="矩形 5" o:spid="_x0000_s1031" o:spt="1" style="position:absolute;left:13622;top:283;height:6170;width:12005;v-text-anchor:middle;" fillcolor="#FDBC11"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CMJwwAAANoAAAAPAAAAZHJzL2Rvd25yZXYueG1sRI/RagIx&#10;FETfBf8hXKFvmlWo6GoUtVgKraCrH3DdXHcXNzfbJNXt3zcFwcdhZs4w82VranEj5yvLCoaDBARx&#10;bnXFhYLTcdufgPABWWNtmRT8koflotuZY6rtnQ90y0IhIoR9igrKEJpUSp+XZNAPbEMcvYt1BkOU&#10;rpDa4T3CTS1HSTKWBiuOCyU2tCkpv2Y/RoF7zUxIvte76baifP3+9bmfvJ2Veum1qxmIQG14hh/t&#10;D61gDP9X4g2Qiz8AAAD//wMAUEsBAi0AFAAGAAgAAAAhANvh9svuAAAAhQEAABMAAAAAAAAAAAAA&#10;AAAAAAAAAFtDb250ZW50X1R5cGVzXS54bWxQSwECLQAUAAYACAAAACEAWvQsW78AAAAVAQAACwAA&#10;AAAAAAAAAAAAAAAfAQAAX3JlbHMvLnJlbHNQSwECLQAUAAYACAAAACEAH/QjCcMAAADaAAAADwAA&#10;AAAAAAAAAAAAAAAHAgAAZHJzL2Rvd25yZXYueG1sUEsFBgAAAAADAAMAtwAAAPcCAAAAAA==&#10;">
              <v:path/>
              <v:fill on="t" focussize="0,0"/>
              <v:stroke on="f" weight="1pt"/>
              <v:imagedata o:title=""/>
              <o:lock v:ext="edit"/>
            </v:rect>
            <v:shape id="_x0000_s1032" o:spid="_x0000_s1032" o:spt="202" type="#_x0000_t202" style="position:absolute;left:17229;top:5021;height:1392;width:8083;"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8KjvwAAANsAAAAPAAAAZHJzL2Rvd25yZXYueG1sRE9Na8JA&#10;EL0X/A/LCN7qJgVFUleRWsFDL9p4H7LTbGh2NmRHE/+9WxB6m8f7nPV29K26UR+bwAbyeQaKuAq2&#10;4dpA+X14XYGKgmyxDUwG7hRhu5m8rLGwYeAT3c5SqxTCsUADTqQrtI6VI49xHjrixP2E3qMk2Nfa&#10;9jikcN/qtyxbao8NpwaHHX04qn7PV29AxO7ye/np4/Eyfu0Hl1ULLI2ZTcfdOyihUf7FT/fRpvk5&#10;/P2SDtCbBwAAAP//AwBQSwECLQAUAAYACAAAACEA2+H2y+4AAACFAQAAEwAAAAAAAAAAAAAAAAAA&#10;AAAAW0NvbnRlbnRfVHlwZXNdLnhtbFBLAQItABQABgAIAAAAIQBa9CxbvwAAABUBAAALAAAAAAAA&#10;AAAAAAAAAB8BAABfcmVscy8ucmVsc1BLAQItABQABgAIAAAAIQClz8KjvwAAANsAAAAPAAAAAAAA&#10;AAAAAAAAAAcCAABkcnMvZG93bnJldi54bWxQSwUGAAAAAAMAAwC3AAAA8wI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31.25pt;width:339.65pt;mso-wrap-style:none;z-index:25166336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3SMjAEAAPMCAAAOAAAAZHJzL2Uyb0RvYy54bWysUktOwzAQ3SNxB8t7mqalUKKmFRKCDYJK&#10;hQO4jt1Yij/ymCY9DRI7DsFxENdg7JYWwQ6xGXs+fp73ZiazTjdkLTwoa0qa9/qUCMNtpcyqpI8P&#10;1ydjSiAwU7HGGlHSjQA6mx4fTVpXiIGtbVMJTxDEQNG6ktYhuCLLgNdCM+hZJwwmpfWaBXT9Kqs8&#10;axFdN9mg3z/LWusr5y0XABi92ibpNOFLKXi4lxJEIE1JsbeQrE92GW02nbBi5ZmrFd+1wf7QhWbK&#10;4Kd7qCsWGHny6heUVtxbsDL0uNWZlVJxkTggm7z/g82iZk4kLigOuL1M8H+w/G4990RVOLsBJYZp&#10;nNHH8+v72wvJ86hO66DAooWb+50HeI1UO+l1PJEE6ZKim72ioguEY/B0mA9HoxElHHPDi7Px+SiC&#10;ZofXzkO4EVaTeCmpx4klIdn6FsK29KsE38Vutv/HW+iWXeo9gcbI0lYb5NPiQEtqcOMSFrjLp2Cv&#10;VcI7lO3wUNnU0W4L4ui++6nqsKvTTwAAAP//AwBQSwMEFAAGAAgAAAAhAOBmafDhAAAADAEAAA8A&#10;AABkcnMvZG93bnJldi54bWxMj0FOwzAQRfdI3MEaJDaI2iRNWkKcCiGgUrui9ABuPCQW8TiKnTTc&#10;HncFy9E8/f9+uZltxyYcvHEk4WEhgCHVThtqJBw/3+7XwHxQpFXnCCX8oIdNdX1VqkK7M33gdAgN&#10;iyHkCyWhDaEvOPd1i1b5heuR4u/LDVaFeA4N14M6x3Db8USInFtlKDa0qseXFuvvw2glLN+T3au5&#10;E3tjp1Edd3wQW9pLeXszPz8BCziHPxgu+lEdquh0ciNpzzoJaf6YRVRCtkoTYBdCLNdxzUlCnmYr&#10;4FXJ/4+ofgEAAP//AwBQSwECLQAUAAYACAAAACEAtoM4kv4AAADhAQAAEwAAAAAAAAAAAAAAAAAA&#10;AAAAW0NvbnRlbnRfVHlwZXNdLnhtbFBLAQItABQABgAIAAAAIQA4/SH/1gAAAJQBAAALAAAAAAAA&#10;AAAAAAAAAC8BAABfcmVscy8ucmVsc1BLAQItABQABgAIAAAAIQACg3SMjAEAAPMCAAAOAAAAAAAA&#10;AAAAAAAAAC4CAABkcnMvZTJvRG9jLnhtbFBLAQItABQABgAIAAAAIQDgZmnw4QAAAAwBAAAPAAAA&#10;AAAAAAAAAAAAAOYDAABkcnMvZG93bnJldi54bWxQSwUGAAAAAAQABADzAAAA9A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ind w:firstLine="1980" w:firstLineChars="450"/>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鹿泉区民政局（本级）</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二〇二〇年十一月四日</w:t>
      </w:r>
    </w:p>
    <w:p>
      <w:pPr>
        <w:widowControl/>
        <w:spacing w:line="600" w:lineRule="exact"/>
        <w:jc w:val="left"/>
        <w:rPr>
          <w:rFonts w:ascii="黑体" w:hAnsi="黑体" w:eastAsia="黑体" w:cs="黑体"/>
          <w:bCs/>
          <w:sz w:val="32"/>
          <w:szCs w:val="32"/>
          <w:highlight w:val="yellow"/>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文本框 143" o:spid="_x0000_s1034" o:spt="202" type="#_x0000_t202" style="position:absolute;left:0pt;margin-left:-85.7pt;margin-top:80.7pt;height:263.1pt;width:613.65pt;z-index:251670528;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k/4vwIAAOgFAAAOAAAAZHJzL2Uyb0RvYy54bWysVMtuEzEU3SPxD5b3dPJsaNSkCo2CkCpa&#10;URBrx2MnIzy2sZ0XHwB/wIoNe76r38Gx59GUx6KIzYzte3zvuef63vOLfanIVjhfGD2h3ZMOJUJz&#10;kxd6NaHv3i6ePafEB6ZzpowWE3oQnl5Mnz4539mx6Jm1UblwBE60H+/shK5DsOMs83wtSuZPjBUa&#10;RmlcyQK2bpXlju3gvVRZr9M5zXbG5dYZLrzH6bwy0mnyL6Xg4VpKLwJREwpuIX1d+i7jN5ues/HK&#10;MbsueE2D/QOLkhUaQVtXcxYY2bjiN1dlwZ3xRoYTbsrMSFlwkXJANt3OL9ncrpkVKReI420rk/9/&#10;bvnr7Y0jRY7aDfqUaFaiSHdfv9x9+3H3/TOJh5BoZ/0YyFsLbNi/MHvAm3OPw5j5Xroy/pETgR1i&#10;H1qBxT4QjsPR6KzfHw4p4bD1+4Nuf5RKkN1ft86Hl8KUJC4m1KGCSVi2vfIBVABtIDGaZSEsCqVq&#10;uOVhmOBydakSLe9WSyzJluEFLBbzs9PTyBxuWsiyxcZXJ1r0cpWSBLRGxNh1vBhbabKDEL1RB8ny&#10;0kJEr1cpvDeqyCOviPs7hQewmNac+XVFNZlqpkqDcKxBpXVahYMSFYk3QqKASfIU7WESjHOhQ5OI&#10;0kBHlAS3x1ys8fGqSG31mMvtjRTZ6NBeLgttXKXYQ9r5h4ayrPCNAlXeUYKwX+7Ty00FjSdLkx/w&#10;Qp2p2txbvigg6hXz4YY59DXqhFkVrvGRyqB4pl5Rsjbu05/OIx7tBislO8wJ1PjjhjlBiXql0Yhn&#10;3cEgDpa0GQxHPWzcsWV5bNGb8tLgIXYxFS1Py4gPqllKZ8r3GGmzGBUmpjliTygPrtlchmp+YShy&#10;MZslGIYJXuaVvrU8Oo86azPbBCOL1DT36tQ6YpykJqhHX5xXx/uEuh/Q058AAAD//wMAUEsDBBQA&#10;BgAIAAAAIQD5eL0R4AAAAA0BAAAPAAAAZHJzL2Rvd25yZXYueG1sTI+xTsMwEIZ3JN7BOiS21klF&#10;nZDGqRASW5eWLmxufE0i4nMaO63L0+NMsN3p//Tfd+U2mJ5dcXSdJQnpMgGGVFvdUSPh+PmxyIE5&#10;r0ir3hJKuKODbfX4UKpC2xvt8XrwDYsl5AolofV+KDh3dYtGuaUdkGJ2tqNRPq5jw/WobrHc9HyV&#10;JIIb1VG80KoB31usvw+TkTBN2e7nEtxFHL/0bu9W+RDuuZTPT+FtA8xj8H8wzPpRHarodLITacd6&#10;CYs0S18iGxMxDzOSrNevwE4SRJ4J4FXJ/39R/QIAAP//AwBQSwECLQAUAAYACAAAACEAtoM4kv4A&#10;AADhAQAAEwAAAAAAAAAAAAAAAAAAAAAAW0NvbnRlbnRfVHlwZXNdLnhtbFBLAQItABQABgAIAAAA&#10;IQA4/SH/1gAAAJQBAAALAAAAAAAAAAAAAAAAAC8BAABfcmVscy8ucmVsc1BLAQItABQABgAIAAAA&#10;IQB3qk/4vwIAAOgFAAAOAAAAAAAAAAAAAAAAAC4CAABkcnMvZTJvRG9jLnhtbFBLAQItABQABgAI&#10;AAAAIQD5eL0R4AAAAA0BAAAPAAAAAAAAAAAAAAAAABkFAABkcnMvZG93bnJldi54bWxQSwUGAAAA&#10;AAQABADzAAAAJgYAAAAA&#10;">
            <v:path/>
            <v:fill type="pattern" on="t" color2="#FFFFFF" focussize="0,0" r:id="rId35"/>
            <v:stroke weight="1pt" color="#FFD966"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（一）主要部门职能</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1.贯彻执行民政工作的方针政策和法律法规；研究提出全区民政事业的发展规划和年度工作计划。负责全区民政信息宣传和政策理论研究工作，负责全区民政执法监督检查、行政复议工作。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2.提出和改进加强全区城乡基层政权建设的意见和建议；推进全区村委会、居委会等群众自治组织的民主政治建设；指导村（居）民委员会开展民主选举、民主决策、民主管理和民主监督工作；推动村（居）民自治、村（居）务公开；拟订社区发展规划、社区服务管理办法和促进社区发展的政策措施；指导社区服务体系建设。</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3.承担城乡社会救助体系建设；负责城乡居民最低生活保障、五保供养、临时救助和生活无着人员救助工作，以及其它特殊救济对象的救济、60年代精减退职职工40%的救济；负责指导全区敬老院的建设和管理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4.负责全区乡（镇）、村的区域划分，地名和行政区域界线管理工作；负责审核乡（镇）的设立、撤销、乡改镇、驻地迁移等工作的调查、论证、审核、报批；负责全区地名管理工作，组织实施地名公共服务工程，承办全区乡镇、村地名命名、更名的申报和审核工作，收集、整理、更新地名资料；协助有关部门做好全区边界线的勘察和边界纠纷的调查处理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5.负责全区扶贫开发工作。按照《鹿泉市扶贫开发规划》落实各扶贫重点村的扶贫项目，管好用好扶贫资金和物资；做好各级帮扶单位的协调、服务工作；完成扶贫培训任务，动员全社会开展扶贫济困活动；认真做好各种数据报表、文字材料上报工作；做好扶贫开发的信息宣传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6.拟订社会福利事业发展规划，做好各类福利机构的管理和服务工作；拟订加快养老服务社会化政策和老年福利设施建设规划；负责全区福利彩票销售管理工作；负责全区社会福利企业发展和管理工作，对社会福利生产企业进行指导和宏观管理。</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7.承担全区民办非企业及社团登记管理和监察责任；指导和监督全区社会团体和民办非企业单位的登记管理工作。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8.拟订全区慈善事业发展规划和政策，组织指导社会捐助工作；负责全区老年人、孤儿等特殊群体的权益保护行政管理工作。</w:t>
      </w:r>
    </w:p>
    <w:p>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9</w:t>
      </w:r>
      <w:r>
        <w:rPr>
          <w:rFonts w:hint="eastAsia" w:ascii="仿宋" w:hAnsi="仿宋" w:eastAsia="仿宋" w:cs="Times New Roman"/>
          <w:sz w:val="32"/>
          <w:szCs w:val="32"/>
        </w:rPr>
        <w:t>.主管婚姻登记、殡葬管理和儿童收养工作；推行婚俗和殡葬改革工作，负责殡葬事业单位的管理建设工作。</w:t>
      </w:r>
    </w:p>
    <w:p>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10</w:t>
      </w:r>
      <w:r>
        <w:rPr>
          <w:rFonts w:hint="eastAsia" w:ascii="仿宋" w:hAnsi="仿宋" w:eastAsia="仿宋" w:cs="Times New Roman"/>
          <w:sz w:val="32"/>
          <w:szCs w:val="32"/>
        </w:rPr>
        <w:t>.拟订加快养服务社会化政策和老年福利设施建设规划；协调老人维权工作；组织敬老爱老活动。</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1</w:t>
      </w:r>
      <w:r>
        <w:rPr>
          <w:rFonts w:ascii="仿宋" w:hAnsi="仿宋" w:eastAsia="仿宋" w:cs="Times New Roman"/>
          <w:sz w:val="32"/>
          <w:szCs w:val="32"/>
        </w:rPr>
        <w:t>1</w:t>
      </w:r>
      <w:r>
        <w:rPr>
          <w:rFonts w:hint="eastAsia" w:ascii="仿宋" w:hAnsi="仿宋" w:eastAsia="仿宋" w:cs="Times New Roman"/>
          <w:sz w:val="32"/>
          <w:szCs w:val="32"/>
        </w:rPr>
        <w:t>.拟订全区民政事业发展规划和民政事业资金管理办法；负责民政专项资金的管理监督；负责直属单位的内部审计工作；负责民政统计工作。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1</w:t>
      </w:r>
      <w:r>
        <w:rPr>
          <w:rFonts w:ascii="仿宋" w:hAnsi="仿宋" w:eastAsia="仿宋" w:cs="Times New Roman"/>
          <w:sz w:val="32"/>
          <w:szCs w:val="32"/>
        </w:rPr>
        <w:t>2</w:t>
      </w:r>
      <w:r>
        <w:rPr>
          <w:rFonts w:hint="eastAsia" w:ascii="仿宋" w:hAnsi="仿宋" w:eastAsia="仿宋" w:cs="Times New Roman"/>
          <w:sz w:val="32"/>
          <w:szCs w:val="32"/>
        </w:rPr>
        <w:t>.研究制定社会工作人才队伍建设规划，会同有关部门推进社会工作人才队伍建设。</w:t>
      </w:r>
    </w:p>
    <w:p>
      <w:pPr>
        <w:widowControl/>
        <w:spacing w:after="160" w:line="580" w:lineRule="exact"/>
        <w:ind w:firstLine="1273" w:firstLineChars="398"/>
        <w:rPr>
          <w:rFonts w:ascii="黑体" w:hAnsi="黑体" w:eastAsia="黑体" w:cs="Times New Roman"/>
          <w:sz w:val="32"/>
          <w:szCs w:val="32"/>
        </w:rPr>
      </w:pPr>
      <w:r>
        <w:rPr>
          <w:rFonts w:hint="eastAsia" w:ascii="黑体" w:hAnsi="黑体" w:eastAsia="黑体" w:cs="Times New Roman"/>
          <w:sz w:val="32"/>
          <w:szCs w:val="32"/>
        </w:rPr>
        <w:t>(二)机构情况，包括当年变动情况及原因。</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石家庄市鹿泉区民政局为财政全额拨款一级预算单位。</w:t>
      </w:r>
    </w:p>
    <w:p>
      <w:pPr>
        <w:widowControl/>
        <w:spacing w:after="160" w:line="580" w:lineRule="exact"/>
        <w:ind w:firstLine="1273" w:firstLineChars="398"/>
        <w:rPr>
          <w:rFonts w:ascii="黑体" w:hAnsi="黑体" w:eastAsia="黑体" w:cs="Times New Roman"/>
          <w:sz w:val="32"/>
          <w:szCs w:val="32"/>
        </w:rPr>
      </w:pPr>
      <w:r>
        <w:rPr>
          <w:rFonts w:hint="eastAsia" w:ascii="黑体" w:hAnsi="黑体" w:eastAsia="黑体" w:cs="Times New Roman"/>
          <w:sz w:val="32"/>
          <w:szCs w:val="32"/>
        </w:rPr>
        <w:t>（三）人员情况，包括当年变动情况及原因。</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行政编制1</w:t>
      </w:r>
      <w:r>
        <w:rPr>
          <w:rFonts w:ascii="仿宋" w:hAnsi="仿宋" w:eastAsia="仿宋" w:cs="Times New Roman"/>
          <w:sz w:val="32"/>
          <w:szCs w:val="32"/>
        </w:rPr>
        <w:t>1</w:t>
      </w:r>
      <w:r>
        <w:rPr>
          <w:rFonts w:hint="eastAsia" w:ascii="仿宋" w:hAnsi="仿宋" w:eastAsia="仿宋" w:cs="Times New Roman"/>
          <w:sz w:val="32"/>
          <w:szCs w:val="32"/>
        </w:rPr>
        <w:t>人、行政在职1</w:t>
      </w:r>
      <w:r>
        <w:rPr>
          <w:rFonts w:ascii="仿宋" w:hAnsi="仿宋" w:eastAsia="仿宋" w:cs="Times New Roman"/>
          <w:sz w:val="32"/>
          <w:szCs w:val="32"/>
        </w:rPr>
        <w:t>1</w:t>
      </w:r>
      <w:r>
        <w:rPr>
          <w:rFonts w:hint="eastAsia" w:ascii="仿宋" w:hAnsi="仿宋" w:eastAsia="仿宋" w:cs="Times New Roman"/>
          <w:sz w:val="32"/>
          <w:szCs w:val="32"/>
        </w:rPr>
        <w:t>人、事业编制</w:t>
      </w:r>
      <w:r>
        <w:rPr>
          <w:rFonts w:ascii="仿宋" w:hAnsi="仿宋" w:eastAsia="仿宋" w:cs="Times New Roman"/>
          <w:sz w:val="32"/>
          <w:szCs w:val="32"/>
        </w:rPr>
        <w:t>15</w:t>
      </w:r>
      <w:r>
        <w:rPr>
          <w:rFonts w:hint="eastAsia" w:ascii="仿宋" w:hAnsi="仿宋" w:eastAsia="仿宋" w:cs="Times New Roman"/>
          <w:sz w:val="32"/>
          <w:szCs w:val="32"/>
        </w:rPr>
        <w:t>人、事业在职</w:t>
      </w:r>
      <w:r>
        <w:rPr>
          <w:rFonts w:ascii="仿宋" w:hAnsi="仿宋" w:eastAsia="仿宋" w:cs="Times New Roman"/>
          <w:sz w:val="32"/>
          <w:szCs w:val="32"/>
        </w:rPr>
        <w:t>15</w:t>
      </w:r>
      <w:r>
        <w:rPr>
          <w:rFonts w:hint="eastAsia" w:ascii="仿宋" w:hAnsi="仿宋" w:eastAsia="仿宋" w:cs="Times New Roman"/>
          <w:sz w:val="32"/>
          <w:szCs w:val="32"/>
        </w:rPr>
        <w:t>人。</w:t>
      </w:r>
    </w:p>
    <w:p>
      <w:pPr>
        <w:widowControl/>
        <w:spacing w:after="160" w:line="580" w:lineRule="exact"/>
        <w:ind w:firstLine="1273" w:firstLineChars="398"/>
        <w:rPr>
          <w:rFonts w:ascii="黑体" w:hAnsi="黑体" w:eastAsia="黑体" w:cs="Times New Roman"/>
          <w:sz w:val="32"/>
          <w:szCs w:val="32"/>
        </w:rPr>
      </w:pPr>
      <w:r>
        <w:rPr>
          <w:rFonts w:hint="eastAsia" w:ascii="黑体" w:hAnsi="黑体" w:eastAsia="黑体" w:cs="Times New Roman"/>
          <w:sz w:val="32"/>
          <w:szCs w:val="32"/>
        </w:rPr>
        <w:t>二、当年取得的主要事业成效。</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（一）是加强沟通协调，做好预算经费的争取工作。积极争取各项民政资金，挖掘政策依据，科学编制部门预算，争取资金超额到位，确保传统项目经费的递增、新增项目经费的落实和单位人员经费的正常运转。</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（二）是加强预算实施管理，确保预算执行进度。积极配合相关科室和二级单位，做好各项专项指标的录入和项目资金的争取、分配和拨付工作。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（三）是强化预算执行分析，促进支出结构优化。通过加大治理“三公”经费支出力度等措施，努力降低行政成本，提高预算执行率和资金使用效益。</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（四）是建立鹿泉区民政局资金监管制度及内部审计制度。</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（五）是做好民政统计工作，提高统计数据质量。会同各相关科室，按月完成石家庄市民政局布置的各项统计工作任务，并确保数据真实，及时上传台账和报表。</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（六）是建章立制促规范。从制度上、程序上规范各项民政资金的管理、使用和发放。进一步健全完善机关财务管理制度，加大对各项制度的执行力度。</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（七）因机构改革调整调入出人员工资、经费、专项资金、固定资产及解决涉军遗留问题等。</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（八）是认真做好单位人员劳资工作。完成人员调入、调出工资审批及工作人员住房、医疗等个人缴费工作。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九）是做好固定资产管理工作。为加强固定资产管理，确保固定资产账账相符、账实相符，按照区财政局固定资产清查的有关规定，对我局所有固定资产进行了全面的检查登记，避免了固定资产流失现象的发生。</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十）接受石家庄市财政局惠农“一卡通”检查、鹿泉区审计局2015-2018年养老服务体系专项审计、石家庄财政局、农业农村局委派第三方对2015-2018涉农专项资金检查、鹿泉区审计局2018年涉军机构改革专项审计、晋州审计局互查2017-2018涉农“一卡通”检查、鹿泉区审计局2015.7-2018.12离任审计。</w:t>
      </w:r>
    </w:p>
    <w:p>
      <w:pPr>
        <w:widowControl/>
        <w:spacing w:line="580" w:lineRule="exact"/>
        <w:ind w:firstLine="640" w:firstLineChars="20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 w:hAnsi="仿宋" w:eastAsia="仿宋" w:cs="ArialUnicodeMS"/>
          <w:kern w:val="0"/>
          <w:sz w:val="32"/>
          <w:szCs w:val="32"/>
        </w:rPr>
      </w:pPr>
      <w:r>
        <w:rPr>
          <w:rFonts w:hint="eastAsia" w:ascii="仿宋" w:hAnsi="仿宋" w:eastAsia="仿宋" w:cs="ArialUnicodeMS"/>
          <w:kern w:val="0"/>
          <w:sz w:val="32"/>
          <w:szCs w:val="32"/>
        </w:rPr>
        <w:t>从决算编报单位构成看，纳入2019 年度本部门决算汇编范围的独立核算单位（以下简称“单位”）共</w:t>
      </w:r>
      <w:r>
        <w:rPr>
          <w:rFonts w:ascii="仿宋" w:hAnsi="仿宋" w:eastAsia="仿宋" w:cs="ArialUnicodeMS"/>
          <w:kern w:val="0"/>
          <w:sz w:val="32"/>
          <w:szCs w:val="32"/>
        </w:rPr>
        <w:t>1</w:t>
      </w:r>
      <w:r>
        <w:rPr>
          <w:rFonts w:hint="eastAsia" w:ascii="仿宋" w:hAnsi="仿宋" w:eastAsia="仿宋"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鹿泉区民政局(本级)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665" w:type="dxa"/>
          </w:tcPr>
          <w:p>
            <w:pPr>
              <w:tabs>
                <w:tab w:val="left" w:pos="370"/>
              </w:tabs>
              <w:spacing w:line="560" w:lineRule="exact"/>
              <w:rPr>
                <w:rFonts w:ascii="仿宋_GB2312" w:hAnsi="Calibri" w:eastAsia="仿宋_GB2312" w:cs="ArialUnicodeMS"/>
                <w:kern w:val="0"/>
                <w:sz w:val="28"/>
                <w:szCs w:val="28"/>
              </w:rPr>
            </w:pPr>
            <w:r>
              <w:rPr>
                <w:rFonts w:ascii="仿宋_GB2312" w:hAnsi="Calibri" w:eastAsia="仿宋_GB2312" w:cs="ArialUnicodeMS"/>
                <w:kern w:val="0"/>
                <w:sz w:val="28"/>
                <w:szCs w:val="28"/>
              </w:rPr>
              <w:tab/>
            </w: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highlight w:val="yellow"/>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22" w:type="first"/>
          <w:headerReference r:id="rId20" w:type="default"/>
          <w:footerReference r:id="rId2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文本框 151" o:spid="_x0000_s1035" o:spt="202" type="#_x0000_t202" style="position:absolute;left:0pt;margin-left:-85.7pt;margin-top:238.15pt;height:173.25pt;width:613.65pt;z-index:25167462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yveAIAACcFAAAOAAAAZHJzL2Uyb0RvYy54bWysVM1uEzEQviPxDpbvdPPb0CibKrQKQopo&#10;RUCcHa+drLA9xnayGx4A3oATF+48V56DsTebRoVLEZdde+abv29mPLmutSI74XwJJqfdiw4lwnAo&#10;SrPO6Yf38xcvKfGBmYIpMCKne+Hp9fT5s0llx6IHG1CFcASdGD+ubE43Idhxlnm+EZr5C7DCoFKC&#10;0yzg1a2zwrEKvWuV9Tqdy6wCV1gHXHiP0ttGSafJv5SChzspvQhE5RRzC+nr0ncVv9l0wsZrx+ym&#10;5Mc02D9koVlpMOjJ1S0LjGxd+YcrXXIHHmS44KAzkLLkItWA1XQ7j6pZbpgVqRYkx9sTTf7/ueVv&#10;d/eOlAX2btilxDCNTTp8/3b48evw8yuJQqSosn6MyKVFbKhfQY3wVu5RGCuvpdPxjzUR1CPZ+xPB&#10;og6Eo3A0uur3h0NKOOp62L/eaBj9ZA/m1vnwWoAm8ZBThx1MxLLdwocG2kJiNAPzUqnURWVIldPL&#10;/rCTDE4adK4MxohFNMmmU9grET0o805IZCDlHAVp9sSNcmTHcGoY58KEVG7yhOiIkhj2KYZHfDQV&#10;aS6fYnyySJHBhJOxLg24VO+jtItPbcqywbcMNHVHCkK9qlPrR20vV1DsscUOmj3xls9LbMOC+XDP&#10;HC4GdhWXPdzhRypAuuF4omQD7svf5BGP84paSipctJz6z1vmBCXqjcFJvuoOBnEz02UwHPXw4s41&#10;q3ON2eobwK7grGJ26RjxQbVH6UB/xDdhFqOiihmOsXMa2uNNaNYf3xQuZrMEwl20LCzM0vLoOrJs&#10;YLYNIMs0c5Gthpsji7iNaWqPL0dc9/N7Qj28b9PfAAAA//8DAFBLAwQUAAYACAAAACEAoATIKuUA&#10;AAANAQAADwAAAGRycy9kb3ducmV2LnhtbEyPTU+DQBRF9yb+h8kzcdcOYGkReTQNSWNidNHajbsH&#10;MwXifCAzbdFf73Sly5d7cu95xXrSip3l6HprEOJ5BEyaxoretAiH9+0sA+Y8GUHKGonwLR2sy9ub&#10;gnJhL2Ynz3vfslBiXE4InfdDzrlrOqnJze0gTciOdtTkwzm2XIx0CeVa8SSKllxTb8JCR4OsOtl8&#10;7k8a4aXavtGuTnT2o6rn1+Nm+Dp8pIj3d9PmCZiXk/+D4aof1KEMTrU9GeGYQpjFq3gRWITFavkA&#10;7IpEafoIrEbIkiQDXhb8/xflLwAAAP//AwBQSwECLQAUAAYACAAAACEAtoM4kv4AAADhAQAAEwAA&#10;AAAAAAAAAAAAAAAAAAAAW0NvbnRlbnRfVHlwZXNdLnhtbFBLAQItABQABgAIAAAAIQA4/SH/1gAA&#10;AJQBAAALAAAAAAAAAAAAAAAAAC8BAABfcmVscy8ucmVsc1BLAQItABQABgAIAAAAIQBNyEyveAIA&#10;ACcFAAAOAAAAAAAAAAAAAAAAAC4CAABkcnMvZTJvRG9jLnhtbFBLAQItABQABgAIAAAAIQCgBMgq&#10;5QAAAA0BAAAPAAAAAAAAAAAAAAAAANIEAABkcnMvZG93bnJldi54bWxQSwUGAAAAAAQABADzAAAA&#10;5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文本框 187" o:spid="_x0000_s1036" o:spt="202" type="#_x0000_t202" style="position:absolute;left:0pt;margin-left:-90.8pt;margin-top:4.35pt;height:263.1pt;width:613.65pt;z-index:251688960;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oBswIAAMMFAAAOAAAAZHJzL2Uyb0RvYy54bWysVM1uEzEQviPxDpbvdJPmr426qUKrIKSK&#10;VhTE2eu1kxVej7Gd7IYHKG/AiQt3nqvPwdj705SfQxGXXdvzeeabzzNzdl6XiuyEdQXolA6PBpQI&#10;zSEv9Dql79+tXpxQ4jzTOVOgRUr3wtHzxfNnZ5WZi2PYgMqFJehEu3llUrrx3syTxPGNKJk7AiM0&#10;GiXYknnc2nWSW1ah91Ilx4PBNKnA5sYCF87h6WVjpIvoX0rB/bWUTniiUorcfPza+M3CN1mcsfna&#10;MrMpeEuD/QOLkhUag/auLplnZGuL31yVBbfgQPojDmUCUhZcxBwwm+Hgl2xuN8yImAuK40wvk/t/&#10;bvmb3Y0lRY5vdzKjRLMSH+n+65f7bz/uv9+RcIgSVcbNEXlrEOvrl1AjvDt3eBgyr6Utwx9zImhH&#10;sfe9wKL2hOPhbHY6Gk0mlHC0jUbj4WgWnyB5uG6s868ElCQsUmrxBaOwbHflPFJBaAcJ0QzzflUo&#10;1cIN95MIl+sLFWk5u85wSXYMK2C1ujydTgNzdNNDsh4bqk706Gwdk0Roiwix23ghttKkSul0NBnE&#10;kA5UkQcuwfb3sAcw9Kc0cgnyNjLGld8r0fh/KyS+TVQzOn3Mj3EutO84Ko3ogJJI4SkXW3y4KmLH&#10;POVyfyNGBu37y2WhwTbCPKadf+woywbfKdDkHSTwdVbHojzpqiyDfI/FZ6HpYGf4qsACuWLO3zCL&#10;LYv1hmPIX+NHKsB3gXZFyQbs5z+dBzx2ElopqXAEpNR92jIrKFGvNfbY6XA8DjMjbsaT2TFu7KEl&#10;O7TobXkBWGNDHHiGx2XAe9UtpYXyA06rZYiKJqY5xk4p97bbXPhmNOG842K5jDCcE1h0V/rW8OA8&#10;6KxhufUgi9gPQa9GnVZHnBSxvtupFkbR4T6iHmbv4icAAAD//wMAUEsDBBQABgAIAAAAIQBs+DlR&#10;4AAAAAsBAAAPAAAAZHJzL2Rvd25yZXYueG1sTI/BTsMwDIbvSLxDZCQuaEsLWyml7gRISLtucBi3&#10;rDFt1cSpmqwrb092gpstf/r9/eVmtkZMNPrOMUK6TEAQ10533CB8frwvchA+KNbKOCaEH/Kwqa6v&#10;SlVod+YdTfvQiBjCvlAIbQhDIaWvW7LKL91AHG/fbrQqxHVspB7VOYZbI++TJJNWdRw/tGqgt5bq&#10;fn+yCGag8HXYmi4Pr/2U3e10f9gGxNub+eUZRKA5/MFw0Y/qUEWnozux9sIgLNI8zSKLkD+CuADJ&#10;ah2nI8L6YfUEsirl/w7VLwAAAP//AwBQSwECLQAUAAYACAAAACEAtoM4kv4AAADhAQAAEwAAAAAA&#10;AAAAAAAAAAAAAAAAW0NvbnRlbnRfVHlwZXNdLnhtbFBLAQItABQABgAIAAAAIQA4/SH/1gAAAJQB&#10;AAALAAAAAAAAAAAAAAAAAC8BAABfcmVscy8ucmVsc1BLAQItABQABgAIAAAAIQAEXpoBswIAAMMF&#10;AAAOAAAAAAAAAAAAAAAAAC4CAABkcnMvZTJvRG9jLnhtbFBLAQItABQABgAIAAAAIQBs+DlR4AAA&#10;AAsBAAAPAAAAAAAAAAAAAAAAAA0FAABkcnMvZG93bnJldi54bWxQSwUGAAAAAAQABADzAAAAGgYA&#10;AAAA&#10;">
            <v:path/>
            <v:fill type="pattern" on="t" color2="#FFFFFF" focussize="0,0" r:id="rId35"/>
            <v:stroke weight="0.5pt" color="#FFD966"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numPr>
          <w:ilvl w:val="0"/>
          <w:numId w:val="1"/>
        </w:numPr>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收入支出决算总体情况说明</w:t>
      </w:r>
    </w:p>
    <w:p>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DengXian-Regular"/>
          <w:sz w:val="32"/>
          <w:szCs w:val="32"/>
        </w:rPr>
        <w:t>收入支出决算总体情况年初结转和结余1003.38万元，本年度决算收入5969.47万元，本年度决算支出5836.38万元，年末结转结余1136.47万元，与2018年度决算相比，本年度收入减少4609.8万元，减小43.57%主要原因是2019年因机构改革涉军、宗教、老龄办职能划走项目及人员经费相应划走所至。</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 w:hAnsi="仿宋" w:eastAsia="仿宋" w:cs="DengXian-Regular"/>
          <w:sz w:val="32"/>
          <w:szCs w:val="32"/>
          <w:highlight w:val="yellow"/>
        </w:rPr>
      </w:pPr>
      <w:r>
        <w:rPr>
          <w:rFonts w:hint="eastAsia" w:ascii="仿宋" w:hAnsi="仿宋" w:eastAsia="仿宋" w:cs="DengXian-Regular"/>
          <w:sz w:val="32"/>
          <w:szCs w:val="32"/>
        </w:rPr>
        <w:t>本部门2019年度本年收入合计</w:t>
      </w:r>
      <w:r>
        <w:rPr>
          <w:rFonts w:ascii="仿宋" w:hAnsi="仿宋" w:eastAsia="仿宋" w:cs="DengXian-Regular"/>
          <w:sz w:val="32"/>
          <w:szCs w:val="32"/>
        </w:rPr>
        <w:t>5969.47</w:t>
      </w:r>
      <w:r>
        <w:rPr>
          <w:rFonts w:hint="eastAsia" w:ascii="仿宋" w:hAnsi="仿宋" w:eastAsia="仿宋" w:cs="DengXian-Regular"/>
          <w:sz w:val="32"/>
          <w:szCs w:val="32"/>
        </w:rPr>
        <w:t>万元，其中：财政拨款收入</w:t>
      </w:r>
      <w:r>
        <w:rPr>
          <w:rFonts w:ascii="仿宋" w:hAnsi="仿宋" w:eastAsia="仿宋" w:cs="DengXian-Regular"/>
          <w:sz w:val="32"/>
          <w:szCs w:val="32"/>
        </w:rPr>
        <w:t>5467.73</w:t>
      </w:r>
      <w:r>
        <w:rPr>
          <w:rFonts w:hint="eastAsia" w:ascii="仿宋" w:hAnsi="仿宋" w:eastAsia="仿宋" w:cs="DengXian-Regular"/>
          <w:sz w:val="32"/>
          <w:szCs w:val="32"/>
        </w:rPr>
        <w:t>万元，占</w:t>
      </w:r>
      <w:r>
        <w:rPr>
          <w:rFonts w:ascii="仿宋" w:hAnsi="仿宋" w:eastAsia="仿宋" w:cs="DengXian-Regular"/>
          <w:sz w:val="32"/>
          <w:szCs w:val="32"/>
        </w:rPr>
        <w:t>91.6</w:t>
      </w:r>
      <w:r>
        <w:rPr>
          <w:rFonts w:hint="eastAsia" w:ascii="仿宋" w:hAnsi="仿宋" w:eastAsia="仿宋" w:cs="DengXian-Regular"/>
          <w:sz w:val="32"/>
          <w:szCs w:val="32"/>
        </w:rPr>
        <w:t>%；政府性基金收入3</w:t>
      </w:r>
      <w:r>
        <w:rPr>
          <w:rFonts w:ascii="仿宋" w:hAnsi="仿宋" w:eastAsia="仿宋" w:cs="DengXian-Regular"/>
          <w:sz w:val="32"/>
          <w:szCs w:val="32"/>
        </w:rPr>
        <w:t>91.71</w:t>
      </w:r>
      <w:r>
        <w:rPr>
          <w:rFonts w:hint="eastAsia" w:ascii="仿宋" w:hAnsi="仿宋" w:eastAsia="仿宋" w:cs="DengXian-Regular"/>
          <w:sz w:val="32"/>
          <w:szCs w:val="32"/>
        </w:rPr>
        <w:t>万元，占</w:t>
      </w:r>
      <w:r>
        <w:rPr>
          <w:rFonts w:ascii="仿宋" w:hAnsi="仿宋" w:eastAsia="仿宋" w:cs="DengXian-Regular"/>
          <w:sz w:val="32"/>
          <w:szCs w:val="32"/>
        </w:rPr>
        <w:t>6.56</w:t>
      </w:r>
      <w:r>
        <w:rPr>
          <w:rFonts w:hint="eastAsia" w:ascii="仿宋" w:hAnsi="仿宋" w:eastAsia="仿宋" w:cs="DengXian-Regular"/>
          <w:sz w:val="32"/>
          <w:szCs w:val="32"/>
        </w:rPr>
        <w:t>%；其他收入</w:t>
      </w:r>
      <w:r>
        <w:rPr>
          <w:rFonts w:ascii="仿宋" w:hAnsi="仿宋" w:eastAsia="仿宋" w:cs="DengXian-Regular"/>
          <w:sz w:val="32"/>
          <w:szCs w:val="32"/>
        </w:rPr>
        <w:t>110.03</w:t>
      </w:r>
      <w:r>
        <w:rPr>
          <w:rFonts w:hint="eastAsia" w:ascii="仿宋" w:hAnsi="仿宋" w:eastAsia="仿宋" w:cs="DengXian-Regular"/>
          <w:sz w:val="32"/>
          <w:szCs w:val="32"/>
        </w:rPr>
        <w:t>万元，占</w:t>
      </w:r>
      <w:r>
        <w:rPr>
          <w:rFonts w:ascii="仿宋" w:hAnsi="仿宋" w:eastAsia="仿宋" w:cs="DengXian-Regular"/>
          <w:sz w:val="32"/>
          <w:szCs w:val="32"/>
        </w:rPr>
        <w:t>1.84</w:t>
      </w:r>
      <w:r>
        <w:rPr>
          <w:rFonts w:hint="eastAsia" w:ascii="仿宋" w:hAnsi="仿宋" w:eastAsia="仿宋"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2032" behindDoc="0" locked="0" layoutInCell="1" allowOverlap="1">
            <wp:simplePos x="0" y="0"/>
            <wp:positionH relativeFrom="column">
              <wp:posOffset>928370</wp:posOffset>
            </wp:positionH>
            <wp:positionV relativeFrom="paragraph">
              <wp:posOffset>233045</wp:posOffset>
            </wp:positionV>
            <wp:extent cx="3204210" cy="2877185"/>
            <wp:effectExtent l="4445" t="4445" r="10795" b="13970"/>
            <wp:wrapTopAndBottom/>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本部门2019年度本年支出合计</w:t>
      </w:r>
      <w:r>
        <w:rPr>
          <w:rFonts w:ascii="仿宋" w:hAnsi="仿宋" w:eastAsia="仿宋" w:cs="DengXian-Regular"/>
          <w:sz w:val="32"/>
          <w:szCs w:val="32"/>
        </w:rPr>
        <w:t>5836.38</w:t>
      </w:r>
      <w:r>
        <w:rPr>
          <w:rFonts w:hint="eastAsia" w:ascii="仿宋" w:hAnsi="仿宋" w:eastAsia="仿宋" w:cs="DengXian-Regular"/>
          <w:sz w:val="32"/>
          <w:szCs w:val="32"/>
        </w:rPr>
        <w:t>万元，其中：基本支出</w:t>
      </w:r>
      <w:r>
        <w:rPr>
          <w:rFonts w:ascii="仿宋" w:hAnsi="仿宋" w:eastAsia="仿宋" w:cs="DengXian-Regular"/>
          <w:sz w:val="32"/>
          <w:szCs w:val="32"/>
        </w:rPr>
        <w:t>851.79</w:t>
      </w:r>
      <w:r>
        <w:rPr>
          <w:rFonts w:hint="eastAsia" w:ascii="仿宋" w:hAnsi="仿宋" w:eastAsia="仿宋" w:cs="DengXian-Regular"/>
          <w:sz w:val="32"/>
          <w:szCs w:val="32"/>
        </w:rPr>
        <w:t>万元，占</w:t>
      </w:r>
      <w:r>
        <w:rPr>
          <w:rFonts w:ascii="仿宋" w:hAnsi="仿宋" w:eastAsia="仿宋" w:cs="DengXian-Regular"/>
          <w:sz w:val="32"/>
          <w:szCs w:val="32"/>
        </w:rPr>
        <w:t>14.59</w:t>
      </w:r>
      <w:r>
        <w:rPr>
          <w:rFonts w:hint="eastAsia" w:ascii="仿宋" w:hAnsi="仿宋" w:eastAsia="仿宋" w:cs="DengXian-Regular"/>
          <w:sz w:val="32"/>
          <w:szCs w:val="32"/>
        </w:rPr>
        <w:t>%；项目支出</w:t>
      </w:r>
      <w:r>
        <w:rPr>
          <w:rFonts w:ascii="仿宋" w:hAnsi="仿宋" w:eastAsia="仿宋" w:cs="DengXian-Regular"/>
          <w:sz w:val="32"/>
          <w:szCs w:val="32"/>
        </w:rPr>
        <w:t>4984.59</w:t>
      </w:r>
      <w:r>
        <w:rPr>
          <w:rFonts w:hint="eastAsia" w:ascii="仿宋" w:hAnsi="仿宋" w:eastAsia="仿宋" w:cs="DengXian-Regular"/>
          <w:sz w:val="32"/>
          <w:szCs w:val="32"/>
        </w:rPr>
        <w:t>万元，占</w:t>
      </w:r>
      <w:r>
        <w:rPr>
          <w:rFonts w:ascii="仿宋" w:hAnsi="仿宋" w:eastAsia="仿宋" w:cs="DengXian-Regular"/>
          <w:sz w:val="32"/>
          <w:szCs w:val="32"/>
        </w:rPr>
        <w:t>85.41</w:t>
      </w:r>
      <w:r>
        <w:rPr>
          <w:rFonts w:hint="eastAsia" w:ascii="仿宋" w:hAnsi="仿宋" w:eastAsia="仿宋" w:cs="DengXian-Regular"/>
          <w:sz w:val="32"/>
          <w:szCs w:val="32"/>
        </w:rPr>
        <w:t>%；。如图所示：</w:t>
      </w:r>
    </w:p>
    <w:p>
      <w:pPr>
        <w:adjustRightInd w:val="0"/>
        <w:snapToGrid w:val="0"/>
        <w:spacing w:line="580" w:lineRule="exact"/>
        <w:ind w:firstLine="1920" w:firstLineChars="600"/>
        <w:rPr>
          <w:rFonts w:ascii="黑体" w:hAnsi="Calibri" w:eastAsia="黑体" w:cs="Times New Roman"/>
          <w:b/>
          <w:bCs/>
          <w:sz w:val="32"/>
          <w:szCs w:val="32"/>
        </w:rPr>
      </w:pPr>
      <w:r>
        <w:rPr>
          <w:rFonts w:hint="eastAsia" w:ascii="仿宋_GB2312" w:hAnsi="Times New Roman" w:eastAsia="仿宋_GB2312" w:cs="DengXian-Regular"/>
          <w:sz w:val="32"/>
          <w:szCs w:val="32"/>
        </w:rPr>
        <w:drawing>
          <wp:anchor distT="0" distB="0" distL="114300" distR="114300" simplePos="0" relativeHeight="251693056" behindDoc="0" locked="0" layoutInCell="1" allowOverlap="1">
            <wp:simplePos x="0" y="0"/>
            <wp:positionH relativeFrom="column">
              <wp:posOffset>1433195</wp:posOffset>
            </wp:positionH>
            <wp:positionV relativeFrom="paragraph">
              <wp:posOffset>135890</wp:posOffset>
            </wp:positionV>
            <wp:extent cx="2651125" cy="2820035"/>
            <wp:effectExtent l="4445" t="4445" r="11430" b="13970"/>
            <wp:wrapTopAndBottom/>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四、</w:t>
      </w:r>
      <w:r>
        <w:rPr>
          <w:rFonts w:hint="eastAsia" w:ascii="仿宋" w:hAnsi="仿宋" w:eastAsia="仿宋" w:cs="黑体"/>
          <w:kern w:val="0"/>
          <w:sz w:val="32"/>
          <w:szCs w:val="32"/>
        </w:rPr>
        <w:t>财政</w:t>
      </w:r>
      <w:r>
        <w:rPr>
          <w:rFonts w:hint="eastAsia" w:ascii="仿宋" w:hAnsi="仿宋" w:eastAsia="仿宋"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本部门2019年度财政拨款本年收入5</w:t>
      </w:r>
      <w:r>
        <w:rPr>
          <w:rFonts w:ascii="仿宋" w:hAnsi="仿宋" w:eastAsia="仿宋" w:cs="DengXian-Regular"/>
          <w:sz w:val="32"/>
          <w:szCs w:val="32"/>
        </w:rPr>
        <w:t>859.44</w:t>
      </w:r>
      <w:r>
        <w:rPr>
          <w:rFonts w:hint="eastAsia" w:ascii="仿宋" w:hAnsi="仿宋" w:eastAsia="仿宋" w:cs="DengXian-Regular"/>
          <w:sz w:val="32"/>
          <w:szCs w:val="32"/>
        </w:rPr>
        <w:t>万元,比2018年度</w:t>
      </w:r>
      <w:r>
        <w:rPr>
          <w:rFonts w:hint="eastAsia" w:ascii="仿宋" w:hAnsi="仿宋" w:eastAsia="仿宋" w:cs="DengXian-Regular"/>
          <w:sz w:val="32"/>
          <w:szCs w:val="32"/>
          <w:lang w:eastAsia="zh-CN"/>
        </w:rPr>
        <w:t>减少</w:t>
      </w:r>
      <w:r>
        <w:rPr>
          <w:rFonts w:hint="eastAsia" w:ascii="仿宋" w:hAnsi="仿宋" w:eastAsia="仿宋" w:cs="DengXian-Regular"/>
          <w:sz w:val="32"/>
          <w:szCs w:val="32"/>
          <w:lang w:val="en-US" w:eastAsia="zh-CN"/>
        </w:rPr>
        <w:t>4719.83</w:t>
      </w:r>
      <w:r>
        <w:rPr>
          <w:rFonts w:hint="eastAsia" w:ascii="仿宋" w:hAnsi="仿宋" w:eastAsia="仿宋" w:cs="DengXian-Regular"/>
          <w:sz w:val="32"/>
          <w:szCs w:val="32"/>
        </w:rPr>
        <w:t>万元，降低4</w:t>
      </w:r>
      <w:r>
        <w:rPr>
          <w:rFonts w:ascii="仿宋" w:hAnsi="仿宋" w:eastAsia="仿宋" w:cs="DengXian-Regular"/>
          <w:sz w:val="32"/>
          <w:szCs w:val="32"/>
        </w:rPr>
        <w:t>4.61</w:t>
      </w:r>
      <w:r>
        <w:rPr>
          <w:rFonts w:hint="eastAsia" w:ascii="仿宋" w:hAnsi="仿宋" w:eastAsia="仿宋" w:cs="DengXian-Regular"/>
          <w:sz w:val="32"/>
          <w:szCs w:val="32"/>
        </w:rPr>
        <w:t>%，主要是因机构改革涉军、宗教、老龄办职能划走项目及人员经费相应减少年至；本年支出</w:t>
      </w:r>
      <w:r>
        <w:rPr>
          <w:rFonts w:ascii="仿宋" w:hAnsi="仿宋" w:eastAsia="仿宋" w:cs="DengXian-Regular"/>
          <w:sz w:val="32"/>
          <w:szCs w:val="32"/>
        </w:rPr>
        <w:t>5726.36</w:t>
      </w:r>
      <w:r>
        <w:rPr>
          <w:rFonts w:hint="eastAsia" w:ascii="仿宋" w:hAnsi="仿宋" w:eastAsia="仿宋" w:cs="DengXian-Regular"/>
          <w:sz w:val="32"/>
          <w:szCs w:val="32"/>
        </w:rPr>
        <w:t>万元，减少</w:t>
      </w:r>
      <w:r>
        <w:rPr>
          <w:rFonts w:ascii="仿宋" w:hAnsi="仿宋" w:eastAsia="仿宋" w:cs="DengXian-Regular"/>
          <w:sz w:val="32"/>
          <w:szCs w:val="32"/>
        </w:rPr>
        <w:t>4308.11</w:t>
      </w:r>
      <w:r>
        <w:rPr>
          <w:rFonts w:hint="eastAsia" w:ascii="仿宋" w:hAnsi="仿宋" w:eastAsia="仿宋" w:cs="DengXian-Regular"/>
          <w:sz w:val="32"/>
          <w:szCs w:val="32"/>
        </w:rPr>
        <w:t>万元，降低</w:t>
      </w:r>
      <w:r>
        <w:rPr>
          <w:rFonts w:ascii="仿宋" w:hAnsi="仿宋" w:eastAsia="仿宋" w:cs="DengXian-Regular"/>
          <w:sz w:val="32"/>
          <w:szCs w:val="32"/>
        </w:rPr>
        <w:t>42.93</w:t>
      </w:r>
      <w:r>
        <w:rPr>
          <w:rFonts w:hint="eastAsia" w:ascii="仿宋" w:hAnsi="仿宋" w:eastAsia="仿宋" w:cs="DengXian-Regular"/>
          <w:sz w:val="32"/>
          <w:szCs w:val="32"/>
        </w:rPr>
        <w:t>%，主要是因机构改革涉军、宗教、老龄办职能划走支出相应减少。具体情况如下：</w:t>
      </w:r>
    </w:p>
    <w:p>
      <w:pPr>
        <w:numPr>
          <w:ilvl w:val="0"/>
          <w:numId w:val="2"/>
        </w:num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一般公共预算财政拨款本年收入5</w:t>
      </w:r>
      <w:r>
        <w:rPr>
          <w:rFonts w:ascii="仿宋" w:hAnsi="仿宋" w:eastAsia="仿宋" w:cs="DengXian-Regular"/>
          <w:sz w:val="32"/>
          <w:szCs w:val="32"/>
        </w:rPr>
        <w:t>467.73</w:t>
      </w:r>
      <w:r>
        <w:rPr>
          <w:rFonts w:hint="eastAsia" w:ascii="仿宋" w:hAnsi="仿宋" w:eastAsia="仿宋" w:cs="DengXian-Regular"/>
          <w:sz w:val="32"/>
          <w:szCs w:val="32"/>
        </w:rPr>
        <w:t>万元，比上年减少4</w:t>
      </w:r>
      <w:r>
        <w:rPr>
          <w:rFonts w:ascii="仿宋" w:hAnsi="仿宋" w:eastAsia="仿宋" w:cs="DengXian-Regular"/>
          <w:sz w:val="32"/>
          <w:szCs w:val="32"/>
        </w:rPr>
        <w:t>771.23</w:t>
      </w:r>
      <w:r>
        <w:rPr>
          <w:rFonts w:hint="eastAsia" w:ascii="仿宋" w:hAnsi="仿宋" w:eastAsia="仿宋" w:cs="DengXian-Regular"/>
          <w:sz w:val="32"/>
          <w:szCs w:val="32"/>
        </w:rPr>
        <w:t>万元；主要是</w:t>
      </w:r>
      <w:bookmarkStart w:id="0" w:name="_Hlk55218783"/>
      <w:r>
        <w:rPr>
          <w:rFonts w:hint="eastAsia" w:ascii="仿宋" w:hAnsi="仿宋" w:eastAsia="仿宋" w:cs="DengXian-Regular"/>
          <w:sz w:val="32"/>
          <w:szCs w:val="32"/>
        </w:rPr>
        <w:t>因机构改革涉军、宗教、老龄办职能划走殡仪馆、民政事业服务中心独立人员及项目经费相应减少</w:t>
      </w:r>
      <w:bookmarkEnd w:id="0"/>
      <w:r>
        <w:rPr>
          <w:rFonts w:hint="eastAsia" w:ascii="仿宋" w:hAnsi="仿宋" w:eastAsia="仿宋" w:cs="DengXian-Regular"/>
          <w:sz w:val="32"/>
          <w:szCs w:val="32"/>
        </w:rPr>
        <w:t>；本年支出</w:t>
      </w:r>
      <w:r>
        <w:rPr>
          <w:rFonts w:ascii="仿宋" w:hAnsi="仿宋" w:eastAsia="仿宋" w:cs="DengXian-Regular"/>
          <w:sz w:val="32"/>
          <w:szCs w:val="32"/>
        </w:rPr>
        <w:t>4996.17</w:t>
      </w:r>
      <w:r>
        <w:rPr>
          <w:rFonts w:hint="eastAsia" w:ascii="仿宋" w:hAnsi="仿宋" w:eastAsia="仿宋" w:cs="DengXian-Regular"/>
          <w:sz w:val="32"/>
          <w:szCs w:val="32"/>
        </w:rPr>
        <w:t>万元，比上年减少4</w:t>
      </w:r>
      <w:r>
        <w:rPr>
          <w:rFonts w:ascii="仿宋" w:hAnsi="仿宋" w:eastAsia="仿宋" w:cs="DengXian-Regular"/>
          <w:sz w:val="32"/>
          <w:szCs w:val="32"/>
        </w:rPr>
        <w:t>802.21</w:t>
      </w:r>
      <w:r>
        <w:rPr>
          <w:rFonts w:hint="eastAsia" w:ascii="仿宋" w:hAnsi="仿宋" w:eastAsia="仿宋" w:cs="DengXian-Regular"/>
          <w:sz w:val="32"/>
          <w:szCs w:val="32"/>
        </w:rPr>
        <w:t>万元，降低</w:t>
      </w:r>
      <w:r>
        <w:rPr>
          <w:rFonts w:ascii="仿宋" w:hAnsi="仿宋" w:eastAsia="仿宋" w:cs="DengXian-Regular"/>
          <w:sz w:val="32"/>
          <w:szCs w:val="32"/>
        </w:rPr>
        <w:t>49.01</w:t>
      </w:r>
      <w:r>
        <w:rPr>
          <w:rFonts w:hint="eastAsia" w:ascii="仿宋" w:hAnsi="仿宋" w:eastAsia="仿宋" w:cs="DengXian-Regular"/>
          <w:sz w:val="32"/>
          <w:szCs w:val="32"/>
        </w:rPr>
        <w:t>%，主要是因机构改革涉军、宗教、老龄办职能划走殡仪馆、民政事业服务中心独立人员及项目经费相应减少。造成支出减少。</w:t>
      </w:r>
    </w:p>
    <w:p>
      <w:pPr>
        <w:numPr>
          <w:ilvl w:val="0"/>
          <w:numId w:val="2"/>
        </w:numPr>
        <w:adjustRightInd w:val="0"/>
        <w:snapToGrid w:val="0"/>
        <w:spacing w:line="580" w:lineRule="exact"/>
        <w:ind w:firstLine="640" w:firstLineChars="200"/>
        <w:rPr>
          <w:rFonts w:ascii="仿宋" w:hAnsi="仿宋" w:eastAsia="仿宋" w:cs="DengXian-Bold"/>
          <w:b/>
          <w:bCs/>
          <w:sz w:val="32"/>
          <w:szCs w:val="32"/>
        </w:rPr>
      </w:pPr>
      <w:r>
        <w:rPr>
          <w:rFonts w:hint="eastAsia" w:ascii="仿宋" w:hAnsi="仿宋" w:eastAsia="仿宋" w:cs="DengXian-Regular"/>
          <w:sz w:val="32"/>
          <w:szCs w:val="32"/>
        </w:rPr>
        <w:t>政府性基金预算财政拨款本年收入3</w:t>
      </w:r>
      <w:r>
        <w:rPr>
          <w:rFonts w:ascii="仿宋" w:hAnsi="仿宋" w:eastAsia="仿宋" w:cs="DengXian-Regular"/>
          <w:sz w:val="32"/>
          <w:szCs w:val="32"/>
        </w:rPr>
        <w:t>91.71</w:t>
      </w:r>
      <w:r>
        <w:rPr>
          <w:rFonts w:hint="eastAsia" w:ascii="仿宋" w:hAnsi="仿宋" w:eastAsia="仿宋" w:cs="DengXian-Regular"/>
          <w:sz w:val="32"/>
          <w:szCs w:val="32"/>
        </w:rPr>
        <w:t>万元，比上年增加5</w:t>
      </w:r>
      <w:r>
        <w:rPr>
          <w:rFonts w:ascii="仿宋" w:hAnsi="仿宋" w:eastAsia="仿宋" w:cs="DengXian-Regular"/>
          <w:sz w:val="32"/>
          <w:szCs w:val="32"/>
        </w:rPr>
        <w:t>1.4</w:t>
      </w:r>
      <w:r>
        <w:rPr>
          <w:rFonts w:hint="eastAsia" w:ascii="仿宋" w:hAnsi="仿宋" w:eastAsia="仿宋" w:cs="DengXian-Regular"/>
          <w:sz w:val="32"/>
          <w:szCs w:val="32"/>
        </w:rPr>
        <w:t>万元，增长1</w:t>
      </w:r>
      <w:r>
        <w:rPr>
          <w:rFonts w:ascii="仿宋" w:hAnsi="仿宋" w:eastAsia="仿宋" w:cs="DengXian-Regular"/>
          <w:sz w:val="32"/>
          <w:szCs w:val="32"/>
        </w:rPr>
        <w:t>5.1</w:t>
      </w:r>
      <w:r>
        <w:rPr>
          <w:rFonts w:hint="eastAsia" w:ascii="仿宋" w:hAnsi="仿宋" w:eastAsia="仿宋" w:cs="DengXian-Regular"/>
          <w:sz w:val="32"/>
          <w:szCs w:val="32"/>
        </w:rPr>
        <w:t>%，主要原因是</w:t>
      </w:r>
      <w:bookmarkStart w:id="1" w:name="_Hlk55300270"/>
      <w:r>
        <w:rPr>
          <w:rFonts w:hint="eastAsia" w:ascii="仿宋" w:hAnsi="仿宋" w:eastAsia="仿宋" w:cs="宋体"/>
          <w:sz w:val="32"/>
          <w:szCs w:val="32"/>
        </w:rPr>
        <w:t>民办养老机构一次性建设补贴和床位运营补贴等</w:t>
      </w:r>
      <w:bookmarkEnd w:id="1"/>
      <w:r>
        <w:rPr>
          <w:rFonts w:hint="eastAsia" w:ascii="仿宋" w:hAnsi="仿宋" w:eastAsia="仿宋" w:cs="DengXian-Regular"/>
          <w:sz w:val="32"/>
          <w:szCs w:val="32"/>
        </w:rPr>
        <w:t>；本年支出7</w:t>
      </w:r>
      <w:r>
        <w:rPr>
          <w:rFonts w:ascii="仿宋" w:hAnsi="仿宋" w:eastAsia="仿宋" w:cs="DengXian-Regular"/>
          <w:sz w:val="32"/>
          <w:szCs w:val="32"/>
        </w:rPr>
        <w:t>30.18</w:t>
      </w:r>
      <w:r>
        <w:rPr>
          <w:rFonts w:hint="eastAsia" w:ascii="仿宋" w:hAnsi="仿宋" w:eastAsia="仿宋" w:cs="DengXian-Regular"/>
          <w:sz w:val="32"/>
          <w:szCs w:val="32"/>
        </w:rPr>
        <w:t>万元，比上年增加4</w:t>
      </w:r>
      <w:r>
        <w:rPr>
          <w:rFonts w:ascii="仿宋" w:hAnsi="仿宋" w:eastAsia="仿宋" w:cs="DengXian-Regular"/>
          <w:sz w:val="32"/>
          <w:szCs w:val="32"/>
        </w:rPr>
        <w:t>94.09</w:t>
      </w:r>
      <w:r>
        <w:rPr>
          <w:rFonts w:hint="eastAsia" w:ascii="仿宋" w:hAnsi="仿宋" w:eastAsia="仿宋" w:cs="DengXian-Regular"/>
          <w:sz w:val="32"/>
          <w:szCs w:val="32"/>
        </w:rPr>
        <w:t>万元，增长2</w:t>
      </w:r>
      <w:r>
        <w:rPr>
          <w:rFonts w:ascii="仿宋" w:hAnsi="仿宋" w:eastAsia="仿宋" w:cs="DengXian-Regular"/>
          <w:sz w:val="32"/>
          <w:szCs w:val="32"/>
        </w:rPr>
        <w:t>09.28</w:t>
      </w:r>
      <w:r>
        <w:rPr>
          <w:rFonts w:hint="eastAsia" w:ascii="仿宋" w:hAnsi="仿宋" w:eastAsia="仿宋" w:cs="DengXian-Regular"/>
          <w:sz w:val="32"/>
          <w:szCs w:val="32"/>
        </w:rPr>
        <w:t>%，主要是</w:t>
      </w:r>
      <w:r>
        <w:rPr>
          <w:rFonts w:hint="eastAsia" w:ascii="仿宋" w:hAnsi="仿宋" w:eastAsia="仿宋" w:cs="宋体"/>
          <w:sz w:val="32"/>
          <w:szCs w:val="32"/>
        </w:rPr>
        <w:t>民办养老机构一次性建设补贴和床位运营补贴等</w:t>
      </w:r>
      <w:r>
        <w:rPr>
          <w:rFonts w:hint="eastAsia" w:ascii="仿宋" w:hAnsi="仿宋" w:eastAsia="仿宋" w:cs="DengXian-Regular"/>
          <w:sz w:val="32"/>
          <w:szCs w:val="32"/>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本部门2019年度财政拨款本年收入5</w:t>
      </w:r>
      <w:r>
        <w:rPr>
          <w:rFonts w:ascii="仿宋" w:hAnsi="仿宋" w:eastAsia="仿宋" w:cs="DengXian-Regular"/>
          <w:sz w:val="32"/>
          <w:szCs w:val="32"/>
        </w:rPr>
        <w:t>859.44</w:t>
      </w:r>
      <w:r>
        <w:rPr>
          <w:rFonts w:hint="eastAsia" w:ascii="仿宋" w:hAnsi="仿宋" w:eastAsia="仿宋" w:cs="DengXian-Regular"/>
          <w:sz w:val="32"/>
          <w:szCs w:val="32"/>
        </w:rPr>
        <w:t>万元，完成年初预算的</w:t>
      </w:r>
      <w:r>
        <w:rPr>
          <w:rFonts w:ascii="仿宋" w:hAnsi="仿宋" w:eastAsia="仿宋" w:cs="DengXian-Regular"/>
          <w:sz w:val="32"/>
          <w:szCs w:val="32"/>
        </w:rPr>
        <w:t>146.24</w:t>
      </w:r>
      <w:r>
        <w:rPr>
          <w:rFonts w:hint="eastAsia" w:ascii="仿宋" w:hAnsi="仿宋" w:eastAsia="仿宋" w:cs="DengXian-Regular"/>
          <w:sz w:val="32"/>
          <w:szCs w:val="32"/>
        </w:rPr>
        <w:t>%（如图4）,比年初预算4</w:t>
      </w:r>
      <w:r>
        <w:rPr>
          <w:rFonts w:ascii="仿宋" w:hAnsi="仿宋" w:eastAsia="仿宋" w:cs="DengXian-Regular"/>
          <w:sz w:val="32"/>
          <w:szCs w:val="32"/>
        </w:rPr>
        <w:t>006.8</w:t>
      </w:r>
      <w:r>
        <w:rPr>
          <w:rFonts w:hint="eastAsia" w:ascii="仿宋" w:hAnsi="仿宋" w:eastAsia="仿宋" w:cs="DengXian-Regular"/>
          <w:sz w:val="32"/>
          <w:szCs w:val="32"/>
        </w:rPr>
        <w:t>增加</w:t>
      </w:r>
      <w:r>
        <w:rPr>
          <w:rFonts w:ascii="仿宋" w:hAnsi="仿宋" w:eastAsia="仿宋" w:cs="DengXian-Regular"/>
          <w:sz w:val="32"/>
          <w:szCs w:val="32"/>
        </w:rPr>
        <w:t>1852.64</w:t>
      </w:r>
      <w:r>
        <w:rPr>
          <w:rFonts w:hint="eastAsia" w:ascii="仿宋" w:hAnsi="仿宋" w:eastAsia="仿宋" w:cs="DengXian-Regular"/>
          <w:sz w:val="32"/>
          <w:szCs w:val="32"/>
        </w:rPr>
        <w:t>万元，决算数大于预算数主要原因是</w:t>
      </w:r>
      <w:r>
        <w:rPr>
          <w:rFonts w:hint="eastAsia" w:ascii="仿宋" w:hAnsi="仿宋" w:eastAsia="仿宋" w:cs="宋体"/>
          <w:sz w:val="32"/>
          <w:szCs w:val="32"/>
        </w:rPr>
        <w:t>上年结转资金及本年按政策拨付上级资金</w:t>
      </w:r>
      <w:r>
        <w:rPr>
          <w:rFonts w:hint="eastAsia" w:ascii="仿宋" w:hAnsi="仿宋" w:eastAsia="仿宋" w:cs="DengXian-Regular"/>
          <w:sz w:val="32"/>
          <w:szCs w:val="32"/>
        </w:rPr>
        <w:t>；本年支出5</w:t>
      </w:r>
      <w:r>
        <w:rPr>
          <w:rFonts w:ascii="仿宋" w:hAnsi="仿宋" w:eastAsia="仿宋" w:cs="DengXian-Regular"/>
          <w:sz w:val="32"/>
          <w:szCs w:val="32"/>
        </w:rPr>
        <w:t>836.38</w:t>
      </w:r>
      <w:r>
        <w:rPr>
          <w:rFonts w:hint="eastAsia" w:ascii="仿宋" w:hAnsi="仿宋" w:eastAsia="仿宋" w:cs="DengXian-Regular"/>
          <w:sz w:val="32"/>
          <w:szCs w:val="32"/>
        </w:rPr>
        <w:t>万元，完成年初预算的1</w:t>
      </w:r>
      <w:r>
        <w:rPr>
          <w:rFonts w:ascii="仿宋" w:hAnsi="仿宋" w:eastAsia="仿宋" w:cs="DengXian-Regular"/>
          <w:sz w:val="32"/>
          <w:szCs w:val="32"/>
        </w:rPr>
        <w:t>45.66</w:t>
      </w:r>
      <w:r>
        <w:rPr>
          <w:rFonts w:hint="eastAsia" w:ascii="仿宋" w:hAnsi="仿宋" w:eastAsia="仿宋" w:cs="DengXian-Regular"/>
          <w:sz w:val="32"/>
          <w:szCs w:val="32"/>
        </w:rPr>
        <w:t>%,比年初预算4</w:t>
      </w:r>
      <w:r>
        <w:rPr>
          <w:rFonts w:ascii="仿宋" w:hAnsi="仿宋" w:eastAsia="仿宋" w:cs="DengXian-Regular"/>
          <w:sz w:val="32"/>
          <w:szCs w:val="32"/>
        </w:rPr>
        <w:t>006.8</w:t>
      </w:r>
      <w:r>
        <w:rPr>
          <w:rFonts w:hint="eastAsia" w:ascii="仿宋" w:hAnsi="仿宋" w:eastAsia="仿宋" w:cs="DengXian-Regular"/>
          <w:sz w:val="32"/>
          <w:szCs w:val="32"/>
        </w:rPr>
        <w:t>万元增加1</w:t>
      </w:r>
      <w:r>
        <w:rPr>
          <w:rFonts w:ascii="仿宋" w:hAnsi="仿宋" w:eastAsia="仿宋" w:cs="DengXian-Regular"/>
          <w:sz w:val="32"/>
          <w:szCs w:val="32"/>
        </w:rPr>
        <w:t>829.58</w:t>
      </w:r>
      <w:r>
        <w:rPr>
          <w:rFonts w:hint="eastAsia" w:ascii="仿宋" w:hAnsi="仿宋" w:eastAsia="仿宋" w:cs="DengXian-Regular"/>
          <w:sz w:val="32"/>
          <w:szCs w:val="32"/>
        </w:rPr>
        <w:t>万元，决算数大于预算数主要原因是主要是</w:t>
      </w:r>
      <w:bookmarkStart w:id="2" w:name="_Hlk55299697"/>
      <w:r>
        <w:rPr>
          <w:rFonts w:hint="eastAsia" w:ascii="仿宋" w:hAnsi="仿宋" w:eastAsia="仿宋" w:cs="宋体"/>
          <w:sz w:val="32"/>
          <w:szCs w:val="32"/>
        </w:rPr>
        <w:t>上年结转资金及本年按政策拨付上级资金</w:t>
      </w:r>
      <w:bookmarkEnd w:id="2"/>
      <w:r>
        <w:rPr>
          <w:rFonts w:hint="eastAsia" w:ascii="仿宋" w:hAnsi="仿宋" w:eastAsia="仿宋" w:cs="DengXian-Regular"/>
          <w:sz w:val="32"/>
          <w:szCs w:val="32"/>
        </w:rPr>
        <w:t>。具体情况如下：</w:t>
      </w:r>
    </w:p>
    <w:p>
      <w:pPr>
        <w:numPr>
          <w:ilvl w:val="0"/>
          <w:numId w:val="3"/>
        </w:num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一般公共预算财政拨款本年收入5</w:t>
      </w:r>
      <w:r>
        <w:rPr>
          <w:rFonts w:ascii="仿宋" w:hAnsi="仿宋" w:eastAsia="仿宋" w:cs="DengXian-Regular"/>
          <w:sz w:val="32"/>
          <w:szCs w:val="32"/>
        </w:rPr>
        <w:t>467.73</w:t>
      </w:r>
      <w:r>
        <w:rPr>
          <w:rFonts w:hint="eastAsia" w:ascii="仿宋" w:hAnsi="仿宋" w:eastAsia="仿宋" w:cs="DengXian-Regular"/>
          <w:sz w:val="32"/>
          <w:szCs w:val="32"/>
        </w:rPr>
        <w:t>万元，完成年初预算</w:t>
      </w:r>
      <w:r>
        <w:rPr>
          <w:rFonts w:ascii="仿宋" w:hAnsi="仿宋" w:eastAsia="仿宋" w:cs="DengXian-Regular"/>
          <w:sz w:val="32"/>
          <w:szCs w:val="32"/>
        </w:rPr>
        <w:t>136.46</w:t>
      </w:r>
      <w:r>
        <w:rPr>
          <w:rFonts w:hint="eastAsia" w:ascii="仿宋" w:hAnsi="仿宋" w:eastAsia="仿宋" w:cs="DengXian-Regular"/>
          <w:sz w:val="32"/>
          <w:szCs w:val="32"/>
        </w:rPr>
        <w:t>%，比年初预算4</w:t>
      </w:r>
      <w:r>
        <w:rPr>
          <w:rFonts w:ascii="仿宋" w:hAnsi="仿宋" w:eastAsia="仿宋" w:cs="DengXian-Regular"/>
          <w:sz w:val="32"/>
          <w:szCs w:val="32"/>
        </w:rPr>
        <w:t>006.8</w:t>
      </w:r>
      <w:r>
        <w:rPr>
          <w:rFonts w:hint="eastAsia" w:ascii="仿宋" w:hAnsi="仿宋" w:eastAsia="仿宋" w:cs="DengXian-Regular"/>
          <w:sz w:val="32"/>
          <w:szCs w:val="32"/>
        </w:rPr>
        <w:t>万元增加1</w:t>
      </w:r>
      <w:r>
        <w:rPr>
          <w:rFonts w:ascii="仿宋" w:hAnsi="仿宋" w:eastAsia="仿宋" w:cs="DengXian-Regular"/>
          <w:sz w:val="32"/>
          <w:szCs w:val="32"/>
        </w:rPr>
        <w:t>460.93</w:t>
      </w:r>
      <w:r>
        <w:rPr>
          <w:rFonts w:hint="eastAsia" w:ascii="仿宋" w:hAnsi="仿宋" w:eastAsia="仿宋" w:cs="DengXian-Regular"/>
          <w:sz w:val="32"/>
          <w:szCs w:val="32"/>
        </w:rPr>
        <w:t>万元，主要是</w:t>
      </w:r>
      <w:r>
        <w:rPr>
          <w:rFonts w:hint="eastAsia" w:ascii="仿宋" w:hAnsi="仿宋" w:eastAsia="仿宋" w:cs="宋体"/>
          <w:sz w:val="32"/>
          <w:szCs w:val="32"/>
        </w:rPr>
        <w:t>上年结转资金及本年按政策拨付上级资金</w:t>
      </w:r>
      <w:r>
        <w:rPr>
          <w:rFonts w:hint="eastAsia" w:ascii="仿宋" w:hAnsi="仿宋" w:eastAsia="仿宋" w:cs="DengXian-Regular"/>
          <w:sz w:val="32"/>
          <w:szCs w:val="32"/>
        </w:rPr>
        <w:t>；支出完成年初预算</w:t>
      </w:r>
      <w:r>
        <w:rPr>
          <w:rFonts w:ascii="仿宋" w:hAnsi="仿宋" w:eastAsia="仿宋" w:cs="DengXian-Regular"/>
          <w:sz w:val="32"/>
          <w:szCs w:val="32"/>
        </w:rPr>
        <w:t>116.82</w:t>
      </w:r>
      <w:r>
        <w:rPr>
          <w:rFonts w:hint="eastAsia" w:ascii="仿宋" w:hAnsi="仿宋" w:eastAsia="仿宋" w:cs="DengXian-Regular"/>
          <w:sz w:val="32"/>
          <w:szCs w:val="32"/>
        </w:rPr>
        <w:t>%，比年初预算4</w:t>
      </w:r>
      <w:r>
        <w:rPr>
          <w:rFonts w:ascii="仿宋" w:hAnsi="仿宋" w:eastAsia="仿宋" w:cs="DengXian-Regular"/>
          <w:sz w:val="32"/>
          <w:szCs w:val="32"/>
        </w:rPr>
        <w:t>996.17</w:t>
      </w:r>
      <w:r>
        <w:rPr>
          <w:rFonts w:hint="eastAsia" w:ascii="仿宋" w:hAnsi="仿宋" w:eastAsia="仿宋" w:cs="DengXian-Regular"/>
          <w:sz w:val="32"/>
          <w:szCs w:val="32"/>
        </w:rPr>
        <w:t>增加4</w:t>
      </w:r>
      <w:r>
        <w:rPr>
          <w:rFonts w:ascii="仿宋" w:hAnsi="仿宋" w:eastAsia="仿宋" w:cs="DengXian-Regular"/>
          <w:sz w:val="32"/>
          <w:szCs w:val="32"/>
        </w:rPr>
        <w:t>71.56</w:t>
      </w:r>
      <w:r>
        <w:rPr>
          <w:rFonts w:hint="eastAsia" w:ascii="仿宋" w:hAnsi="仿宋" w:eastAsia="仿宋" w:cs="DengXian-Regular"/>
          <w:sz w:val="32"/>
          <w:szCs w:val="32"/>
        </w:rPr>
        <w:t>万元，主要是</w:t>
      </w:r>
      <w:r>
        <w:rPr>
          <w:rFonts w:hint="eastAsia" w:ascii="仿宋" w:hAnsi="仿宋" w:eastAsia="仿宋" w:cs="宋体"/>
          <w:sz w:val="32"/>
          <w:szCs w:val="32"/>
        </w:rPr>
        <w:t>上年结转资金及本年按政策拨付上级资金</w:t>
      </w:r>
      <w:r>
        <w:rPr>
          <w:rFonts w:hint="eastAsia" w:ascii="仿宋" w:hAnsi="仿宋" w:eastAsia="仿宋" w:cs="DengXian-Regular"/>
          <w:sz w:val="32"/>
          <w:szCs w:val="32"/>
        </w:rPr>
        <w:t>。</w:t>
      </w:r>
    </w:p>
    <w:p>
      <w:pPr>
        <w:adjustRightInd w:val="0"/>
        <w:snapToGrid w:val="0"/>
        <w:spacing w:line="580" w:lineRule="exact"/>
        <w:ind w:firstLine="640" w:firstLineChars="200"/>
        <w:rPr>
          <w:rFonts w:ascii="仿宋" w:hAnsi="仿宋" w:eastAsia="仿宋" w:cs="DengXian-Regular"/>
          <w:sz w:val="32"/>
          <w:szCs w:val="32"/>
          <w:highlight w:val="yellow"/>
        </w:rPr>
      </w:pPr>
      <w:r>
        <w:rPr>
          <w:rFonts w:hint="eastAsia" w:ascii="仿宋" w:hAnsi="仿宋" w:eastAsia="仿宋" w:cs="DengXian-Regular"/>
          <w:sz w:val="32"/>
          <w:szCs w:val="32"/>
        </w:rPr>
        <w:t>2.政府性基金预算财政拨款本年收入3</w:t>
      </w:r>
      <w:r>
        <w:rPr>
          <w:rFonts w:ascii="仿宋" w:hAnsi="仿宋" w:eastAsia="仿宋" w:cs="DengXian-Regular"/>
          <w:sz w:val="32"/>
          <w:szCs w:val="32"/>
        </w:rPr>
        <w:t>91.71</w:t>
      </w:r>
      <w:r>
        <w:rPr>
          <w:rFonts w:hint="eastAsia" w:ascii="仿宋" w:hAnsi="仿宋" w:eastAsia="仿宋" w:cs="DengXian-Regular"/>
          <w:sz w:val="32"/>
          <w:szCs w:val="32"/>
        </w:rPr>
        <w:t>万元，完成年初预算</w:t>
      </w:r>
      <w:r>
        <w:rPr>
          <w:rFonts w:ascii="仿宋" w:hAnsi="仿宋" w:eastAsia="仿宋" w:cs="DengXian-Regular"/>
          <w:sz w:val="32"/>
          <w:szCs w:val="32"/>
        </w:rPr>
        <w:t>337.68</w:t>
      </w:r>
      <w:r>
        <w:rPr>
          <w:rFonts w:hint="eastAsia" w:ascii="仿宋" w:hAnsi="仿宋" w:eastAsia="仿宋" w:cs="DengXian-Regular"/>
          <w:sz w:val="32"/>
          <w:szCs w:val="32"/>
        </w:rPr>
        <w:t>%，比年初预算1</w:t>
      </w:r>
      <w:r>
        <w:rPr>
          <w:rFonts w:ascii="仿宋" w:hAnsi="仿宋" w:eastAsia="仿宋" w:cs="DengXian-Regular"/>
          <w:sz w:val="32"/>
          <w:szCs w:val="32"/>
        </w:rPr>
        <w:t>16</w:t>
      </w:r>
      <w:r>
        <w:rPr>
          <w:rFonts w:hint="eastAsia" w:ascii="仿宋" w:hAnsi="仿宋" w:eastAsia="仿宋" w:cs="DengXian-Regular"/>
          <w:sz w:val="32"/>
          <w:szCs w:val="32"/>
        </w:rPr>
        <w:t>增加2</w:t>
      </w:r>
      <w:r>
        <w:rPr>
          <w:rFonts w:ascii="仿宋" w:hAnsi="仿宋" w:eastAsia="仿宋" w:cs="DengXian-Regular"/>
          <w:sz w:val="32"/>
          <w:szCs w:val="32"/>
        </w:rPr>
        <w:t>75.71</w:t>
      </w:r>
      <w:r>
        <w:rPr>
          <w:rFonts w:hint="eastAsia" w:ascii="仿宋" w:hAnsi="仿宋" w:eastAsia="仿宋" w:cs="DengXian-Regular"/>
          <w:sz w:val="32"/>
          <w:szCs w:val="32"/>
        </w:rPr>
        <w:t>万元，主要是</w:t>
      </w:r>
      <w:r>
        <w:rPr>
          <w:rFonts w:hint="eastAsia" w:ascii="仿宋" w:hAnsi="仿宋" w:eastAsia="仿宋" w:cs="宋体"/>
          <w:sz w:val="32"/>
          <w:szCs w:val="32"/>
        </w:rPr>
        <w:t>上年基金结转</w:t>
      </w:r>
      <w:r>
        <w:rPr>
          <w:rFonts w:hint="eastAsia" w:ascii="仿宋" w:hAnsi="仿宋" w:eastAsia="仿宋" w:cs="DengXian-Regular"/>
          <w:sz w:val="32"/>
          <w:szCs w:val="32"/>
        </w:rPr>
        <w:t>；支出完成年初预算</w:t>
      </w:r>
      <w:r>
        <w:rPr>
          <w:rFonts w:ascii="仿宋" w:hAnsi="仿宋" w:eastAsia="仿宋" w:cs="DengXian-Regular"/>
          <w:sz w:val="32"/>
          <w:szCs w:val="32"/>
        </w:rPr>
        <w:t>629.47</w:t>
      </w:r>
      <w:r>
        <w:rPr>
          <w:rFonts w:hint="eastAsia" w:ascii="仿宋" w:hAnsi="仿宋" w:eastAsia="仿宋" w:cs="DengXian-Regular"/>
          <w:sz w:val="32"/>
          <w:szCs w:val="32"/>
        </w:rPr>
        <w:t>%，比年初预算增加3</w:t>
      </w:r>
      <w:r>
        <w:rPr>
          <w:rFonts w:ascii="仿宋" w:hAnsi="仿宋" w:eastAsia="仿宋" w:cs="DengXian-Regular"/>
          <w:sz w:val="32"/>
          <w:szCs w:val="32"/>
        </w:rPr>
        <w:t>38.47</w:t>
      </w:r>
      <w:r>
        <w:rPr>
          <w:rFonts w:hint="eastAsia" w:ascii="仿宋" w:hAnsi="仿宋" w:eastAsia="仿宋" w:cs="DengXian-Regular"/>
          <w:sz w:val="32"/>
          <w:szCs w:val="32"/>
        </w:rPr>
        <w:t>万元，主要是</w:t>
      </w:r>
      <w:r>
        <w:rPr>
          <w:rFonts w:hint="eastAsia" w:ascii="仿宋" w:hAnsi="仿宋" w:eastAsia="仿宋" w:cs="宋体"/>
          <w:sz w:val="32"/>
          <w:szCs w:val="32"/>
        </w:rPr>
        <w:t>上年基金结转本年支出</w:t>
      </w:r>
      <w:r>
        <w:rPr>
          <w:rFonts w:hint="eastAsia" w:ascii="仿宋" w:hAnsi="仿宋" w:eastAsia="仿宋" w:cs="DengXian-Regular"/>
          <w:sz w:val="32"/>
          <w:szCs w:val="32"/>
        </w:rPr>
        <w:t>。</w:t>
      </w:r>
    </w:p>
    <w:p>
      <w:pPr>
        <w:numPr>
          <w:ilvl w:val="0"/>
          <w:numId w:val="4"/>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2019 年度财政拨款支出</w:t>
      </w:r>
      <w:r>
        <w:rPr>
          <w:rFonts w:ascii="仿宋" w:hAnsi="仿宋" w:eastAsia="仿宋" w:cs="DengXian-Regular"/>
          <w:sz w:val="32"/>
          <w:szCs w:val="32"/>
        </w:rPr>
        <w:t>5726.36</w:t>
      </w:r>
      <w:r>
        <w:rPr>
          <w:rFonts w:hint="eastAsia" w:ascii="仿宋" w:hAnsi="仿宋" w:eastAsia="仿宋" w:cs="DengXian-Regular"/>
          <w:sz w:val="32"/>
          <w:szCs w:val="32"/>
        </w:rPr>
        <w:t>万元，主要用于以下方面一般公共服务（类）支出</w:t>
      </w:r>
      <w:r>
        <w:rPr>
          <w:rFonts w:ascii="仿宋" w:hAnsi="仿宋" w:eastAsia="仿宋" w:cs="DengXian-Regular"/>
          <w:sz w:val="32"/>
          <w:szCs w:val="32"/>
        </w:rPr>
        <w:t>1.5</w:t>
      </w:r>
      <w:r>
        <w:rPr>
          <w:rFonts w:hint="eastAsia" w:ascii="仿宋" w:hAnsi="仿宋" w:eastAsia="仿宋" w:cs="DengXian-Regular"/>
          <w:sz w:val="32"/>
          <w:szCs w:val="32"/>
        </w:rPr>
        <w:t>万元，占0</w:t>
      </w:r>
      <w:r>
        <w:rPr>
          <w:rFonts w:ascii="仿宋" w:hAnsi="仿宋" w:eastAsia="仿宋" w:cs="DengXian-Regular"/>
          <w:sz w:val="32"/>
          <w:szCs w:val="32"/>
        </w:rPr>
        <w:t>.02</w:t>
      </w:r>
      <w:r>
        <w:rPr>
          <w:rFonts w:hint="eastAsia" w:ascii="仿宋" w:hAnsi="仿宋" w:eastAsia="仿宋" w:cs="DengXian-Regular"/>
          <w:sz w:val="32"/>
          <w:szCs w:val="32"/>
        </w:rPr>
        <w:t>%，；医疗卫生与计划生育（类）支出3</w:t>
      </w:r>
      <w:r>
        <w:rPr>
          <w:rFonts w:ascii="仿宋" w:hAnsi="仿宋" w:eastAsia="仿宋" w:cs="DengXian-Regular"/>
          <w:sz w:val="32"/>
          <w:szCs w:val="32"/>
        </w:rPr>
        <w:t>5.04</w:t>
      </w:r>
      <w:r>
        <w:rPr>
          <w:rFonts w:hint="eastAsia" w:ascii="仿宋" w:hAnsi="仿宋" w:eastAsia="仿宋" w:cs="DengXian-Regular"/>
          <w:sz w:val="32"/>
          <w:szCs w:val="32"/>
        </w:rPr>
        <w:t>万元，占0</w:t>
      </w:r>
      <w:r>
        <w:rPr>
          <w:rFonts w:ascii="仿宋" w:hAnsi="仿宋" w:eastAsia="仿宋" w:cs="DengXian-Regular"/>
          <w:sz w:val="32"/>
          <w:szCs w:val="32"/>
        </w:rPr>
        <w:t>.61</w:t>
      </w:r>
      <w:r>
        <w:rPr>
          <w:rFonts w:hint="eastAsia" w:ascii="仿宋" w:hAnsi="仿宋" w:eastAsia="仿宋" w:cs="DengXian-Regular"/>
          <w:sz w:val="32"/>
          <w:szCs w:val="32"/>
        </w:rPr>
        <w:t>%；农林水（类）支出4</w:t>
      </w:r>
      <w:r>
        <w:rPr>
          <w:rFonts w:ascii="仿宋" w:hAnsi="仿宋" w:eastAsia="仿宋" w:cs="DengXian-Regular"/>
          <w:sz w:val="32"/>
          <w:szCs w:val="32"/>
        </w:rPr>
        <w:t>8.5</w:t>
      </w:r>
      <w:r>
        <w:rPr>
          <w:rFonts w:hint="eastAsia" w:ascii="仿宋" w:hAnsi="仿宋" w:eastAsia="仿宋" w:cs="DengXian-Regular"/>
          <w:sz w:val="32"/>
          <w:szCs w:val="32"/>
        </w:rPr>
        <w:t>万元，占</w:t>
      </w:r>
      <w:r>
        <w:rPr>
          <w:rFonts w:ascii="仿宋" w:hAnsi="仿宋" w:eastAsia="仿宋" w:cs="DengXian-Regular"/>
          <w:sz w:val="32"/>
          <w:szCs w:val="32"/>
        </w:rPr>
        <w:t>0.85</w:t>
      </w:r>
      <w:r>
        <w:rPr>
          <w:rFonts w:hint="eastAsia" w:ascii="仿宋" w:hAnsi="仿宋" w:eastAsia="仿宋" w:cs="DengXian-Regular"/>
          <w:sz w:val="32"/>
          <w:szCs w:val="32"/>
        </w:rPr>
        <w:t>%；教育（类）支出4</w:t>
      </w:r>
      <w:r>
        <w:rPr>
          <w:rFonts w:ascii="仿宋" w:hAnsi="仿宋" w:eastAsia="仿宋" w:cs="DengXian-Regular"/>
          <w:sz w:val="32"/>
          <w:szCs w:val="32"/>
        </w:rPr>
        <w:t>.56</w:t>
      </w:r>
      <w:r>
        <w:rPr>
          <w:rFonts w:hint="eastAsia" w:ascii="仿宋" w:hAnsi="仿宋" w:eastAsia="仿宋" w:cs="DengXian-Regular"/>
          <w:sz w:val="32"/>
          <w:szCs w:val="32"/>
        </w:rPr>
        <w:t xml:space="preserve">万元，占 </w:t>
      </w:r>
      <w:r>
        <w:rPr>
          <w:rFonts w:ascii="仿宋" w:hAnsi="仿宋" w:eastAsia="仿宋" w:cs="DengXian-Regular"/>
          <w:sz w:val="32"/>
          <w:szCs w:val="32"/>
        </w:rPr>
        <w:t>0.8</w:t>
      </w:r>
      <w:r>
        <w:rPr>
          <w:rFonts w:hint="eastAsia" w:ascii="仿宋" w:hAnsi="仿宋" w:eastAsia="仿宋" w:cs="DengXian-Regular"/>
          <w:sz w:val="32"/>
          <w:szCs w:val="32"/>
        </w:rPr>
        <w:t xml:space="preserve">%；社会保障和就业（类）支出 </w:t>
      </w:r>
      <w:r>
        <w:rPr>
          <w:rFonts w:ascii="仿宋" w:hAnsi="仿宋" w:eastAsia="仿宋" w:cs="DengXian-Regular"/>
          <w:sz w:val="32"/>
          <w:szCs w:val="32"/>
        </w:rPr>
        <w:t>4877.2</w:t>
      </w:r>
      <w:r>
        <w:rPr>
          <w:rFonts w:hint="eastAsia" w:ascii="仿宋" w:hAnsi="仿宋" w:eastAsia="仿宋" w:cs="DengXian-Regular"/>
          <w:sz w:val="32"/>
          <w:szCs w:val="32"/>
        </w:rPr>
        <w:t>万元，占8</w:t>
      </w:r>
      <w:r>
        <w:rPr>
          <w:rFonts w:ascii="仿宋" w:hAnsi="仿宋" w:eastAsia="仿宋" w:cs="DengXian-Regular"/>
          <w:sz w:val="32"/>
          <w:szCs w:val="32"/>
        </w:rPr>
        <w:t>5.17</w:t>
      </w:r>
      <w:r>
        <w:rPr>
          <w:rFonts w:hint="eastAsia" w:ascii="仿宋" w:hAnsi="仿宋" w:eastAsia="仿宋" w:cs="DengXian-Regular"/>
          <w:sz w:val="32"/>
          <w:szCs w:val="32"/>
        </w:rPr>
        <w:t>%；住房保障（类）支出</w:t>
      </w:r>
      <w:r>
        <w:rPr>
          <w:rFonts w:ascii="仿宋" w:hAnsi="仿宋" w:eastAsia="仿宋" w:cs="DengXian-Regular"/>
          <w:sz w:val="32"/>
          <w:szCs w:val="32"/>
        </w:rPr>
        <w:t>29.38</w:t>
      </w:r>
      <w:r>
        <w:rPr>
          <w:rFonts w:hint="eastAsia" w:ascii="仿宋" w:hAnsi="仿宋" w:eastAsia="仿宋" w:cs="DengXian-Regular"/>
          <w:sz w:val="32"/>
          <w:szCs w:val="32"/>
        </w:rPr>
        <w:t xml:space="preserve">万元，占 </w:t>
      </w:r>
      <w:r>
        <w:rPr>
          <w:rFonts w:ascii="仿宋" w:hAnsi="仿宋" w:eastAsia="仿宋" w:cs="DengXian-Regular"/>
          <w:sz w:val="32"/>
          <w:szCs w:val="32"/>
        </w:rPr>
        <w:t>0.51</w:t>
      </w:r>
      <w:r>
        <w:rPr>
          <w:rFonts w:hint="eastAsia" w:ascii="仿宋" w:hAnsi="仿宋" w:eastAsia="仿宋" w:cs="DengXian-Regular"/>
          <w:sz w:val="32"/>
          <w:szCs w:val="32"/>
        </w:rPr>
        <w:t>%;其他支出7</w:t>
      </w:r>
      <w:r>
        <w:rPr>
          <w:rFonts w:ascii="仿宋" w:hAnsi="仿宋" w:eastAsia="仿宋" w:cs="DengXian-Regular"/>
          <w:sz w:val="32"/>
          <w:szCs w:val="32"/>
        </w:rPr>
        <w:t>30.18</w:t>
      </w:r>
      <w:r>
        <w:rPr>
          <w:rFonts w:hint="eastAsia" w:ascii="仿宋" w:hAnsi="仿宋" w:eastAsia="仿宋" w:cs="DengXian-Regular"/>
          <w:sz w:val="32"/>
          <w:szCs w:val="32"/>
        </w:rPr>
        <w:t>万元、占1</w:t>
      </w:r>
      <w:r>
        <w:rPr>
          <w:rFonts w:ascii="仿宋" w:hAnsi="仿宋" w:eastAsia="仿宋" w:cs="DengXian-Regular"/>
          <w:sz w:val="32"/>
          <w:szCs w:val="32"/>
        </w:rPr>
        <w:t>2.75%</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94080" behindDoc="0" locked="0" layoutInCell="1" allowOverlap="1">
            <wp:simplePos x="0" y="0"/>
            <wp:positionH relativeFrom="column">
              <wp:posOffset>766445</wp:posOffset>
            </wp:positionH>
            <wp:positionV relativeFrom="paragraph">
              <wp:posOffset>492760</wp:posOffset>
            </wp:positionV>
            <wp:extent cx="4604385" cy="3352165"/>
            <wp:effectExtent l="4445" t="4445" r="20320" b="15240"/>
            <wp:wrapTopAndBottom/>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2019 年度财政拨款基本支出</w:t>
      </w:r>
      <w:r>
        <w:rPr>
          <w:rFonts w:ascii="仿宋" w:hAnsi="仿宋" w:eastAsia="仿宋" w:cs="DengXian-Regular"/>
          <w:sz w:val="32"/>
          <w:szCs w:val="32"/>
        </w:rPr>
        <w:t>851.79</w:t>
      </w:r>
      <w:r>
        <w:rPr>
          <w:rFonts w:hint="eastAsia" w:ascii="仿宋" w:hAnsi="仿宋" w:eastAsia="仿宋" w:cs="DengXian-Regular"/>
          <w:sz w:val="32"/>
          <w:szCs w:val="32"/>
        </w:rPr>
        <w:t xml:space="preserve">万元，其中：人员经费 </w:t>
      </w:r>
      <w:r>
        <w:rPr>
          <w:rFonts w:ascii="仿宋" w:hAnsi="仿宋" w:eastAsia="仿宋" w:cs="DengXian-Regular"/>
          <w:sz w:val="32"/>
          <w:szCs w:val="32"/>
        </w:rPr>
        <w:t>674.16</w:t>
      </w:r>
      <w:r>
        <w:rPr>
          <w:rFonts w:hint="eastAsia" w:ascii="仿宋" w:hAnsi="仿宋" w:eastAsia="仿宋" w:cs="DengXian-Regular"/>
          <w:sz w:val="32"/>
          <w:szCs w:val="32"/>
        </w:rPr>
        <w:t>万元，主要包括基本工资1</w:t>
      </w:r>
      <w:r>
        <w:rPr>
          <w:rFonts w:ascii="仿宋" w:hAnsi="仿宋" w:eastAsia="仿宋" w:cs="DengXian-Regular"/>
          <w:sz w:val="32"/>
          <w:szCs w:val="32"/>
        </w:rPr>
        <w:t>38.47</w:t>
      </w:r>
      <w:r>
        <w:rPr>
          <w:rFonts w:hint="eastAsia" w:ascii="仿宋" w:hAnsi="仿宋" w:eastAsia="仿宋" w:cs="DengXian-Regular"/>
          <w:sz w:val="32"/>
          <w:szCs w:val="32"/>
        </w:rPr>
        <w:t>万、津贴补贴5</w:t>
      </w:r>
      <w:r>
        <w:rPr>
          <w:rFonts w:ascii="仿宋" w:hAnsi="仿宋" w:eastAsia="仿宋" w:cs="DengXian-Regular"/>
          <w:sz w:val="32"/>
          <w:szCs w:val="32"/>
        </w:rPr>
        <w:t>1.16</w:t>
      </w:r>
      <w:r>
        <w:rPr>
          <w:rFonts w:hint="eastAsia" w:ascii="仿宋" w:hAnsi="仿宋" w:eastAsia="仿宋" w:cs="DengXian-Regular"/>
          <w:sz w:val="32"/>
          <w:szCs w:val="32"/>
        </w:rPr>
        <w:t>万元、奖金9</w:t>
      </w:r>
      <w:r>
        <w:rPr>
          <w:rFonts w:ascii="仿宋" w:hAnsi="仿宋" w:eastAsia="仿宋" w:cs="DengXian-Regular"/>
          <w:sz w:val="32"/>
          <w:szCs w:val="32"/>
        </w:rPr>
        <w:t>7.74</w:t>
      </w:r>
      <w:r>
        <w:rPr>
          <w:rFonts w:hint="eastAsia" w:ascii="仿宋" w:hAnsi="仿宋" w:eastAsia="仿宋" w:cs="DengXian-Regular"/>
          <w:sz w:val="32"/>
          <w:szCs w:val="32"/>
        </w:rPr>
        <w:t>万元、伙食补助费、绩效工资9</w:t>
      </w:r>
      <w:r>
        <w:rPr>
          <w:rFonts w:ascii="仿宋" w:hAnsi="仿宋" w:eastAsia="仿宋" w:cs="DengXian-Regular"/>
          <w:sz w:val="32"/>
          <w:szCs w:val="32"/>
        </w:rPr>
        <w:t>2.68</w:t>
      </w:r>
      <w:r>
        <w:rPr>
          <w:rFonts w:hint="eastAsia" w:ascii="仿宋" w:hAnsi="仿宋" w:eastAsia="仿宋" w:cs="DengXian-Regular"/>
          <w:sz w:val="32"/>
          <w:szCs w:val="32"/>
        </w:rPr>
        <w:t>万元、机关事业单位基本养老保险缴费5</w:t>
      </w:r>
      <w:r>
        <w:rPr>
          <w:rFonts w:ascii="仿宋" w:hAnsi="仿宋" w:eastAsia="仿宋" w:cs="DengXian-Regular"/>
          <w:sz w:val="32"/>
          <w:szCs w:val="32"/>
        </w:rPr>
        <w:t>6.65</w:t>
      </w:r>
      <w:r>
        <w:rPr>
          <w:rFonts w:hint="eastAsia" w:ascii="仿宋" w:hAnsi="仿宋" w:eastAsia="仿宋" w:cs="DengXian-Regular"/>
          <w:sz w:val="32"/>
          <w:szCs w:val="32"/>
        </w:rPr>
        <w:t>万元、职工基本医疗保险缴费3</w:t>
      </w:r>
      <w:r>
        <w:rPr>
          <w:rFonts w:ascii="仿宋" w:hAnsi="仿宋" w:eastAsia="仿宋" w:cs="DengXian-Regular"/>
          <w:sz w:val="32"/>
          <w:szCs w:val="32"/>
        </w:rPr>
        <w:t>5.04</w:t>
      </w:r>
      <w:r>
        <w:rPr>
          <w:rFonts w:hint="eastAsia" w:ascii="仿宋" w:hAnsi="仿宋" w:eastAsia="仿宋" w:cs="DengXian-Regular"/>
          <w:sz w:val="32"/>
          <w:szCs w:val="32"/>
        </w:rPr>
        <w:t>万元、住房公积金2</w:t>
      </w:r>
      <w:r>
        <w:rPr>
          <w:rFonts w:ascii="仿宋" w:hAnsi="仿宋" w:eastAsia="仿宋" w:cs="DengXian-Regular"/>
          <w:sz w:val="32"/>
          <w:szCs w:val="32"/>
        </w:rPr>
        <w:t>9.38</w:t>
      </w:r>
      <w:r>
        <w:rPr>
          <w:rFonts w:hint="eastAsia" w:ascii="仿宋" w:hAnsi="仿宋" w:eastAsia="仿宋" w:cs="DengXian-Regular"/>
          <w:sz w:val="32"/>
          <w:szCs w:val="32"/>
        </w:rPr>
        <w:t>万元、离休费1</w:t>
      </w:r>
      <w:r>
        <w:rPr>
          <w:rFonts w:ascii="仿宋" w:hAnsi="仿宋" w:eastAsia="仿宋" w:cs="DengXian-Regular"/>
          <w:sz w:val="32"/>
          <w:szCs w:val="32"/>
        </w:rPr>
        <w:t>3.63</w:t>
      </w:r>
      <w:r>
        <w:rPr>
          <w:rFonts w:hint="eastAsia" w:ascii="仿宋" w:hAnsi="仿宋" w:eastAsia="仿宋" w:cs="DengXian-Regular"/>
          <w:sz w:val="32"/>
          <w:szCs w:val="32"/>
        </w:rPr>
        <w:t>万元、退休费9</w:t>
      </w:r>
      <w:r>
        <w:rPr>
          <w:rFonts w:ascii="仿宋" w:hAnsi="仿宋" w:eastAsia="仿宋" w:cs="DengXian-Regular"/>
          <w:sz w:val="32"/>
          <w:szCs w:val="32"/>
        </w:rPr>
        <w:t>5.65</w:t>
      </w:r>
      <w:r>
        <w:rPr>
          <w:rFonts w:hint="eastAsia" w:ascii="仿宋" w:hAnsi="仿宋" w:eastAsia="仿宋" w:cs="DengXian-Regular"/>
          <w:sz w:val="32"/>
          <w:szCs w:val="32"/>
        </w:rPr>
        <w:t>万元、生活补助6</w:t>
      </w:r>
      <w:r>
        <w:rPr>
          <w:rFonts w:ascii="仿宋" w:hAnsi="仿宋" w:eastAsia="仿宋" w:cs="DengXian-Regular"/>
          <w:sz w:val="32"/>
          <w:szCs w:val="32"/>
        </w:rPr>
        <w:t>3.56</w:t>
      </w:r>
      <w:r>
        <w:rPr>
          <w:rFonts w:hint="eastAsia" w:ascii="仿宋" w:hAnsi="仿宋" w:eastAsia="仿宋" w:cs="DengXian-Regular"/>
          <w:sz w:val="32"/>
          <w:szCs w:val="32"/>
        </w:rPr>
        <w:t>万元、医疗费补助0</w:t>
      </w:r>
      <w:r>
        <w:rPr>
          <w:rFonts w:ascii="仿宋" w:hAnsi="仿宋" w:eastAsia="仿宋" w:cs="DengXian-Regular"/>
          <w:sz w:val="32"/>
          <w:szCs w:val="32"/>
        </w:rPr>
        <w:t>.2</w:t>
      </w:r>
      <w:r>
        <w:rPr>
          <w:rFonts w:hint="eastAsia" w:ascii="仿宋" w:hAnsi="仿宋" w:eastAsia="仿宋" w:cs="DengXian-Regular"/>
          <w:sz w:val="32"/>
          <w:szCs w:val="32"/>
        </w:rPr>
        <w:t>万元</w:t>
      </w:r>
      <w:r>
        <w:rPr>
          <w:rFonts w:hint="eastAsia" w:ascii="仿宋" w:hAnsi="仿宋" w:eastAsia="仿宋" w:cs="DengXian-Regular"/>
          <w:sz w:val="32"/>
          <w:szCs w:val="32"/>
          <w:lang w:eastAsia="zh-CN"/>
        </w:rPr>
        <w:t>；</w:t>
      </w:r>
      <w:r>
        <w:rPr>
          <w:rFonts w:hint="eastAsia" w:ascii="仿宋" w:hAnsi="仿宋" w:eastAsia="仿宋" w:cs="DengXian-Regular"/>
          <w:sz w:val="32"/>
          <w:szCs w:val="32"/>
        </w:rPr>
        <w:t xml:space="preserve">公用经费 </w:t>
      </w:r>
      <w:r>
        <w:rPr>
          <w:rFonts w:ascii="仿宋" w:hAnsi="仿宋" w:eastAsia="仿宋" w:cs="DengXian-Regular"/>
          <w:sz w:val="32"/>
          <w:szCs w:val="32"/>
        </w:rPr>
        <w:t>177.63</w:t>
      </w:r>
      <w:r>
        <w:rPr>
          <w:rFonts w:hint="eastAsia" w:ascii="仿宋" w:hAnsi="仿宋" w:eastAsia="仿宋" w:cs="DengXian-Regular"/>
          <w:sz w:val="32"/>
          <w:szCs w:val="32"/>
        </w:rPr>
        <w:t>万元，主要包括办公费5</w:t>
      </w:r>
      <w:r>
        <w:rPr>
          <w:rFonts w:ascii="仿宋" w:hAnsi="仿宋" w:eastAsia="仿宋" w:cs="DengXian-Regular"/>
          <w:sz w:val="32"/>
          <w:szCs w:val="32"/>
        </w:rPr>
        <w:t>1.66</w:t>
      </w:r>
      <w:r>
        <w:rPr>
          <w:rFonts w:hint="eastAsia" w:ascii="仿宋" w:hAnsi="仿宋" w:eastAsia="仿宋" w:cs="DengXian-Regular"/>
          <w:sz w:val="32"/>
          <w:szCs w:val="32"/>
        </w:rPr>
        <w:t>万元、印刷费4</w:t>
      </w:r>
      <w:r>
        <w:rPr>
          <w:rFonts w:ascii="仿宋" w:hAnsi="仿宋" w:eastAsia="仿宋" w:cs="DengXian-Regular"/>
          <w:sz w:val="32"/>
          <w:szCs w:val="32"/>
        </w:rPr>
        <w:t>.83</w:t>
      </w:r>
      <w:r>
        <w:rPr>
          <w:rFonts w:hint="eastAsia" w:ascii="仿宋" w:hAnsi="仿宋" w:eastAsia="仿宋" w:cs="DengXian-Regular"/>
          <w:sz w:val="32"/>
          <w:szCs w:val="32"/>
        </w:rPr>
        <w:t>万元、咨询费0</w:t>
      </w:r>
      <w:r>
        <w:rPr>
          <w:rFonts w:ascii="仿宋" w:hAnsi="仿宋" w:eastAsia="仿宋" w:cs="DengXian-Regular"/>
          <w:sz w:val="32"/>
          <w:szCs w:val="32"/>
        </w:rPr>
        <w:t>.3</w:t>
      </w:r>
      <w:r>
        <w:rPr>
          <w:rFonts w:hint="eastAsia" w:ascii="仿宋" w:hAnsi="仿宋" w:eastAsia="仿宋" w:cs="DengXian-Regular"/>
          <w:sz w:val="32"/>
          <w:szCs w:val="32"/>
        </w:rPr>
        <w:t>万元、手续费0</w:t>
      </w:r>
      <w:r>
        <w:rPr>
          <w:rFonts w:ascii="仿宋" w:hAnsi="仿宋" w:eastAsia="仿宋" w:cs="DengXian-Regular"/>
          <w:sz w:val="32"/>
          <w:szCs w:val="32"/>
        </w:rPr>
        <w:t>.04</w:t>
      </w:r>
      <w:r>
        <w:rPr>
          <w:rFonts w:hint="eastAsia" w:ascii="仿宋" w:hAnsi="仿宋" w:eastAsia="仿宋" w:cs="DengXian-Regular"/>
          <w:sz w:val="32"/>
          <w:szCs w:val="32"/>
        </w:rPr>
        <w:t>万元、水费1</w:t>
      </w:r>
      <w:r>
        <w:rPr>
          <w:rFonts w:ascii="仿宋" w:hAnsi="仿宋" w:eastAsia="仿宋" w:cs="DengXian-Regular"/>
          <w:sz w:val="32"/>
          <w:szCs w:val="32"/>
        </w:rPr>
        <w:t>.5</w:t>
      </w:r>
      <w:r>
        <w:rPr>
          <w:rFonts w:hint="eastAsia" w:ascii="仿宋" w:hAnsi="仿宋" w:eastAsia="仿宋" w:cs="DengXian-Regular"/>
          <w:sz w:val="32"/>
          <w:szCs w:val="32"/>
        </w:rPr>
        <w:t>万元、电费4</w:t>
      </w:r>
      <w:r>
        <w:rPr>
          <w:rFonts w:ascii="仿宋" w:hAnsi="仿宋" w:eastAsia="仿宋" w:cs="DengXian-Regular"/>
          <w:sz w:val="32"/>
          <w:szCs w:val="32"/>
        </w:rPr>
        <w:t>.5</w:t>
      </w:r>
      <w:r>
        <w:rPr>
          <w:rFonts w:hint="eastAsia" w:ascii="仿宋" w:hAnsi="仿宋" w:eastAsia="仿宋" w:cs="DengXian-Regular"/>
          <w:sz w:val="32"/>
          <w:szCs w:val="32"/>
        </w:rPr>
        <w:t>万元、邮电费6</w:t>
      </w:r>
      <w:r>
        <w:rPr>
          <w:rFonts w:ascii="仿宋" w:hAnsi="仿宋" w:eastAsia="仿宋" w:cs="DengXian-Regular"/>
          <w:sz w:val="32"/>
          <w:szCs w:val="32"/>
        </w:rPr>
        <w:t>.04</w:t>
      </w:r>
      <w:r>
        <w:rPr>
          <w:rFonts w:hint="eastAsia" w:ascii="仿宋" w:hAnsi="仿宋" w:eastAsia="仿宋" w:cs="DengXian-Regular"/>
          <w:sz w:val="32"/>
          <w:szCs w:val="32"/>
        </w:rPr>
        <w:t>万元、取暖费、物业管理费、差旅费0</w:t>
      </w:r>
      <w:r>
        <w:rPr>
          <w:rFonts w:ascii="仿宋" w:hAnsi="仿宋" w:eastAsia="仿宋" w:cs="DengXian-Regular"/>
          <w:sz w:val="32"/>
          <w:szCs w:val="32"/>
        </w:rPr>
        <w:t>.56</w:t>
      </w:r>
      <w:r>
        <w:rPr>
          <w:rFonts w:hint="eastAsia" w:ascii="仿宋" w:hAnsi="仿宋" w:eastAsia="仿宋" w:cs="DengXian-Regular"/>
          <w:sz w:val="32"/>
          <w:szCs w:val="32"/>
        </w:rPr>
        <w:t>万元、维修（护）费7</w:t>
      </w:r>
      <w:r>
        <w:rPr>
          <w:rFonts w:ascii="仿宋" w:hAnsi="仿宋" w:eastAsia="仿宋" w:cs="DengXian-Regular"/>
          <w:sz w:val="32"/>
          <w:szCs w:val="32"/>
        </w:rPr>
        <w:t>.15</w:t>
      </w:r>
      <w:r>
        <w:rPr>
          <w:rFonts w:hint="eastAsia" w:ascii="仿宋" w:hAnsi="仿宋" w:eastAsia="仿宋" w:cs="DengXian-Regular"/>
          <w:sz w:val="32"/>
          <w:szCs w:val="32"/>
        </w:rPr>
        <w:t>万元、劳务费4</w:t>
      </w:r>
      <w:r>
        <w:rPr>
          <w:rFonts w:ascii="仿宋" w:hAnsi="仿宋" w:eastAsia="仿宋" w:cs="DengXian-Regular"/>
          <w:sz w:val="32"/>
          <w:szCs w:val="32"/>
        </w:rPr>
        <w:t>9.32</w:t>
      </w:r>
      <w:r>
        <w:rPr>
          <w:rFonts w:hint="eastAsia" w:ascii="仿宋" w:hAnsi="仿宋" w:eastAsia="仿宋" w:cs="DengXian-Regular"/>
          <w:sz w:val="32"/>
          <w:szCs w:val="32"/>
        </w:rPr>
        <w:t>万元、委托业务费3</w:t>
      </w:r>
      <w:r>
        <w:rPr>
          <w:rFonts w:ascii="仿宋" w:hAnsi="仿宋" w:eastAsia="仿宋" w:cs="DengXian-Regular"/>
          <w:sz w:val="32"/>
          <w:szCs w:val="32"/>
        </w:rPr>
        <w:t>5.81</w:t>
      </w:r>
      <w:r>
        <w:rPr>
          <w:rFonts w:hint="eastAsia" w:ascii="仿宋" w:hAnsi="仿宋" w:eastAsia="仿宋" w:cs="DengXian-Regular"/>
          <w:sz w:val="32"/>
          <w:szCs w:val="32"/>
        </w:rPr>
        <w:t>万元、工会经费1</w:t>
      </w:r>
      <w:r>
        <w:rPr>
          <w:rFonts w:ascii="仿宋" w:hAnsi="仿宋" w:eastAsia="仿宋" w:cs="DengXian-Regular"/>
          <w:sz w:val="32"/>
          <w:szCs w:val="32"/>
        </w:rPr>
        <w:t>.86</w:t>
      </w:r>
      <w:r>
        <w:rPr>
          <w:rFonts w:hint="eastAsia" w:ascii="仿宋" w:hAnsi="仿宋" w:eastAsia="仿宋" w:cs="DengXian-Regular"/>
          <w:sz w:val="32"/>
          <w:szCs w:val="32"/>
        </w:rPr>
        <w:t>万元、福利费2</w:t>
      </w:r>
      <w:r>
        <w:rPr>
          <w:rFonts w:ascii="仿宋" w:hAnsi="仿宋" w:eastAsia="仿宋" w:cs="DengXian-Regular"/>
          <w:sz w:val="32"/>
          <w:szCs w:val="32"/>
        </w:rPr>
        <w:t>.82</w:t>
      </w:r>
      <w:r>
        <w:rPr>
          <w:rFonts w:hint="eastAsia" w:ascii="仿宋" w:hAnsi="仿宋" w:eastAsia="仿宋" w:cs="DengXian-Regular"/>
          <w:sz w:val="32"/>
          <w:szCs w:val="32"/>
        </w:rPr>
        <w:t>万元、公务用车运行维护费2</w:t>
      </w:r>
      <w:r>
        <w:rPr>
          <w:rFonts w:ascii="仿宋" w:hAnsi="仿宋" w:eastAsia="仿宋" w:cs="DengXian-Regular"/>
          <w:sz w:val="32"/>
          <w:szCs w:val="32"/>
        </w:rPr>
        <w:t>.66</w:t>
      </w:r>
      <w:r>
        <w:rPr>
          <w:rFonts w:hint="eastAsia" w:ascii="仿宋" w:hAnsi="仿宋" w:eastAsia="仿宋" w:cs="DengXian-Regular"/>
          <w:sz w:val="32"/>
          <w:szCs w:val="32"/>
        </w:rPr>
        <w:t>万元、其他交通费用8</w:t>
      </w:r>
      <w:r>
        <w:rPr>
          <w:rFonts w:ascii="仿宋" w:hAnsi="仿宋" w:eastAsia="仿宋" w:cs="DengXian-Regular"/>
          <w:sz w:val="32"/>
          <w:szCs w:val="32"/>
        </w:rPr>
        <w:t>.57</w:t>
      </w:r>
      <w:r>
        <w:rPr>
          <w:rFonts w:hint="eastAsia" w:ascii="仿宋" w:hAnsi="仿宋" w:eastAsia="仿宋" w:cs="DengXian-Regular"/>
          <w:sz w:val="32"/>
          <w:szCs w:val="32"/>
        </w:rPr>
        <w:t>万元。</w:t>
      </w:r>
    </w:p>
    <w:p>
      <w:pPr>
        <w:keepNext/>
        <w:keepLines/>
        <w:snapToGrid w:val="0"/>
        <w:spacing w:line="580" w:lineRule="exact"/>
        <w:ind w:firstLine="643" w:firstLineChars="200"/>
        <w:outlineLvl w:val="1"/>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五、一般公共预算“三公” 经费支出决算情况说明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本部门2019年度“三公”经费支出共计</w:t>
      </w:r>
      <w:r>
        <w:rPr>
          <w:rFonts w:ascii="仿宋" w:hAnsi="仿宋" w:eastAsia="仿宋" w:cs="DengXian-Regular"/>
          <w:sz w:val="32"/>
          <w:szCs w:val="32"/>
        </w:rPr>
        <w:t>2.66</w:t>
      </w:r>
      <w:r>
        <w:rPr>
          <w:rFonts w:hint="eastAsia" w:ascii="仿宋" w:hAnsi="仿宋" w:eastAsia="仿宋" w:cs="DengXian-Regular"/>
          <w:sz w:val="32"/>
          <w:szCs w:val="32"/>
        </w:rPr>
        <w:t>万元，完成预算的9</w:t>
      </w:r>
      <w:r>
        <w:rPr>
          <w:rFonts w:ascii="仿宋" w:hAnsi="仿宋" w:eastAsia="仿宋" w:cs="DengXian-Regular"/>
          <w:sz w:val="32"/>
          <w:szCs w:val="32"/>
        </w:rPr>
        <w:t>8.52</w:t>
      </w:r>
      <w:r>
        <w:rPr>
          <w:rFonts w:hint="eastAsia" w:ascii="仿宋" w:hAnsi="仿宋" w:eastAsia="仿宋" w:cs="DengXian-Regular"/>
          <w:sz w:val="32"/>
          <w:szCs w:val="32"/>
        </w:rPr>
        <w:t>%,较预算减少0</w:t>
      </w:r>
      <w:r>
        <w:rPr>
          <w:rFonts w:ascii="仿宋" w:hAnsi="仿宋" w:eastAsia="仿宋" w:cs="DengXian-Regular"/>
          <w:sz w:val="32"/>
          <w:szCs w:val="32"/>
        </w:rPr>
        <w:t>.04</w:t>
      </w:r>
      <w:r>
        <w:rPr>
          <w:rFonts w:hint="eastAsia" w:ascii="仿宋" w:hAnsi="仿宋" w:eastAsia="仿宋" w:cs="DengXian-Regular"/>
          <w:sz w:val="32"/>
          <w:szCs w:val="32"/>
        </w:rPr>
        <w:t>万元，降低1</w:t>
      </w:r>
      <w:r>
        <w:rPr>
          <w:rFonts w:ascii="仿宋" w:hAnsi="仿宋" w:eastAsia="仿宋" w:cs="DengXian-Regular"/>
          <w:sz w:val="32"/>
          <w:szCs w:val="32"/>
        </w:rPr>
        <w:t>.48</w:t>
      </w:r>
      <w:r>
        <w:rPr>
          <w:rFonts w:hint="eastAsia" w:ascii="仿宋" w:hAnsi="仿宋" w:eastAsia="仿宋" w:cs="DengXian-Regular"/>
          <w:sz w:val="32"/>
          <w:szCs w:val="32"/>
        </w:rPr>
        <w:t>%，主要是节能降耗；较2018年度减少7</w:t>
      </w:r>
      <w:r>
        <w:rPr>
          <w:rFonts w:ascii="仿宋" w:hAnsi="仿宋" w:eastAsia="仿宋" w:cs="DengXian-Regular"/>
          <w:sz w:val="32"/>
          <w:szCs w:val="32"/>
        </w:rPr>
        <w:t>.65</w:t>
      </w:r>
      <w:r>
        <w:rPr>
          <w:rFonts w:hint="eastAsia" w:ascii="仿宋" w:hAnsi="仿宋" w:eastAsia="仿宋" w:cs="DengXian-Regular"/>
          <w:sz w:val="32"/>
          <w:szCs w:val="32"/>
        </w:rPr>
        <w:t>万元，降低7</w:t>
      </w:r>
      <w:r>
        <w:rPr>
          <w:rFonts w:ascii="仿宋" w:hAnsi="仿宋" w:eastAsia="仿宋" w:cs="DengXian-Regular"/>
          <w:sz w:val="32"/>
          <w:szCs w:val="32"/>
        </w:rPr>
        <w:t>4.2</w:t>
      </w:r>
      <w:r>
        <w:rPr>
          <w:rFonts w:hint="eastAsia" w:ascii="仿宋" w:hAnsi="仿宋" w:eastAsia="仿宋" w:cs="DengXian-Regular"/>
          <w:sz w:val="32"/>
          <w:szCs w:val="32"/>
        </w:rPr>
        <w:t>%，主要是</w:t>
      </w:r>
      <w:bookmarkStart w:id="3" w:name="_Hlk55219103"/>
      <w:r>
        <w:rPr>
          <w:rFonts w:hint="eastAsia" w:ascii="仿宋" w:hAnsi="仿宋" w:eastAsia="仿宋" w:cs="DengXian-Regular"/>
          <w:sz w:val="32"/>
          <w:szCs w:val="32"/>
        </w:rPr>
        <w:t>因机构改革涉军、宗教、老龄办职能划走，人员及车辆相应减少</w:t>
      </w:r>
      <w:bookmarkEnd w:id="3"/>
      <w:r>
        <w:rPr>
          <w:rFonts w:hint="eastAsia" w:ascii="仿宋" w:hAnsi="仿宋" w:eastAsia="仿宋" w:cs="DengXian-Regular"/>
          <w:sz w:val="32"/>
          <w:szCs w:val="32"/>
        </w:rPr>
        <w:t>。具体情况如下：</w:t>
      </w:r>
    </w:p>
    <w:p>
      <w:pPr>
        <w:adjustRightInd w:val="0"/>
        <w:snapToGrid w:val="0"/>
        <w:spacing w:line="580" w:lineRule="exact"/>
        <w:ind w:firstLine="643" w:firstLineChars="200"/>
        <w:rPr>
          <w:rFonts w:ascii="仿宋" w:hAnsi="仿宋" w:eastAsia="仿宋" w:cs="DengXian-Regular"/>
          <w:sz w:val="32"/>
          <w:szCs w:val="32"/>
        </w:rPr>
      </w:pPr>
      <w:r>
        <w:rPr>
          <w:rFonts w:hint="eastAsia" w:ascii="楷体_GB2312" w:hAnsi="Times New Roman" w:eastAsia="楷体_GB2312" w:cs="DengXian-Bold"/>
          <w:b/>
          <w:bCs/>
          <w:sz w:val="32"/>
          <w:szCs w:val="32"/>
        </w:rPr>
        <w:t>（一）因公出国（境）费支出0元。</w:t>
      </w:r>
      <w:r>
        <w:rPr>
          <w:rFonts w:hint="eastAsia" w:ascii="仿宋" w:hAnsi="仿宋" w:eastAsia="仿宋" w:cs="DengXian-Regular"/>
          <w:sz w:val="32"/>
          <w:szCs w:val="32"/>
        </w:rPr>
        <w:t>本部门2019年度未发生此类支出，较年初预算无增减变化。</w:t>
      </w:r>
    </w:p>
    <w:p>
      <w:pPr>
        <w:adjustRightInd w:val="0"/>
        <w:snapToGrid w:val="0"/>
        <w:spacing w:line="580" w:lineRule="exact"/>
        <w:ind w:firstLine="643" w:firstLineChars="200"/>
        <w:rPr>
          <w:rFonts w:ascii="仿宋" w:hAnsi="仿宋" w:eastAsia="仿宋" w:cs="DengXian-Bold"/>
          <w:b/>
          <w:bCs/>
          <w:sz w:val="32"/>
          <w:szCs w:val="32"/>
        </w:rPr>
      </w:pPr>
      <w:r>
        <w:rPr>
          <w:rFonts w:hint="eastAsia" w:ascii="楷体_GB2312" w:hAnsi="Times New Roman" w:eastAsia="楷体_GB2312" w:cs="DengXian-Bold"/>
          <w:b/>
          <w:bCs/>
          <w:sz w:val="32"/>
          <w:szCs w:val="32"/>
        </w:rPr>
        <w:t>（二）公务用车购置及运行维护费支出</w:t>
      </w:r>
      <w:r>
        <w:rPr>
          <w:rFonts w:ascii="楷体_GB2312" w:hAnsi="Times New Roman" w:eastAsia="楷体_GB2312" w:cs="DengXian-Bold"/>
          <w:b/>
          <w:bCs/>
          <w:sz w:val="32"/>
          <w:szCs w:val="32"/>
        </w:rPr>
        <w:t>2.66</w:t>
      </w:r>
      <w:r>
        <w:rPr>
          <w:rFonts w:hint="eastAsia" w:ascii="楷体_GB2312" w:hAnsi="Times New Roman" w:eastAsia="楷体_GB2312" w:cs="DengXian-Bold"/>
          <w:b/>
          <w:bCs/>
          <w:sz w:val="32"/>
          <w:szCs w:val="32"/>
        </w:rPr>
        <w:t>万元。</w:t>
      </w:r>
      <w:r>
        <w:rPr>
          <w:rFonts w:hint="eastAsia" w:ascii="仿宋" w:hAnsi="仿宋" w:eastAsia="仿宋" w:cs="DengXian-Regular"/>
          <w:sz w:val="32"/>
          <w:szCs w:val="32"/>
        </w:rPr>
        <w:t>本部门2019年度公务用车购置及运行维护费较预算减少</w:t>
      </w:r>
      <w:r>
        <w:rPr>
          <w:rFonts w:ascii="仿宋" w:hAnsi="仿宋" w:eastAsia="仿宋" w:cs="DengXian-Regular"/>
          <w:sz w:val="32"/>
          <w:szCs w:val="32"/>
        </w:rPr>
        <w:t>0.04</w:t>
      </w:r>
      <w:r>
        <w:rPr>
          <w:rFonts w:hint="eastAsia" w:ascii="仿宋" w:hAnsi="仿宋" w:eastAsia="仿宋" w:cs="DengXian-Regular"/>
          <w:sz w:val="32"/>
          <w:szCs w:val="32"/>
        </w:rPr>
        <w:t>万元，降低</w:t>
      </w:r>
      <w:r>
        <w:rPr>
          <w:rFonts w:ascii="仿宋" w:hAnsi="仿宋" w:eastAsia="仿宋" w:cs="DengXian-Regular"/>
          <w:sz w:val="32"/>
          <w:szCs w:val="32"/>
        </w:rPr>
        <w:t>1.48</w:t>
      </w:r>
      <w:r>
        <w:rPr>
          <w:rFonts w:hint="eastAsia" w:ascii="仿宋" w:hAnsi="仿宋" w:eastAsia="仿宋" w:cs="DengXian-Regular"/>
          <w:sz w:val="32"/>
          <w:szCs w:val="32"/>
        </w:rPr>
        <w:t>%,主要是节能降耗；较上年减少</w:t>
      </w:r>
      <w:r>
        <w:rPr>
          <w:rFonts w:ascii="仿宋" w:hAnsi="仿宋" w:eastAsia="仿宋" w:cs="DengXian-Regular"/>
          <w:sz w:val="32"/>
          <w:szCs w:val="32"/>
        </w:rPr>
        <w:t>7.65</w:t>
      </w:r>
      <w:r>
        <w:rPr>
          <w:rFonts w:hint="eastAsia" w:ascii="仿宋" w:hAnsi="仿宋" w:eastAsia="仿宋" w:cs="DengXian-Regular"/>
          <w:sz w:val="32"/>
          <w:szCs w:val="32"/>
        </w:rPr>
        <w:t>万元，降低</w:t>
      </w:r>
      <w:r>
        <w:rPr>
          <w:rFonts w:ascii="仿宋" w:hAnsi="仿宋" w:eastAsia="仿宋" w:cs="DengXian-Regular"/>
          <w:sz w:val="32"/>
          <w:szCs w:val="32"/>
        </w:rPr>
        <w:t>74.2</w:t>
      </w:r>
      <w:r>
        <w:rPr>
          <w:rFonts w:hint="eastAsia" w:ascii="仿宋" w:hAnsi="仿宋" w:eastAsia="仿宋" w:cs="DengXian-Regular"/>
          <w:sz w:val="32"/>
          <w:szCs w:val="32"/>
        </w:rPr>
        <w:t>%,主要是因机构改革涉军、宗教、老龄办职能划走，人员及车辆相应减少。</w:t>
      </w:r>
      <w:r>
        <w:rPr>
          <w:rFonts w:hint="eastAsia" w:ascii="仿宋" w:hAnsi="仿宋" w:eastAsia="仿宋"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 w:hAnsi="仿宋" w:eastAsia="仿宋" w:cs="DengXian-Regular"/>
          <w:sz w:val="32"/>
          <w:szCs w:val="32"/>
        </w:rPr>
        <w:t>本部门2019年度公务用车购置量</w:t>
      </w:r>
      <w:r>
        <w:rPr>
          <w:rFonts w:ascii="仿宋" w:hAnsi="仿宋" w:eastAsia="仿宋" w:cs="DengXian-Regular"/>
          <w:sz w:val="32"/>
          <w:szCs w:val="32"/>
        </w:rPr>
        <w:t>0</w:t>
      </w:r>
      <w:r>
        <w:rPr>
          <w:rFonts w:hint="eastAsia" w:ascii="仿宋" w:hAnsi="仿宋" w:eastAsia="仿宋" w:cs="DengXian-Regular"/>
          <w:sz w:val="32"/>
          <w:szCs w:val="32"/>
        </w:rPr>
        <w:t>辆，发生“公务用车购置”经费支出</w:t>
      </w:r>
      <w:r>
        <w:rPr>
          <w:rFonts w:ascii="仿宋" w:hAnsi="仿宋" w:eastAsia="仿宋" w:cs="DengXian-Regular"/>
          <w:sz w:val="32"/>
          <w:szCs w:val="32"/>
        </w:rPr>
        <w:t>0</w:t>
      </w:r>
      <w:r>
        <w:rPr>
          <w:rFonts w:hint="eastAsia" w:ascii="仿宋" w:hAnsi="仿宋" w:eastAsia="仿宋" w:cs="DengXian-Regular"/>
          <w:sz w:val="32"/>
          <w:szCs w:val="32"/>
        </w:rPr>
        <w:t>万元。公务用车购置费支出较预算无增减变化；较上年增减变化。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 w:hAnsi="仿宋" w:eastAsia="仿宋" w:cs="DengXian-Regular"/>
          <w:sz w:val="32"/>
          <w:szCs w:val="32"/>
        </w:rPr>
        <w:t>本部门2019年度单位公务用车保有量</w:t>
      </w:r>
      <w:r>
        <w:rPr>
          <w:rFonts w:ascii="仿宋" w:hAnsi="仿宋" w:eastAsia="仿宋" w:cs="DengXian-Regular"/>
          <w:sz w:val="32"/>
          <w:szCs w:val="32"/>
        </w:rPr>
        <w:t>2</w:t>
      </w:r>
      <w:r>
        <w:rPr>
          <w:rFonts w:hint="eastAsia" w:ascii="仿宋" w:hAnsi="仿宋" w:eastAsia="仿宋" w:cs="DengXian-Regular"/>
          <w:sz w:val="32"/>
          <w:szCs w:val="32"/>
        </w:rPr>
        <w:t>辆。公车运行维护费支出较预算减少0</w:t>
      </w:r>
      <w:r>
        <w:rPr>
          <w:rFonts w:ascii="仿宋" w:hAnsi="仿宋" w:eastAsia="仿宋" w:cs="DengXian-Regular"/>
          <w:sz w:val="32"/>
          <w:szCs w:val="32"/>
        </w:rPr>
        <w:t>.04</w:t>
      </w:r>
      <w:r>
        <w:rPr>
          <w:rFonts w:hint="eastAsia" w:ascii="仿宋" w:hAnsi="仿宋" w:eastAsia="仿宋" w:cs="DengXian-Regular"/>
          <w:sz w:val="32"/>
          <w:szCs w:val="32"/>
        </w:rPr>
        <w:t>万元，降低1</w:t>
      </w:r>
      <w:r>
        <w:rPr>
          <w:rFonts w:ascii="仿宋" w:hAnsi="仿宋" w:eastAsia="仿宋" w:cs="DengXian-Regular"/>
          <w:sz w:val="32"/>
          <w:szCs w:val="32"/>
        </w:rPr>
        <w:t>.48</w:t>
      </w:r>
      <w:r>
        <w:rPr>
          <w:rFonts w:hint="eastAsia" w:ascii="仿宋" w:hAnsi="仿宋" w:eastAsia="仿宋" w:cs="DengXian-Regular"/>
          <w:sz w:val="32"/>
          <w:szCs w:val="32"/>
        </w:rPr>
        <w:t>%,主要是节能降耗；较上年减少7</w:t>
      </w:r>
      <w:r>
        <w:rPr>
          <w:rFonts w:ascii="仿宋" w:hAnsi="仿宋" w:eastAsia="仿宋" w:cs="DengXian-Regular"/>
          <w:sz w:val="32"/>
          <w:szCs w:val="32"/>
        </w:rPr>
        <w:t>.65</w:t>
      </w:r>
      <w:r>
        <w:rPr>
          <w:rFonts w:hint="eastAsia" w:ascii="仿宋" w:hAnsi="仿宋" w:eastAsia="仿宋" w:cs="DengXian-Regular"/>
          <w:sz w:val="32"/>
          <w:szCs w:val="32"/>
        </w:rPr>
        <w:t>万元，降低7</w:t>
      </w:r>
      <w:r>
        <w:rPr>
          <w:rFonts w:ascii="仿宋" w:hAnsi="仿宋" w:eastAsia="仿宋" w:cs="DengXian-Regular"/>
          <w:sz w:val="32"/>
          <w:szCs w:val="32"/>
        </w:rPr>
        <w:t>4.2</w:t>
      </w:r>
      <w:r>
        <w:rPr>
          <w:rFonts w:hint="eastAsia" w:ascii="仿宋" w:hAnsi="仿宋" w:eastAsia="仿宋" w:cs="DengXian-Regular"/>
          <w:sz w:val="32"/>
          <w:szCs w:val="32"/>
        </w:rPr>
        <w:t>%，主要是因机构改革涉军、宗教、老龄办职能划走，人员及车辆相应减少。</w:t>
      </w:r>
    </w:p>
    <w:p>
      <w:pPr>
        <w:adjustRightInd w:val="0"/>
        <w:snapToGrid w:val="0"/>
        <w:spacing w:line="580" w:lineRule="exact"/>
        <w:ind w:firstLine="643" w:firstLineChars="200"/>
        <w:rPr>
          <w:rFonts w:ascii="仿宋" w:hAnsi="仿宋" w:eastAsia="仿宋" w:cs="DengXian-Regular"/>
          <w:sz w:val="32"/>
          <w:szCs w:val="32"/>
        </w:rPr>
      </w:pPr>
      <w:r>
        <w:rPr>
          <w:rFonts w:hint="eastAsia" w:ascii="楷体_GB2312" w:hAnsi="Times New Roman" w:eastAsia="楷体_GB2312" w:cs="DengXian-Bold"/>
          <w:b/>
          <w:bCs/>
          <w:sz w:val="32"/>
          <w:szCs w:val="32"/>
        </w:rPr>
        <w:t>（三）公务接待费支出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 w:hAnsi="仿宋" w:eastAsia="仿宋" w:cs="DengXian-Regular"/>
          <w:sz w:val="32"/>
          <w:szCs w:val="32"/>
        </w:rPr>
        <w:t>本部门2019年度未发生公务接待费用支出，较年初预算无增减变化，较2</w:t>
      </w:r>
      <w:r>
        <w:rPr>
          <w:rFonts w:ascii="仿宋" w:hAnsi="仿宋" w:eastAsia="仿宋" w:cs="DengXian-Regular"/>
          <w:sz w:val="32"/>
          <w:szCs w:val="32"/>
        </w:rPr>
        <w:t>017</w:t>
      </w:r>
      <w:r>
        <w:rPr>
          <w:rFonts w:hint="eastAsia" w:ascii="仿宋" w:hAnsi="仿宋" w:eastAsia="仿宋" w:cs="DengXian-Regular"/>
          <w:sz w:val="32"/>
          <w:szCs w:val="32"/>
        </w:rPr>
        <w:t>年决算无增减变化。</w:t>
      </w:r>
    </w:p>
    <w:p>
      <w:pPr>
        <w:adjustRightInd w:val="0"/>
        <w:snapToGrid w:val="0"/>
        <w:spacing w:line="580" w:lineRule="exact"/>
        <w:ind w:firstLine="640" w:firstLineChars="200"/>
        <w:rPr>
          <w:rFonts w:ascii="黑体" w:hAnsi="黑体" w:eastAsia="黑体" w:cs="黑体"/>
          <w:sz w:val="32"/>
          <w:szCs w:val="40"/>
        </w:rPr>
      </w:pPr>
      <w:r>
        <w:rPr>
          <w:rFonts w:hint="eastAsia" w:ascii="黑体" w:hAnsi="黑体" w:eastAsia="黑体" w:cs="黑体"/>
          <w:sz w:val="32"/>
          <w:szCs w:val="40"/>
        </w:rPr>
        <w:t>六、预算绩效情况说明</w:t>
      </w:r>
    </w:p>
    <w:p>
      <w:pPr>
        <w:adjustRightInd w:val="0"/>
        <w:snapToGrid w:val="0"/>
        <w:spacing w:line="58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1. 预算绩效管理工作开展情况。</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根据预算绩效管理要求，本部门组织对2019年度一般公共预算项目支出全面开展绩效自评，其中，一级项目1个，共涉及资金59.9万元。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_GB2312"/>
          <w:sz w:val="32"/>
          <w:szCs w:val="32"/>
        </w:rPr>
        <w:t>本部门在今年部门决算公开中反映 产业扶贫光伏发电项目绩效自评结果</w:t>
      </w:r>
      <w:r>
        <w:rPr>
          <w:rFonts w:hint="eastAsia" w:ascii="仿宋" w:hAnsi="仿宋" w:eastAsia="仿宋" w:cs="仿宋_GB2312"/>
          <w:sz w:val="32"/>
          <w:szCs w:val="32"/>
          <w:lang w:val="en-US" w:eastAsia="zh-CN"/>
        </w:rPr>
        <w:t>(无绩效自评表)</w:t>
      </w:r>
      <w:r>
        <w:rPr>
          <w:rFonts w:hint="eastAsia" w:ascii="仿宋" w:hAnsi="仿宋" w:eastAsia="仿宋" w:cs="仿宋_GB2312"/>
          <w:sz w:val="32"/>
          <w:szCs w:val="32"/>
        </w:rPr>
        <w:t>。</w:t>
      </w:r>
      <w:r>
        <w:rPr>
          <w:rFonts w:hint="eastAsia" w:ascii="仿宋" w:hAnsi="仿宋" w:eastAsia="仿宋"/>
          <w:sz w:val="32"/>
          <w:szCs w:val="32"/>
        </w:rPr>
        <w:t>根据省、市关于做好2019年度财政专项扶贫资金绩效评价工作的通知，我区高度重视，按照“科学性、规范性、客观性和公正性”的原则，认真开展了2019年扶贫项目绩效评价工作，并形成本评价报告。</w:t>
      </w:r>
    </w:p>
    <w:p>
      <w:pPr>
        <w:adjustRightInd w:val="0"/>
        <w:snapToGrid w:val="0"/>
        <w:spacing w:line="56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560" w:lineRule="exact"/>
        <w:ind w:firstLine="643" w:firstLineChars="200"/>
        <w:rPr>
          <w:rFonts w:ascii="仿宋" w:hAnsi="仿宋" w:eastAsia="仿宋"/>
          <w:b/>
          <w:bCs/>
          <w:sz w:val="32"/>
          <w:szCs w:val="32"/>
        </w:rPr>
      </w:pPr>
      <w:r>
        <w:rPr>
          <w:rFonts w:hint="eastAsia" w:ascii="仿宋_GB2312" w:eastAsia="仿宋_GB2312"/>
          <w:b/>
          <w:bCs/>
          <w:sz w:val="32"/>
          <w:szCs w:val="32"/>
        </w:rPr>
        <w:t>1.项目实施立项情况。</w:t>
      </w:r>
      <w:r>
        <w:rPr>
          <w:rFonts w:hint="eastAsia" w:ascii="仿宋" w:hAnsi="仿宋" w:eastAsia="仿宋"/>
          <w:sz w:val="32"/>
          <w:szCs w:val="32"/>
        </w:rPr>
        <w:t>区扶贫办于2019年5月通过对光伏电站建设地点、规模等情况进行现场勘查，并针对建设规模开展市场价格摸底，结合鹿泉区实际情况，确定项目建设；并制定了《2019年产业扶贫光伏发电项目实施方案》，在确定项目具备实施可行性和必要性的基础上，由区扶贫开发领导小组办公室向区委、区政府提交了产业扶贫光伏发电项目的请示，经区政府批准后，项目予以实施。</w:t>
      </w:r>
    </w:p>
    <w:p>
      <w:pPr>
        <w:adjustRightInd w:val="0"/>
        <w:snapToGrid w:val="0"/>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2.项目主要实施内容和范围</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项目实施范围在城区敬老院，项目内容为建设总面积200平方米、总容量约38.8Kw的光伏发电站，在2018年项目基础上扩续建光伏发电项目，为政府单一采购形式。项目内容主要包括前期勘察、设计、采购、运输、安装、调试、接入、检测、试运行、验收、并网发电、质保期内全部维保服务等全过程的工程。项目建设工期为6月25日-6月30日，7月1日由电力公司、区财政局和区扶贫办进行了验收，项目整体完成情况良好。</w:t>
      </w:r>
    </w:p>
    <w:p>
      <w:pPr>
        <w:adjustRightInd w:val="0"/>
        <w:snapToGrid w:val="0"/>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3.项目资金投入情况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项目资金来源为专项扶贫资金，2019年度实际到位资金35.9万元，市级专项扶贫资金24万元，区级扶贫配套资金35.5万元。其中，35.5万元用于支付2018年光伏项目的余款；24万用于2019年光伏项目。</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560" w:lineRule="exact"/>
        <w:ind w:firstLine="643" w:firstLineChars="200"/>
        <w:rPr>
          <w:rFonts w:ascii="仿宋_GB2312" w:eastAsia="仿宋_GB2312"/>
          <w:sz w:val="32"/>
          <w:szCs w:val="32"/>
        </w:rPr>
      </w:pPr>
      <w:r>
        <w:rPr>
          <w:rFonts w:hint="eastAsia" w:ascii="仿宋_GB2312" w:hAnsi="仿宋_GB2312" w:eastAsia="仿宋_GB2312" w:cs="仿宋_GB2312"/>
          <w:b/>
          <w:bCs/>
          <w:sz w:val="32"/>
          <w:szCs w:val="32"/>
        </w:rPr>
        <w:t>1.项目预期绩效总目标。</w:t>
      </w:r>
      <w:r>
        <w:rPr>
          <w:rFonts w:hint="eastAsia" w:ascii="仿宋" w:hAnsi="仿宋" w:eastAsia="仿宋"/>
          <w:sz w:val="32"/>
          <w:szCs w:val="32"/>
        </w:rPr>
        <w:t>通过光伏发电站并网发电，将发电收益按比例进行分配，使得建档立卡贫困户年均收入在原有项目基础上再增加200元收入，实现稳定脱贫不返贫</w:t>
      </w:r>
      <w:r>
        <w:rPr>
          <w:rFonts w:hint="eastAsia" w:ascii="仿宋" w:hAnsi="仿宋" w:eastAsia="仿宋" w:cs="仿宋_GB2312"/>
          <w:sz w:val="32"/>
          <w:szCs w:val="40"/>
        </w:rPr>
        <w:t>。</w:t>
      </w:r>
    </w:p>
    <w:p>
      <w:pPr>
        <w:adjustRightInd w:val="0"/>
        <w:snapToGrid w:val="0"/>
        <w:spacing w:line="560" w:lineRule="exact"/>
        <w:ind w:firstLine="643" w:firstLineChars="200"/>
        <w:rPr>
          <w:rFonts w:ascii="仿宋" w:hAnsi="仿宋" w:eastAsia="仿宋"/>
          <w:sz w:val="32"/>
          <w:szCs w:val="32"/>
        </w:rPr>
      </w:pPr>
      <w:r>
        <w:rPr>
          <w:rFonts w:hint="eastAsia" w:ascii="仿宋_GB2312" w:hAnsi="仿宋_GB2312" w:eastAsia="仿宋_GB2312" w:cs="仿宋_GB2312"/>
          <w:b/>
          <w:bCs/>
          <w:sz w:val="32"/>
          <w:szCs w:val="32"/>
        </w:rPr>
        <w:t>2.阶段性（2019年）的绩效目标。</w:t>
      </w:r>
      <w:r>
        <w:rPr>
          <w:rFonts w:hint="eastAsia" w:ascii="仿宋" w:hAnsi="仿宋" w:eastAsia="仿宋"/>
          <w:sz w:val="32"/>
          <w:szCs w:val="32"/>
        </w:rPr>
        <w:t>绩效目标是光伏发电项目能够起到带动作用，在将收益分配给建档立卡贫困户时，鼓励其通过自身努力改变贫困现状。</w:t>
      </w:r>
    </w:p>
    <w:p>
      <w:pPr>
        <w:adjustRightInd w:val="0"/>
        <w:snapToGrid w:val="0"/>
        <w:spacing w:line="560" w:lineRule="exact"/>
        <w:ind w:firstLine="643" w:firstLineChars="200"/>
        <w:rPr>
          <w:rFonts w:ascii="仿宋" w:hAnsi="仿宋" w:eastAsia="仿宋"/>
          <w:sz w:val="32"/>
          <w:szCs w:val="32"/>
        </w:rPr>
      </w:pPr>
      <w:r>
        <w:rPr>
          <w:rFonts w:hint="eastAsia" w:ascii="仿宋_GB2312" w:hAnsi="仿宋_GB2312" w:eastAsia="仿宋_GB2312" w:cs="仿宋_GB2312"/>
          <w:b/>
          <w:bCs/>
          <w:sz w:val="32"/>
          <w:szCs w:val="32"/>
        </w:rPr>
        <w:t>3.阶段性指标。</w:t>
      </w:r>
      <w:r>
        <w:rPr>
          <w:rFonts w:hint="eastAsia" w:ascii="仿宋" w:hAnsi="仿宋" w:eastAsia="仿宋"/>
          <w:sz w:val="32"/>
          <w:szCs w:val="32"/>
        </w:rPr>
        <w:t>一级指标：产出指标、效益指标、满意度指标；二级指标：数量指标、质量指标、成本指标、经济效益指标、社会效益指标、可持续影像指标、服务对象满意度指标；三级指标：光伏发电项目受益贫困户数、光伏发电站建设规模、光伏发电收益分配覆盖率、光伏发电项目发电量、光伏发电项目维护、光伏发电项目总收益、贫困户户均年收入、节能减排每年为电网节约标煤数量、光伏发电项目使用寿命、收益分配受益贫困户满意度。</w:t>
      </w:r>
    </w:p>
    <w:p>
      <w:pPr>
        <w:adjustRightInd w:val="0"/>
        <w:snapToGrid w:val="0"/>
        <w:spacing w:line="56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评价工作由评价机构实施组织，区财政局绩效预算管理中心、区扶贫办以及相关单位积极配合，评价机构研究制定项目绩效评价工作方案，组织相关单位和施工单位人员参与，收集项目相关资料，确保绩效评价工作顺利开展。</w:t>
      </w:r>
    </w:p>
    <w:p>
      <w:pPr>
        <w:spacing w:line="560" w:lineRule="exact"/>
        <w:ind w:firstLine="640"/>
        <w:rPr>
          <w:rFonts w:ascii="仿宋_GB2312" w:eastAsia="仿宋_GB2312"/>
          <w:sz w:val="32"/>
          <w:szCs w:val="32"/>
        </w:rPr>
      </w:pPr>
      <w:r>
        <w:rPr>
          <w:rFonts w:hint="eastAsia" w:ascii="楷体_GB2312" w:hAnsi="楷体_GB2312" w:eastAsia="楷体_GB2312" w:cs="楷体_GB2312"/>
          <w:sz w:val="32"/>
          <w:szCs w:val="32"/>
        </w:rPr>
        <w:t>（二）绩效评价的方法和过程</w:t>
      </w:r>
    </w:p>
    <w:p>
      <w:pPr>
        <w:spacing w:line="560" w:lineRule="exact"/>
        <w:ind w:firstLine="640"/>
        <w:rPr>
          <w:rFonts w:ascii="仿宋" w:hAnsi="仿宋" w:eastAsia="仿宋"/>
          <w:sz w:val="32"/>
          <w:szCs w:val="32"/>
        </w:rPr>
      </w:pPr>
      <w:r>
        <w:rPr>
          <w:rFonts w:hint="eastAsia" w:ascii="仿宋_GB2312" w:eastAsia="仿宋_GB2312"/>
          <w:b/>
          <w:bCs/>
          <w:sz w:val="32"/>
          <w:szCs w:val="32"/>
        </w:rPr>
        <w:t>绩效评价方法：</w:t>
      </w:r>
      <w:r>
        <w:rPr>
          <w:rFonts w:hint="eastAsia" w:ascii="仿宋" w:hAnsi="仿宋" w:eastAsia="仿宋"/>
          <w:sz w:val="32"/>
          <w:szCs w:val="32"/>
        </w:rPr>
        <w:t>本着科学、规范、独立、客观、公正的原则，采用全面评价和重点评价相结合、现场评价和非现场评价相结合的方法，运用成本效益分析法、比较法、专家评议法等分析发法，对项目进行综合评价。</w:t>
      </w:r>
    </w:p>
    <w:p>
      <w:pPr>
        <w:spacing w:line="560" w:lineRule="exact"/>
        <w:ind w:firstLine="640"/>
        <w:rPr>
          <w:rFonts w:ascii="仿宋_GB2312" w:eastAsia="仿宋_GB2312"/>
          <w:b/>
          <w:bCs/>
          <w:sz w:val="32"/>
          <w:szCs w:val="32"/>
        </w:rPr>
      </w:pPr>
      <w:r>
        <w:rPr>
          <w:rFonts w:hint="eastAsia" w:ascii="仿宋_GB2312" w:eastAsia="仿宋_GB2312"/>
          <w:b/>
          <w:bCs/>
          <w:sz w:val="32"/>
          <w:szCs w:val="32"/>
        </w:rPr>
        <w:t>绩效评价过程：</w:t>
      </w:r>
    </w:p>
    <w:p>
      <w:pPr>
        <w:spacing w:line="560" w:lineRule="exact"/>
        <w:ind w:firstLine="640"/>
        <w:rPr>
          <w:rFonts w:ascii="仿宋_GB2312" w:eastAsia="仿宋_GB2312"/>
          <w:b/>
          <w:bCs/>
          <w:sz w:val="32"/>
          <w:szCs w:val="32"/>
        </w:rPr>
      </w:pPr>
      <w:r>
        <w:rPr>
          <w:rFonts w:hint="eastAsia" w:ascii="仿宋_GB2312" w:eastAsia="仿宋_GB2312"/>
          <w:b/>
          <w:bCs/>
          <w:sz w:val="32"/>
          <w:szCs w:val="32"/>
        </w:rPr>
        <w:t>1.前期准备阶段</w:t>
      </w:r>
    </w:p>
    <w:p>
      <w:pPr>
        <w:spacing w:line="560" w:lineRule="exact"/>
        <w:ind w:firstLine="640"/>
        <w:rPr>
          <w:rFonts w:ascii="仿宋" w:hAnsi="仿宋" w:eastAsia="仿宋"/>
          <w:sz w:val="32"/>
          <w:szCs w:val="32"/>
        </w:rPr>
      </w:pPr>
      <w:r>
        <w:rPr>
          <w:rFonts w:hint="eastAsia" w:ascii="仿宋" w:hAnsi="仿宋" w:eastAsia="仿宋"/>
          <w:sz w:val="32"/>
          <w:szCs w:val="32"/>
        </w:rPr>
        <w:t>为保证按时完成绩效评价工作，评价机构研究制定项目绩效评价工作方案。确定项目绩效评价具体工作内容和进度安排。评价工作组到区扶贫办、财政局，与项目单位充分沟通项目情况，收集项目资料。区扶贫办提交项目绩效报告及附表、评价所需要的项目支撑材料。</w:t>
      </w:r>
    </w:p>
    <w:p>
      <w:pPr>
        <w:spacing w:line="560" w:lineRule="exact"/>
        <w:ind w:firstLine="640"/>
        <w:rPr>
          <w:rFonts w:ascii="仿宋_GB2312" w:eastAsia="仿宋_GB2312"/>
          <w:b/>
          <w:bCs/>
          <w:sz w:val="32"/>
          <w:szCs w:val="32"/>
        </w:rPr>
      </w:pPr>
      <w:r>
        <w:rPr>
          <w:rFonts w:hint="eastAsia" w:ascii="仿宋_GB2312" w:eastAsia="仿宋_GB2312"/>
          <w:b/>
          <w:bCs/>
          <w:sz w:val="32"/>
          <w:szCs w:val="32"/>
        </w:rPr>
        <w:t>2.实施阶段</w:t>
      </w:r>
    </w:p>
    <w:p>
      <w:pPr>
        <w:spacing w:line="560" w:lineRule="exact"/>
        <w:ind w:firstLine="640"/>
        <w:rPr>
          <w:rFonts w:ascii="仿宋_GB2312" w:eastAsia="仿宋_GB2312"/>
          <w:sz w:val="32"/>
          <w:szCs w:val="32"/>
        </w:rPr>
      </w:pPr>
      <w:r>
        <w:rPr>
          <w:rFonts w:hint="eastAsia" w:ascii="仿宋_GB2312" w:eastAsia="仿宋_GB2312"/>
          <w:sz w:val="32"/>
          <w:szCs w:val="32"/>
        </w:rPr>
        <w:t>（1）组建绩效评价专家组</w:t>
      </w:r>
    </w:p>
    <w:p>
      <w:pPr>
        <w:spacing w:line="560" w:lineRule="exact"/>
        <w:ind w:firstLine="640"/>
        <w:rPr>
          <w:rFonts w:ascii="仿宋" w:hAnsi="仿宋" w:eastAsia="仿宋"/>
          <w:sz w:val="32"/>
          <w:szCs w:val="32"/>
        </w:rPr>
      </w:pPr>
      <w:r>
        <w:rPr>
          <w:rFonts w:hint="eastAsia" w:ascii="仿宋" w:hAnsi="仿宋" w:eastAsia="仿宋"/>
          <w:sz w:val="32"/>
          <w:szCs w:val="32"/>
        </w:rPr>
        <w:t>以公平公正为前提，评价机构为项目绩效评价选择绩效管理、业务管理、财务管理专家共4位。从技术角度把握项目目标实际完成情况，分析项目实际支出及财务情况，分析项目管理方面存在的问题，提出改进建议。</w:t>
      </w:r>
    </w:p>
    <w:p>
      <w:pPr>
        <w:spacing w:line="560" w:lineRule="exact"/>
        <w:ind w:firstLine="640"/>
        <w:rPr>
          <w:rFonts w:ascii="仿宋_GB2312" w:eastAsia="仿宋_GB2312"/>
          <w:sz w:val="32"/>
          <w:szCs w:val="32"/>
        </w:rPr>
      </w:pPr>
      <w:r>
        <w:rPr>
          <w:rFonts w:hint="eastAsia" w:ascii="仿宋_GB2312" w:eastAsia="仿宋_GB2312"/>
          <w:sz w:val="32"/>
          <w:szCs w:val="32"/>
        </w:rPr>
        <w:t>（2）现场调研</w:t>
      </w:r>
    </w:p>
    <w:p>
      <w:pPr>
        <w:spacing w:line="560" w:lineRule="exact"/>
        <w:ind w:firstLine="640"/>
        <w:rPr>
          <w:rFonts w:ascii="仿宋" w:hAnsi="仿宋" w:eastAsia="仿宋"/>
          <w:sz w:val="32"/>
          <w:szCs w:val="32"/>
        </w:rPr>
      </w:pPr>
      <w:r>
        <w:rPr>
          <w:rFonts w:hint="eastAsia" w:ascii="仿宋" w:hAnsi="仿宋" w:eastAsia="仿宋"/>
          <w:sz w:val="32"/>
          <w:szCs w:val="32"/>
        </w:rPr>
        <w:t>评价机构与专家在鹿泉区城区敬老院进行了现场调研，针对光伏发电设施的具体情况和实施勘察所发现的问题与项目负责人进行现场沟通。</w:t>
      </w:r>
    </w:p>
    <w:p>
      <w:pPr>
        <w:spacing w:line="560" w:lineRule="exact"/>
        <w:ind w:firstLine="640"/>
        <w:rPr>
          <w:rFonts w:ascii="仿宋_GB2312" w:eastAsia="仿宋_GB2312"/>
          <w:sz w:val="32"/>
          <w:szCs w:val="32"/>
        </w:rPr>
      </w:pPr>
      <w:r>
        <w:rPr>
          <w:rFonts w:hint="eastAsia" w:ascii="仿宋_GB2312" w:eastAsia="仿宋_GB2312"/>
          <w:b/>
          <w:bCs/>
          <w:sz w:val="32"/>
          <w:szCs w:val="32"/>
        </w:rPr>
        <w:t>3.分析评价阶段</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（1）召开现场评价会</w:t>
      </w:r>
    </w:p>
    <w:p>
      <w:pPr>
        <w:spacing w:line="560" w:lineRule="exact"/>
        <w:ind w:firstLine="640"/>
        <w:rPr>
          <w:rFonts w:ascii="仿宋" w:hAnsi="仿宋" w:eastAsia="仿宋" w:cs="仿宋_GB2312"/>
          <w:sz w:val="32"/>
          <w:szCs w:val="32"/>
        </w:rPr>
      </w:pPr>
      <w:r>
        <w:rPr>
          <w:rFonts w:hint="eastAsia" w:ascii="仿宋" w:hAnsi="仿宋" w:eastAsia="仿宋" w:cs="仿宋_GB2312"/>
          <w:sz w:val="32"/>
          <w:szCs w:val="32"/>
        </w:rPr>
        <w:t>评价机构组织召开了由区财政局预算绩效管理中心、评价机构、专家组及项目单位人员共同参加的现场评价会。会议就项目现场评价发现问题与相关人员进行沟通。</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（2）形成专家组意见</w:t>
      </w:r>
    </w:p>
    <w:p>
      <w:pPr>
        <w:spacing w:line="560" w:lineRule="exact"/>
        <w:ind w:firstLine="640"/>
        <w:rPr>
          <w:rFonts w:ascii="仿宋" w:hAnsi="仿宋" w:eastAsia="仿宋" w:cs="仿宋_GB2312"/>
          <w:sz w:val="32"/>
          <w:szCs w:val="32"/>
        </w:rPr>
      </w:pPr>
      <w:r>
        <w:rPr>
          <w:rFonts w:hint="eastAsia" w:ascii="仿宋" w:hAnsi="仿宋" w:eastAsia="仿宋" w:cs="仿宋_GB2312"/>
          <w:sz w:val="32"/>
          <w:szCs w:val="32"/>
        </w:rPr>
        <w:t>现场评价会后，专家出具个人意见，并通过讨论形成对项目总体的初步意见。评价机构通过进一步分析相关材料，整理绩效评价报告支撑材料，充实完善项目总体专家组意见。</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（3）撰写并报送评价报告</w:t>
      </w:r>
    </w:p>
    <w:p>
      <w:pPr>
        <w:spacing w:line="560" w:lineRule="exact"/>
        <w:ind w:firstLine="640"/>
        <w:rPr>
          <w:rFonts w:ascii="仿宋" w:hAnsi="仿宋" w:eastAsia="仿宋" w:cs="仿宋_GB2312"/>
          <w:sz w:val="32"/>
          <w:szCs w:val="32"/>
        </w:rPr>
      </w:pPr>
      <w:r>
        <w:rPr>
          <w:rFonts w:hint="eastAsia" w:ascii="仿宋" w:hAnsi="仿宋" w:eastAsia="仿宋" w:cs="仿宋_GB2312"/>
          <w:sz w:val="32"/>
          <w:szCs w:val="32"/>
        </w:rPr>
        <w:t>根据评价机构的评价报告，撰写鹿泉区绩效评价报告，并提交绩效评价报告。报告内容主要包括本次评价项目基本情况、评价工作情况、绩效评价指标分析情况、评价结论、问题和建议。</w:t>
      </w:r>
    </w:p>
    <w:p>
      <w:pPr>
        <w:spacing w:line="560" w:lineRule="exact"/>
        <w:ind w:firstLine="640"/>
        <w:rPr>
          <w:rFonts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石家庄市、鹿泉区绩效管理办法，结合项目特点，在与专家组充分协商的基础上，评价机构对项目绩效评价指标体系进行细化，具体详见附件1。评价指标体系总分值为100分，其中项目投入15分，项目过程20分，项目产出30分，项目效益35分。</w:t>
      </w:r>
    </w:p>
    <w:p>
      <w:pPr>
        <w:spacing w:line="560" w:lineRule="exact"/>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56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1.项目立项情况分析</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（1）项目立项规范性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区扶贫办作为项目单位，负责项目前期勘查、研究论证、申报立项等工作，区扶贫办于2019年6月前通过对光伏电站建设地点、规模等进行现场勘查，并针对建设规模开展市场价格摸底，确定项目建设需求；制定了《2019年产业扶贫光伏发电项目方案》，在确定项目具备实施可行性和必要性的基础上，经区委、区政府批准后，项目予以立项实施。</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（2）绩效目标合理性分析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四不脱”扶贫政策要求，达到2020年同步达到小康这一目标，鹿泉区拟通过光伏发电扶贫项目助力全区121户脱贫户巩固提升脱贫成果。项目实施与扶贫办“负责全区扶贫开发工作”与“根据任务工作部署，区扶贫办整体负责2019年度扶贫项目组织实施”等单位职能相符。</w:t>
      </w:r>
    </w:p>
    <w:p>
      <w:pPr>
        <w:spacing w:line="560" w:lineRule="exact"/>
        <w:ind w:firstLine="640" w:firstLineChars="200"/>
        <w:rPr>
          <w:rFonts w:ascii="仿宋_GB2312" w:eastAsia="仿宋_GB2312"/>
          <w:sz w:val="32"/>
          <w:szCs w:val="32"/>
        </w:rPr>
      </w:pPr>
      <w:r>
        <w:rPr>
          <w:rFonts w:hint="eastAsia" w:ascii="仿宋" w:hAnsi="仿宋" w:eastAsia="仿宋"/>
          <w:sz w:val="32"/>
          <w:szCs w:val="32"/>
        </w:rPr>
        <w:t>综上，项目绩效目标设定与单位职能相符，具备较为充分的实施政策依据，且与国家扶贫、脱贫工作目标相一致，符合鹿泉区扶贫现状与需求。</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（3）绩效指标明确性分析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针对年度主要实施内容，结合项目预期产出和效果，项目分别从产出、效益和服务对象满意度三个方面设定了细化、量化的绩效指标，包括光伏发电站建设规模、发电量、维护费用、发电收益、参与电站收益贫困人口户数、参与光伏扶贫的贫困户户均年收入、年节约标煤吨数、参与光伏扶贫项目收益贫困人口对项目实施满意度等内容。绩效指标与绩效目标匹配，但缺少针对项目建设质量标准、完成及时情况和未来长期收益的可持续性的评价指标，绩效指标不够全面、完整。</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2.资金落实情况分析</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（1）资金到位率</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项目金额约24万元，2019年度扶贫专项资金59.5万元，其中市级专项扶贫资金24万元，用于2019年光伏发电项目；区级扶贫配套资金35.5万元，用于拨付2018年光伏项目余款。截至目前，财政预算批复资金到位率100%。</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（2）资金到位及时率</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项目采购内容验收完成后，区财政局及时将资金拨付至鹿泉区民政局。鹿泉区民政局按照项目完成进度，及时将采购款拨付至施工单位，截至目前，支付款项共计59.5万元，资金到位及时。</w:t>
      </w:r>
    </w:p>
    <w:p>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1.业务管理情况分析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为保证项目顺利实施，明确了项目实施目标、职责分工、进度安排等内容；针对项目具体建设内容，进一步制定了《2019年产业扶贫光伏发电项目方案》，对具体建设内容、范围等进行了详细安排。此外，项目涉及到的采购内容，区扶贫办按照《石家庄市鹿泉区民政局内部控制规范手册》中采购业务控制管理制度进行管理。综上，项目具备一定的业务管理制度，但在光伏电站后续运行维护、收益分配以及风险防控方面缺失明确的管理制度，主要表现在：一是，项目采购设施设备在质保期内由供应商负责售后维修服务，质保期后运维责任主体、运维经费管理办法等尚未明确规定，项目后续可持续运行缺乏制度保障；二是对2020年全面完成脱贫目标后项目收益如何分配，缺乏总体工作部署与规划。因此，从项目整体层面各阶段工作开展情况来看，业务管理制度需要进一步完善。</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2.财务管理情况分析</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（1）财务管理制度健全性分析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单位按照《石家庄市鹿泉区民政局内部控制规范手册》进行项目资金使用与管理，内容涵盖了风险管理控制、业务层面内部控制、采购业务管理、收支管理、资产管理、建设项目控制、合同控制等管理制度，财务管理制度较健全。</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（2）资金使用合规性分析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在项目实施过程中，项目单位严格按照《石家庄市鹿泉区民政局内部控制规范手册》执行，项目涉及的政府采购事项按照鹿泉区民政局机关政府采购审批流程，由区扶贫办政府采购负责人员通过系统报送办公室采购管理岗审核批准确定组织形式、采购方式后，区扶贫办按照公开招标采购流程规定开展委托代理机构组织的政府采购活动确定供应商。同时，在资金拨付过程中，由区扶贫办根据合同付款进度要求，于项目验收后，根据区财政局当年资金下达情况，及时向财务申请资金拨付，获得项目资金使用做到了专款专用，无挤占、挪用、虚列支出等现象，资金使用合法合规。</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2019年度扶贫专项资金59.5万元，截至目前，项目实际支出资金59.5万元，项目年度内整体资金支出与下达资金一致。</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（3）财务监控有效性分析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项目按照项目完成进度及合同约定款项进行资金支付，年度内采购款资金支出控制在当年度下达预算范围内，未超过“项目完工验收合格后，支付24万元货款”标准，财务监控较为有效。</w:t>
      </w:r>
    </w:p>
    <w:p>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（三）项目产出</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1.实际完成率</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项目总体上按照项目设计方案要求，完成了各项采购内容，项目产出完成情况较好。具体为城区敬老院光伏发电组件144块，发电容量38.8kW。</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2.完成及时情况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项目采购设施设备由供应商于6月25日进场安装，6月30日安装完毕，6月28日并网发电试运行，7月1日通过验收，项目整体实施进度按照合同约定时间如期开展，未发现明显进度滞后现象，项目完成及时有效。</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3.质量达标率</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项目完工后由鹿泉区扶贫办、区财政局和电力公司3家单位进行验收，出具竣工验收报告，项目质量达标情况良好。</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4.成本控制及节约情况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项目通过单一采购招标方式，中标金额控制在招标采购限定金额内，节约了部分项目成本。同时，年度项目资金支付严格按照当年财政下达资金及合同付款进度要求，未超出当年财政预算范围。</w:t>
      </w:r>
    </w:p>
    <w:p>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1.经济效益实现情况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项目实施后，在创造光伏电站发电收益等方面具有较为显著的经济效益，具体如下：</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一是，</w:t>
      </w:r>
      <w:r>
        <w:rPr>
          <w:rFonts w:hint="eastAsia" w:ascii="仿宋" w:hAnsi="仿宋" w:eastAsia="仿宋"/>
          <w:sz w:val="32"/>
          <w:szCs w:val="32"/>
        </w:rPr>
        <w:t>2019年发电站运行正常，发电量并网采取自发自用，余电上网方式。自发自用部分由城区敬老院以 0.52 元/千瓦时的价格购买，电网以0.36元/千瓦时的价格收购剩余发电电量。项目于8月10日发电并网，8月10日至11月8日，光伏电站发电7335度，按照上述价格测算，共计产生收益3667.5元。</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二是，光伏电站能够创造长期收益。</w:t>
      </w:r>
      <w:r>
        <w:rPr>
          <w:rFonts w:hint="eastAsia" w:ascii="仿宋" w:hAnsi="仿宋" w:eastAsia="仿宋"/>
          <w:sz w:val="32"/>
          <w:szCs w:val="32"/>
        </w:rPr>
        <w:t>该光伏电站设计寿命为25年，预计年均总发电量3.57万度，25年总发电量为 89.36万度，以目前标杆电价0.38元/kWh的标准计算，未来年均发电收益1.35万元，25年总发电收益为33.95万元。</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2.社会效益实现情况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是精准扶贫项目之一，将扶贫方式从“大水漫灌”变为“精准滴灌”，将光伏发电与精准扶贫结合起来，是推进产业扶贫的有效措施，是造福贫困地区、贫困群众的民生工程。项目既是扶贫工作的新途径，也是扩大光伏市场的新领域，有利于人民群众增加就业，有利于人民群众生活方式的变革，具有明显的产业带动作用和社会效益。项目实施直接增加建档立卡贫困户年收入，切实带动贫困户脱贫，确保2020年</w:t>
      </w:r>
      <w:r>
        <w:rPr>
          <w:rFonts w:hint="eastAsia" w:ascii="仿宋" w:hAnsi="仿宋" w:eastAsia="仿宋"/>
          <w:sz w:val="32"/>
          <w:szCs w:val="32"/>
          <w:lang w:eastAsia="zh-CN"/>
        </w:rPr>
        <w:t>全面建成小康社会</w:t>
      </w:r>
      <w:r>
        <w:rPr>
          <w:rFonts w:hint="eastAsia" w:ascii="仿宋" w:hAnsi="仿宋" w:eastAsia="仿宋"/>
          <w:sz w:val="32"/>
          <w:szCs w:val="32"/>
        </w:rPr>
        <w:t>。</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3.生态效益实现情况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项目投入运行后，光伏电站预计年均发电量3.57万度，折合每年节约标煤吨数约11吨，能够有效降低二氧化碳排放量，缓解环保压力。</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4.可持续影响实现情况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预期要在25年内持续发挥效益，但光伏电站运行未满一年，目前尚无法准确衡量年均发电量是否能够达到建设初期预计目标，且发电量受到自然条件和光伏组件维护条件等因素影响，不同年度内发电量存在不确定性，项目长期收益情况需在后续进一步定向跟踪。</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5.服务对象满意度实现情况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作为脱贫攻坚措施之一，项目服务对象主要为建档立卡贫困户，项目实施有助于增加鹿泉区城区内建档立卡贫困户收入。为充分了解贫困户对鹿泉区脱贫攻坚工作的实际需求，全面掌握群众对项目实施效果是否满意，2019年10月石家庄市考核组对鹿泉区脱贫户和边缘户进行了实地考核，通过问卷调查结果进行汇总统计，鹿泉区贫困户的满意度达到99%。</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绩效评价综合级别分为4个等级：综合得分在85-100分（含85分）为优秀；综合得分在75-85分（含75分）为良好；综合得分在60-75分（含60分）为一般；综合得分在60分以下为较差。</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通过评价，项目综合得分93.34分，项目综合绩效评定结论为“优秀”。</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投入方面。该指标分值15.00分，评价得分14.3分。项目立项程序规范完整，绩效目标设定与单位职能、现实需求相符，项目目标政策依据充分，绩效指标明确、细化、量化，年度内财政批复资金足额、及时到位；但项目针对成本测算、预期收益等论证不够充分，绩效指标不够全面。</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项目过程方面。该指标分值20.00分，评价得分19.44分。资金整体支出与下达预算一致，财务管理制度较健全，财务监控较为有效；但项目质量控制需要进一步加强监管。</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项目产出方面。该指标分值30.00分，评价得分29.5分。项目产出完成情况较好，项目质量达标情况良好，成本控制在预算范围之内；但因缺少项目详细测算表。</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项目效果方面。该指标分值35.00分，评价得分30.1分。</w:t>
      </w:r>
    </w:p>
    <w:p>
      <w:pPr>
        <w:spacing w:line="560" w:lineRule="exact"/>
        <w:ind w:firstLine="640" w:firstLineChars="200"/>
        <w:rPr>
          <w:rFonts w:ascii="仿宋_GB2312" w:eastAsia="仿宋_GB2312"/>
          <w:sz w:val="32"/>
          <w:szCs w:val="32"/>
        </w:rPr>
      </w:pPr>
      <w:r>
        <w:rPr>
          <w:rFonts w:hint="eastAsia" w:ascii="仿宋" w:hAnsi="仿宋" w:eastAsia="仿宋"/>
          <w:sz w:val="32"/>
          <w:szCs w:val="32"/>
        </w:rPr>
        <w:t>项目实施在发展产业扶贫项目、增加鹿泉区贫困户收入、确保“精准扶贫、精准脱贫”目标如期实现方面具备较好的经济效益、社会效益和生态效益，贫困户满意度较高；但项目在未来发电量、收益方面具有不确定性。</w:t>
      </w:r>
    </w:p>
    <w:p>
      <w:pPr>
        <w:spacing w:line="56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b/>
          <w:bCs/>
          <w:sz w:val="32"/>
          <w:szCs w:val="32"/>
        </w:rPr>
        <w:t>1.项目前期可行性研究论证不够充分，后续工作部署缺失总体规划</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项目立项前期委托第三方开展项目可行性研究论证，进一步制定了《2019年产业扶贫光伏发电项目方案》，但项目前期可行性研究论证的充分性有待提升，主要表现在：一是，仅对项目实施所需总成本进行了估算，缺失针对项目建设规模、采购设施设备等单项成本的预算明细，难以对后续招标工作中确定供应商形成科学、准确的预算约束；二是，项目采取根据预期发电收益确定光伏电站建设规模的“倒推式”测算方式，该种方式仅从每年固定提升相应贫困人口收入角度出发，对预期收益进行大致估算，前期相关可研论证材料中缺失对成本和效益的直接分析，未充分考虑光伏电站设施设备老旧、季节光照强度等自然条件影响未来收益的可能性，未来收益存在一定程度的不确定性。</w:t>
      </w:r>
    </w:p>
    <w:p>
      <w:pPr>
        <w:spacing w:line="560" w:lineRule="exact"/>
        <w:ind w:firstLine="640" w:firstLineChars="200"/>
        <w:rPr>
          <w:rFonts w:ascii="楷体_GB2312" w:hAnsi="楷体_GB2312" w:eastAsia="楷体_GB2312"/>
          <w:sz w:val="32"/>
          <w:szCs w:val="32"/>
        </w:rPr>
      </w:pPr>
      <w:r>
        <w:rPr>
          <w:rFonts w:hint="eastAsia" w:ascii="楷体_GB2312" w:hAnsi="楷体_GB2312" w:eastAsia="楷体_GB2312"/>
          <w:sz w:val="32"/>
          <w:szCs w:val="32"/>
        </w:rPr>
        <w:t>（二）针对问题提出具体的改进措施或建议</w:t>
      </w:r>
    </w:p>
    <w:p>
      <w:pPr>
        <w:adjustRightInd w:val="0"/>
        <w:snapToGrid w:val="0"/>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1.加强项目立项前期论证的深度和广度，全面做好项目实施总体规划</w:t>
      </w:r>
    </w:p>
    <w:p>
      <w:pPr>
        <w:adjustRightInd w:val="0"/>
        <w:snapToGrid w:val="0"/>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建议项目单位在以后年度类似项目工作中，在项目立项前期加大项目可行性研究论证深度和广度，结合项目建设需求、市场价格等做好项目成本预算分析，形成科学、合理的预算测算，为后续工作开展形成强有力的成本控制约束。同时，考虑到项目未涉及跨年度工作内容，建议项目单位按照年度预算管理要求和规范的项目申报程序，申请年度项目资金，区财政局按照批复程序于当年度内下达全部预算</w:t>
      </w:r>
      <w:r>
        <w:rPr>
          <w:rFonts w:hint="eastAsia" w:ascii="仿宋" w:hAnsi="仿宋" w:eastAsia="仿宋" w:cs="仿宋_GB2312"/>
          <w:b/>
          <w:bCs/>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本部门2019年度机关运行经费支出</w:t>
      </w:r>
      <w:r>
        <w:rPr>
          <w:rFonts w:ascii="仿宋" w:hAnsi="仿宋" w:eastAsia="仿宋" w:cs="DengXian-Regular"/>
          <w:sz w:val="32"/>
          <w:szCs w:val="32"/>
        </w:rPr>
        <w:t>177.63</w:t>
      </w:r>
      <w:r>
        <w:rPr>
          <w:rFonts w:hint="eastAsia" w:ascii="仿宋" w:hAnsi="仿宋" w:eastAsia="仿宋" w:cs="DengXian-Regular"/>
          <w:sz w:val="32"/>
          <w:szCs w:val="32"/>
        </w:rPr>
        <w:t>万元，比2018年度决算减少</w:t>
      </w:r>
      <w:r>
        <w:rPr>
          <w:rFonts w:ascii="仿宋" w:hAnsi="仿宋" w:eastAsia="仿宋" w:cs="DengXian-Regular"/>
          <w:sz w:val="32"/>
          <w:szCs w:val="32"/>
        </w:rPr>
        <w:t>87.4</w:t>
      </w:r>
      <w:r>
        <w:rPr>
          <w:rFonts w:hint="eastAsia" w:ascii="仿宋" w:hAnsi="仿宋" w:eastAsia="仿宋" w:cs="DengXian-Regular"/>
          <w:sz w:val="32"/>
          <w:szCs w:val="32"/>
        </w:rPr>
        <w:t>万元，降低3</w:t>
      </w:r>
      <w:r>
        <w:rPr>
          <w:rFonts w:ascii="仿宋" w:hAnsi="仿宋" w:eastAsia="仿宋" w:cs="DengXian-Regular"/>
          <w:sz w:val="32"/>
          <w:szCs w:val="32"/>
        </w:rPr>
        <w:t>2.98</w:t>
      </w:r>
      <w:r>
        <w:rPr>
          <w:rFonts w:hint="eastAsia" w:ascii="仿宋" w:hAnsi="仿宋" w:eastAsia="仿宋" w:cs="DengXian-Regular"/>
          <w:sz w:val="32"/>
          <w:szCs w:val="32"/>
        </w:rPr>
        <w:t>%。主要原因是</w:t>
      </w:r>
      <w:r>
        <w:rPr>
          <w:rFonts w:hint="eastAsia" w:ascii="仿宋" w:hAnsi="仿宋" w:eastAsia="仿宋" w:cs="宋体"/>
          <w:sz w:val="32"/>
          <w:szCs w:val="32"/>
        </w:rPr>
        <w:t>因机构改革涉军人员及办公经费转走、殡仪馆、民政事业服务中心财务独立所至</w:t>
      </w:r>
      <w:r>
        <w:rPr>
          <w:rFonts w:hint="eastAsia" w:ascii="仿宋" w:hAnsi="仿宋" w:eastAsia="仿宋"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 w:hAnsi="仿宋" w:eastAsia="仿宋" w:cs="DengXian-Regular"/>
          <w:sz w:val="32"/>
          <w:szCs w:val="32"/>
        </w:rPr>
      </w:pPr>
      <w:r>
        <w:rPr>
          <w:rFonts w:hint="eastAsia" w:ascii="仿宋" w:hAnsi="仿宋" w:eastAsia="仿宋" w:cs="DengXian-Regular"/>
          <w:sz w:val="32"/>
          <w:szCs w:val="32"/>
        </w:rPr>
        <w:t>本部门2019年度政府采购支出总额</w:t>
      </w:r>
      <w:r>
        <w:rPr>
          <w:rFonts w:ascii="仿宋" w:hAnsi="仿宋" w:eastAsia="仿宋" w:cs="DengXian-Regular"/>
          <w:sz w:val="32"/>
          <w:szCs w:val="32"/>
        </w:rPr>
        <w:t>0</w:t>
      </w:r>
      <w:r>
        <w:rPr>
          <w:rFonts w:hint="eastAsia" w:ascii="仿宋" w:hAnsi="仿宋" w:eastAsia="仿宋" w:cs="DengXian-Regular"/>
          <w:sz w:val="32"/>
          <w:szCs w:val="32"/>
        </w:rPr>
        <w:t>万元，故政府采购情况表以空表列示。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本部门2019年度单位公务用车保有量</w:t>
      </w:r>
      <w:r>
        <w:rPr>
          <w:rFonts w:ascii="仿宋" w:hAnsi="仿宋" w:eastAsia="仿宋" w:cs="DengXian-Regular"/>
          <w:sz w:val="32"/>
          <w:szCs w:val="32"/>
        </w:rPr>
        <w:t>2</w:t>
      </w:r>
      <w:r>
        <w:rPr>
          <w:rFonts w:hint="eastAsia" w:ascii="仿宋" w:hAnsi="仿宋" w:eastAsia="仿宋" w:cs="DengXian-Regular"/>
          <w:sz w:val="32"/>
          <w:szCs w:val="32"/>
        </w:rPr>
        <w:t>辆，截至2019年12月31日，本部门共有车辆0辆，比上年减少</w:t>
      </w:r>
      <w:r>
        <w:rPr>
          <w:rFonts w:ascii="仿宋" w:hAnsi="仿宋" w:eastAsia="仿宋" w:cs="DengXian-Regular"/>
          <w:sz w:val="32"/>
          <w:szCs w:val="32"/>
        </w:rPr>
        <w:t>2</w:t>
      </w:r>
      <w:r>
        <w:rPr>
          <w:rFonts w:hint="eastAsia" w:ascii="仿宋" w:hAnsi="仿宋" w:eastAsia="仿宋" w:cs="DengXian-Regular"/>
          <w:sz w:val="32"/>
          <w:szCs w:val="32"/>
        </w:rPr>
        <w:t>辆，主要是因维修费较高报废。</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1. 本部门2019年度国有资产经营预算财政拨款无收支及结转结余情况，故国有资产经营预算财政收入支出表以空表列示。</w:t>
      </w:r>
    </w:p>
    <w:p>
      <w:pPr>
        <w:adjustRightInd w:val="0"/>
        <w:snapToGrid w:val="0"/>
        <w:spacing w:line="580" w:lineRule="exact"/>
        <w:ind w:firstLine="640" w:firstLineChars="200"/>
        <w:rPr>
          <w:rFonts w:ascii="仿宋" w:hAnsi="仿宋" w:eastAsia="仿宋" w:cs="DengXian-Regular"/>
          <w:sz w:val="32"/>
          <w:szCs w:val="32"/>
        </w:rPr>
        <w:sectPr>
          <w:type w:val="continuous"/>
          <w:pgSz w:w="11906" w:h="16838"/>
          <w:pgMar w:top="2098" w:right="1474" w:bottom="1984" w:left="1588" w:header="851" w:footer="992" w:gutter="0"/>
          <w:pgNumType w:fmt="numberInDash"/>
          <w:cols w:space="0" w:num="1"/>
          <w:docGrid w:type="lines" w:linePitch="312" w:charSpace="0"/>
        </w:sectPr>
      </w:pPr>
      <w:r>
        <w:rPr>
          <w:rFonts w:hint="eastAsia" w:ascii="仿宋" w:hAnsi="仿宋" w:eastAsia="仿宋" w:cs="DengXian-Regular"/>
          <w:sz w:val="32"/>
          <w:szCs w:val="32"/>
        </w:rPr>
        <w:t>2. 由于决算公开表格中金额数值应当保留两位小数，公开数据为四舍五入计算结果，个别数据合计项与分项之和存在小数点后差额，特此说明。</w:t>
      </w:r>
    </w:p>
    <w:p>
      <w:pPr>
        <w:rPr>
          <w:rFonts w:ascii="仿宋" w:hAnsi="仿宋" w:eastAsia="仿宋"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5" w:type="first"/>
          <w:footerReference r:id="rId27" w:type="first"/>
          <w:headerReference r:id="rId24" w:type="default"/>
          <w:footerReference r:id="rId26"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文本框 188" o:spid="_x0000_s1037" o:spt="202" type="#_x0000_t202" style="position:absolute;left:0pt;margin-left:-80.45pt;margin-top:34.8pt;height:263.1pt;width:613.65pt;z-index:251689984;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qelsgIAAMMFAAAOAAAAZHJzL2Uyb0RvYy54bWysVM1uEzEQviPxDpbvdJPmr4m6QaFVEFJF&#10;Kwri7PXayQqvx9hOdsMDwBtw4sKd5+pzMPb+NOXnUMRl1/Z8nvnmm/GcP69LRfbCugJ0SocnA0qE&#10;5pAXepPSd2/Xz84ocZ7pnCnQIqUH4ejz5dMn55VZiFPYgsqFJehEu0VlUrr13iySxPGtKJk7ASM0&#10;GiXYknnc2k2SW1ah91Ilp4PBNKnA5sYCF87h6WVjpMvoX0rB/bWUTniiUorcfPza+M3CN1mes8XG&#10;MrMteEuD/QOLkhUag/auLplnZGeL31yVBbfgQPoTDmUCUhZcxBwwm+Hgl2xut8yImAuK40wvk/t/&#10;bvnr/Y0lRY61O8NSaVZike6+frn79uPu+2cSDlGiyrgFIm8NYn39AmqEd+cOD0PmtbRl+GNOBO0o&#10;9qEXWNSecDyczeaj0WRCCUfbaDQejmaxBMn9dWOdfymgJGGRUosVjMKy/ZXzSAWhHSREM8z7daFU&#10;CzfcTyJcbi5UpOXsJsMl2TPsgPX6cj6dBubopodkPTZ0nejR2SYmidAWEWK38UJspUmV0uloMogh&#10;HagiD1yC7e9hj2DoT2nkEuRtZIwrf1Ci8f9GSKxNVDM6fciPcS607zgqjeiAkkjhMRdbfLgq4ot5&#10;zOX+RowM2veXy0KDbYR5SDv/0FGWDb5ToMk7SODrrI5NOe+6LIP8gM1noXnBzvB1gQ1yxZy/YRaf&#10;LPYbjiF/jR+pAOsC7YqSLdhPfzoPeHxJaKWkwhGQUvdxx6ygRL3S+Mbmw/E4zIy4GU9mp7ixx5bs&#10;2KJ35QVgjw1x4BkelwHvVbeUFsr3OK1WISqamOYYO6Xc225z4ZvRhPOOi9UqwnBOYNNd6VvDg/Og&#10;s4bVzoMs4nsIejXqtDripIj93U61MIqO9xF1P3uXPwEAAP//AwBQSwMEFAAGAAgAAAAhAO2PQKDg&#10;AAAADAEAAA8AAABkcnMvZG93bnJldi54bWxMj8tOwzAQRfdI/IM1ldig1i6iVpJmUgESUrctLMrO&#10;jYckih9R7Kbh73FXsBzdo3vPlLvZGjbRGDrvENYrAYxc7XXnGoTPj/dlBixE5bQy3hHCDwXYVfd3&#10;pSq0v7oDTcfYsFTiQqEQ2hiHgvNQt2RVWPmBXMq+/WhVTOfYcD2qayq3hj8JIblVnUsLrRroraW6&#10;P14sghkofp32psviaz/Jx4PuT/uI+LCYX7bAIs3xD4abflKHKjmd/cXpwAzCci1FnlgEmUtgN0JI&#10;+QzsjLDJNxnwquT/n6h+AQAA//8DAFBLAQItABQABgAIAAAAIQC2gziS/gAAAOEBAAATAAAAAAAA&#10;AAAAAAAAAAAAAABbQ29udGVudF9UeXBlc10ueG1sUEsBAi0AFAAGAAgAAAAhADj9If/WAAAAlAEA&#10;AAsAAAAAAAAAAAAAAAAALwEAAF9yZWxzLy5yZWxzUEsBAi0AFAAGAAgAAAAhALeap6WyAgAAwwUA&#10;AA4AAAAAAAAAAAAAAAAALgIAAGRycy9lMm9Eb2MueG1sUEsBAi0AFAAGAAgAAAAhAO2PQKDgAAAA&#10;DAEAAA8AAAAAAAAAAAAAAAAADAUAAGRycy9kb3ducmV2LnhtbFBLBQYAAAAABAAEAPMAAAAZBgAA&#10;AAA=&#10;">
            <v:path/>
            <v:fill type="pattern" on="t" color2="#FFFFFF" focussize="0,0" r:id="rId35"/>
            <v:stroke weight="0.5pt" color="#FFD966" joinstyle="miter"/>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8"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 w:hAnsi="仿宋" w:eastAsia="仿宋"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 w:hAnsi="仿宋" w:eastAsia="仿宋"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 w:hAnsi="仿宋" w:eastAsia="仿宋"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 w:hAnsi="仿宋" w:eastAsia="仿宋"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 w:hAnsi="仿宋" w:eastAsia="仿宋"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 w:hAnsi="仿宋" w:eastAsia="仿宋"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 w:hAnsi="仿宋" w:eastAsia="仿宋"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 w:hAnsi="仿宋" w:eastAsia="仿宋"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 w:hAnsi="仿宋" w:eastAsia="仿宋"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 w:hAnsi="仿宋" w:eastAsia="仿宋"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 w:hAnsi="仿宋" w:eastAsia="仿宋"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 w:hAnsi="仿宋" w:eastAsia="仿宋"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 w:hAnsi="仿宋" w:eastAsia="仿宋"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 w:hAnsi="仿宋" w:eastAsia="仿宋" w:cs="Times New Roman"/>
          <w:color w:val="000000"/>
          <w:kern w:val="0"/>
          <w:sz w:val="32"/>
          <w:szCs w:val="32"/>
        </w:rPr>
        <w:t>填列单位公务用车车辆购置支出（含车辆购置税、牌照费）。</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 w:hAnsi="仿宋" w:eastAsia="仿宋"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 w:hAnsi="仿宋" w:eastAsia="仿宋"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 w:hAnsi="仿宋" w:eastAsia="仿宋"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 w:hAnsi="仿宋" w:eastAsia="仿宋" w:cs="Times New Roman"/>
          <w:color w:val="000000"/>
          <w:kern w:val="0"/>
          <w:sz w:val="32"/>
          <w:szCs w:val="32"/>
        </w:rPr>
        <w:t>按照经费来源，</w:t>
      </w:r>
      <w:r>
        <w:rPr>
          <w:rFonts w:hint="eastAsia" w:ascii="仿宋" w:hAnsi="仿宋" w:eastAsia="仿宋"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9"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30" w:type="default"/>
          <w:pgSz w:w="11906" w:h="16838"/>
          <w:pgMar w:top="2098" w:right="1474" w:bottom="1985" w:left="1588" w:header="851" w:footer="992" w:gutter="0"/>
          <w:pgNumType w:fmt="numberInDash"/>
          <w:cols w:space="425" w:num="1"/>
          <w:docGrid w:type="lines" w:linePitch="312" w:charSpace="0"/>
        </w:sectPr>
      </w:pPr>
      <w:r>
        <w:rPr>
          <w:sz w:val="72"/>
        </w:rPr>
        <w:pict>
          <v:shape id="文本框 229" o:spid="_x0000_s1038" o:spt="202" type="#_x0000_t202" style="position:absolute;left:0pt;margin-left:-82.05pt;margin-top:111.85pt;height:263.1pt;width:613.65pt;z-index:251691008;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AOsgIAAMQFAAAOAAAAZHJzL2Uyb0RvYy54bWysVM1uEzEQviPxDpbvdPMfEnVThVZBSBWt&#10;KIiz12snK7weYzvZhAeAN+DEhTvPledg7P1pys+hiMuuPfN55pvP4zm/2JeK7IR1BeiU9s96lAjN&#10;IS/0OqXv3q6ePafEeaZzpkCLlB6EoxeLp0/OKzMXA9iAyoUlGES7eWVSuvHezJPE8Y0omTsDIzQ6&#10;JdiSedzadZJbVmH0UiWDXm+SVGBzY4EL59B6VTvpIsaXUnB/I6UTnqiUIjcfvzZ+s/BNFudsvrbM&#10;bAre0GD/wKJkhcakXagr5hnZ2uK3UGXBLTiQ/oxDmYCUBRexBqym3/ulmrsNMyLWguI408nk/l9Y&#10;/np3a0mRp3QwmFGiWYmXdPz65fjtx/H7ZxKMKFFl3ByRdwaxfv8C9njVrd2hMVS+l7YMf6yJoB/F&#10;PnQCi70nHI3T6Ww4HI8p4egbDkf94TReQXJ/3FjnXwooSVik1OINRmHZ7tp5pILQFhKyGeb9qlCq&#10;gRvuxxEu15cq0nJ2neGS7Bh2wGp1NZtMAnMM00GyDhu6TnTobB2LRGiDCLmbfCG30qRK6WQ47sWU&#10;DlSRBy7B9/e0JzCMpzRyCfLWMsaVPyhRx38jJN5NVDMGfciPcS60bzkqjeiAkkjhMQcbfDgq4ot5&#10;zOHuRMwM2neHy0KDrYV5SDv/0FKWNb5VoK47SOD32T42ZT+2RzBlkB+w+yzUT9gZviqwQ66Z87fM&#10;4pvFhsM55G/wIxXgxUCzomQD9tOf7AGPTwm9lFQ4A1LqPm6ZFZSoVxof2aw/GoWhETej8XSAG3vq&#10;yU49elteAjZZHyee4XEZ8F61S2mhfI/jahmyootpjrlTyr1tN5e+nk048LhYLiMMBwV23bW+MzwE&#10;D0JrWG49yCI+iHt1GiFxVMQGb8ZamEWn+4i6H76LnwAAAP//AwBQSwMEFAAGAAgAAAAhAAEamgPi&#10;AAAADQEAAA8AAABkcnMvZG93bnJldi54bWxMj8FOwzAQRO9I/IO1SFxQ6zSt0jbEqQAJqdcWDuXm&#10;xksSxV5H8TYNf497guNqnmbeFrvJWTHiEFpPChbzBARS5U1LtYLPj/fZBkRgTUZbT6jgBwPsyvu7&#10;QufGX+mA45FrEUso5FpBw9znUoaqQafD3PdIMfv2g9Mcz6GWZtDXWO6sTJMkk063FBca3eNbg1V3&#10;vDgFtkf+Ou1tu+HXbsyeDqY77Vmpx4fp5RkE48R/MNz0ozqU0ensL2SCsApmi2y1iKyCNF2uQdyQ&#10;JFumIM4K1qvtFmRZyP9flL8AAAD//wMAUEsBAi0AFAAGAAgAAAAhALaDOJL+AAAA4QEAABMAAAAA&#10;AAAAAAAAAAAAAAAAAFtDb250ZW50X1R5cGVzXS54bWxQSwECLQAUAAYACAAAACEAOP0h/9YAAACU&#10;AQAACwAAAAAAAAAAAAAAAAAvAQAAX3JlbHMvLnJlbHNQSwECLQAUAAYACAAAACEAGf6wDrICAADE&#10;BQAADgAAAAAAAAAAAAAAAAAuAgAAZHJzL2Uyb0RvYy54bWxQSwECLQAUAAYACAAAACEAARqaA+IA&#10;AAANAQAADwAAAAAAAAAAAAAAAAAMBQAAZHJzL2Rvd25yZXYueG1sUEsFBgAAAAAEAAQA8wAAABsG&#10;AAAAAA==&#10;">
            <v:path/>
            <v:fill type="pattern" on="t" color2="#FFFFFF" focussize="0,0" r:id="rId35"/>
            <v:stroke weight="0.5pt" color="#FFD966"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tbl>
      <w:tblPr>
        <w:tblStyle w:val="7"/>
        <w:tblW w:w="9809" w:type="dxa"/>
        <w:tblInd w:w="93" w:type="dxa"/>
        <w:tblLayout w:type="autofit"/>
        <w:tblCellMar>
          <w:top w:w="0" w:type="dxa"/>
          <w:left w:w="108" w:type="dxa"/>
          <w:bottom w:w="0" w:type="dxa"/>
          <w:right w:w="108" w:type="dxa"/>
        </w:tblCellMar>
      </w:tblPr>
      <w:tblGrid>
        <w:gridCol w:w="3276"/>
        <w:gridCol w:w="524"/>
        <w:gridCol w:w="1096"/>
        <w:gridCol w:w="3330"/>
        <w:gridCol w:w="487"/>
        <w:gridCol w:w="1096"/>
      </w:tblGrid>
      <w:tr>
        <w:tblPrEx>
          <w:tblCellMar>
            <w:top w:w="0" w:type="dxa"/>
            <w:left w:w="108" w:type="dxa"/>
            <w:bottom w:w="0" w:type="dxa"/>
            <w:right w:w="108" w:type="dxa"/>
          </w:tblCellMar>
        </w:tblPrEx>
        <w:trPr>
          <w:trHeight w:val="390" w:hRule="atLeast"/>
        </w:trPr>
        <w:tc>
          <w:tcPr>
            <w:tcW w:w="9809" w:type="dxa"/>
            <w:gridSpan w:val="6"/>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收入支出决算总表</w:t>
            </w:r>
          </w:p>
        </w:tc>
      </w:tr>
      <w:tr>
        <w:tblPrEx>
          <w:tblCellMar>
            <w:top w:w="0" w:type="dxa"/>
            <w:left w:w="108" w:type="dxa"/>
            <w:bottom w:w="0" w:type="dxa"/>
            <w:right w:w="108" w:type="dxa"/>
          </w:tblCellMar>
        </w:tblPrEx>
        <w:trPr>
          <w:trHeight w:val="255" w:hRule="atLeast"/>
        </w:trPr>
        <w:tc>
          <w:tcPr>
            <w:tcW w:w="9809" w:type="dxa"/>
            <w:gridSpan w:val="6"/>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公开01表</w:t>
            </w:r>
          </w:p>
        </w:tc>
      </w:tr>
      <w:tr>
        <w:tblPrEx>
          <w:tblCellMar>
            <w:top w:w="0" w:type="dxa"/>
            <w:left w:w="108" w:type="dxa"/>
            <w:bottom w:w="0" w:type="dxa"/>
            <w:right w:w="108" w:type="dxa"/>
          </w:tblCellMar>
        </w:tblPrEx>
        <w:trPr>
          <w:trHeight w:val="255" w:hRule="atLeast"/>
        </w:trPr>
        <w:tc>
          <w:tcPr>
            <w:tcW w:w="8226" w:type="dxa"/>
            <w:gridSpan w:val="4"/>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部门：石家庄市鹿泉区民政局(本级）</w:t>
            </w:r>
          </w:p>
        </w:tc>
        <w:tc>
          <w:tcPr>
            <w:tcW w:w="1583" w:type="dxa"/>
            <w:gridSpan w:val="2"/>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489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收入</w:t>
            </w:r>
          </w:p>
        </w:tc>
        <w:tc>
          <w:tcPr>
            <w:tcW w:w="4913" w:type="dxa"/>
            <w:gridSpan w:val="3"/>
            <w:tcBorders>
              <w:top w:val="single" w:color="000000" w:sz="4" w:space="0"/>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支出</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行次</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金额</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行次</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金额</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一、一般公共预算财政拨款收入</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5,467.73</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一、一般公共服务支出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二、政府性基金预算财政拨款收入</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391.71</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二、外交支出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30</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三、上级补助收入</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三、国防支出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四、事业收入</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四、公共安全支出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32</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五、经营收入</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五、教育支出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4.56</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六、附属单位上缴收入</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六、科学技术支出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34</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七、其他收入</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110.03</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七、文化旅游体育与传媒支出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八、社会保障和就业支出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36</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4,987.21</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九、卫生健康支出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37</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十、节能环保支出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38</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十一、城乡社区支出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39</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十二、农林水支出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40</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13</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十三、交通运输支出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41</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14</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十四、资源勘探信息等支出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42</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十五、商业服务业等支出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43</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十六、金融支出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44</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17</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十七、援助其他地区支出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18</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十八、自然资源海洋气象等支出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46</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19</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十九、住房保障支出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47</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20</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二十、粮油物资储备支出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21</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二十一、灾害防治及应急管理支出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二十二、其他支出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50</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730.18</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23</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二十四、债务付息支出</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51</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本年收入合计</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24</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5,969.47</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本年支出合计</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52</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5,836.38</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用事业基金弥补收支差额</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25</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结余分配</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53</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年初结转和结余</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26</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1,003.38</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年末结转和结余</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54</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1,136.47</w:t>
            </w: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27</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333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3276"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总计</w:t>
            </w:r>
          </w:p>
        </w:tc>
        <w:tc>
          <w:tcPr>
            <w:tcW w:w="5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28</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6,972.85</w:t>
            </w:r>
          </w:p>
        </w:tc>
        <w:tc>
          <w:tcPr>
            <w:tcW w:w="3330"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总计</w:t>
            </w:r>
          </w:p>
        </w:tc>
        <w:tc>
          <w:tcPr>
            <w:tcW w:w="48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56</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6,972.85</w:t>
            </w:r>
          </w:p>
        </w:tc>
      </w:tr>
      <w:tr>
        <w:tblPrEx>
          <w:tblCellMar>
            <w:top w:w="0" w:type="dxa"/>
            <w:left w:w="108" w:type="dxa"/>
            <w:bottom w:w="0" w:type="dxa"/>
            <w:right w:w="108" w:type="dxa"/>
          </w:tblCellMar>
        </w:tblPrEx>
        <w:trPr>
          <w:trHeight w:val="308" w:hRule="atLeast"/>
        </w:trPr>
        <w:tc>
          <w:tcPr>
            <w:tcW w:w="9809" w:type="dxa"/>
            <w:gridSpan w:val="6"/>
            <w:tcBorders>
              <w:top w:val="nil"/>
              <w:left w:val="nil"/>
              <w:bottom w:val="nil"/>
              <w:right w:val="nil"/>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注：本表反映部门本年度的总收支和年末结转结余情况。</w:t>
            </w:r>
          </w:p>
        </w:tc>
      </w:tr>
    </w:tbl>
    <w:p/>
    <w:p/>
    <w:p/>
    <w:p/>
    <w:tbl>
      <w:tblPr>
        <w:tblStyle w:val="7"/>
        <w:tblW w:w="9869" w:type="dxa"/>
        <w:tblInd w:w="93" w:type="dxa"/>
        <w:tblLayout w:type="autofit"/>
        <w:tblCellMar>
          <w:top w:w="0" w:type="dxa"/>
          <w:left w:w="108" w:type="dxa"/>
          <w:bottom w:w="0" w:type="dxa"/>
          <w:right w:w="108" w:type="dxa"/>
        </w:tblCellMar>
      </w:tblPr>
      <w:tblGrid>
        <w:gridCol w:w="986"/>
        <w:gridCol w:w="2584"/>
        <w:gridCol w:w="1326"/>
        <w:gridCol w:w="1124"/>
        <w:gridCol w:w="1026"/>
        <w:gridCol w:w="660"/>
        <w:gridCol w:w="660"/>
        <w:gridCol w:w="660"/>
        <w:gridCol w:w="882"/>
      </w:tblGrid>
      <w:tr>
        <w:trPr>
          <w:trHeight w:val="390" w:hRule="atLeast"/>
        </w:trPr>
        <w:tc>
          <w:tcPr>
            <w:tcW w:w="9869" w:type="dxa"/>
            <w:gridSpan w:val="9"/>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收入决算表</w:t>
            </w:r>
          </w:p>
        </w:tc>
      </w:tr>
      <w:tr>
        <w:tblPrEx>
          <w:tblCellMar>
            <w:top w:w="0" w:type="dxa"/>
            <w:left w:w="108" w:type="dxa"/>
            <w:bottom w:w="0" w:type="dxa"/>
            <w:right w:w="108" w:type="dxa"/>
          </w:tblCellMar>
        </w:tblPrEx>
        <w:trPr>
          <w:trHeight w:val="255" w:hRule="atLeast"/>
        </w:trPr>
        <w:tc>
          <w:tcPr>
            <w:tcW w:w="9869" w:type="dxa"/>
            <w:gridSpan w:val="9"/>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公开02表</w:t>
            </w:r>
          </w:p>
        </w:tc>
      </w:tr>
      <w:tr>
        <w:tblPrEx>
          <w:tblCellMar>
            <w:top w:w="0" w:type="dxa"/>
            <w:left w:w="108" w:type="dxa"/>
            <w:bottom w:w="0" w:type="dxa"/>
            <w:right w:w="108" w:type="dxa"/>
          </w:tblCellMar>
        </w:tblPrEx>
        <w:trPr>
          <w:trHeight w:val="255" w:hRule="atLeast"/>
        </w:trPr>
        <w:tc>
          <w:tcPr>
            <w:tcW w:w="8343" w:type="dxa"/>
            <w:gridSpan w:val="7"/>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部门：石家庄市鹿泉区民政局(本级）</w:t>
            </w:r>
          </w:p>
        </w:tc>
        <w:tc>
          <w:tcPr>
            <w:tcW w:w="1526" w:type="dxa"/>
            <w:gridSpan w:val="2"/>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355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132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本年收入合计</w:t>
            </w:r>
          </w:p>
        </w:tc>
        <w:tc>
          <w:tcPr>
            <w:tcW w:w="1124"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财政拨款收入</w:t>
            </w:r>
          </w:p>
        </w:tc>
        <w:tc>
          <w:tcPr>
            <w:tcW w:w="102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上级补助收入</w:t>
            </w:r>
          </w:p>
        </w:tc>
        <w:tc>
          <w:tcPr>
            <w:tcW w:w="654"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事业收入</w:t>
            </w:r>
          </w:p>
        </w:tc>
        <w:tc>
          <w:tcPr>
            <w:tcW w:w="654"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经营收入</w:t>
            </w:r>
          </w:p>
        </w:tc>
        <w:tc>
          <w:tcPr>
            <w:tcW w:w="654"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附属单位上缴收入</w:t>
            </w:r>
          </w:p>
        </w:tc>
        <w:tc>
          <w:tcPr>
            <w:tcW w:w="872"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其他收入</w:t>
            </w:r>
          </w:p>
        </w:tc>
      </w:tr>
      <w:tr>
        <w:tblPrEx>
          <w:tblCellMar>
            <w:top w:w="0" w:type="dxa"/>
            <w:left w:w="108" w:type="dxa"/>
            <w:bottom w:w="0" w:type="dxa"/>
            <w:right w:w="108" w:type="dxa"/>
          </w:tblCellMar>
        </w:tblPrEx>
        <w:trPr>
          <w:trHeight w:val="312" w:hRule="atLeast"/>
        </w:trPr>
        <w:tc>
          <w:tcPr>
            <w:tcW w:w="975"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功能分类科目编码</w:t>
            </w:r>
          </w:p>
        </w:tc>
        <w:tc>
          <w:tcPr>
            <w:tcW w:w="2584" w:type="dxa"/>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132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2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02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65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65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65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7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975"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258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32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2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02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65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65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65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7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975"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258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32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2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02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65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65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65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7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355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132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112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102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c>
          <w:tcPr>
            <w:tcW w:w="65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w:t>
            </w:r>
          </w:p>
        </w:tc>
        <w:tc>
          <w:tcPr>
            <w:tcW w:w="65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w:t>
            </w:r>
          </w:p>
        </w:tc>
        <w:tc>
          <w:tcPr>
            <w:tcW w:w="65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w:t>
            </w:r>
          </w:p>
        </w:tc>
        <w:tc>
          <w:tcPr>
            <w:tcW w:w="872"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w:t>
            </w:r>
          </w:p>
        </w:tc>
      </w:tr>
      <w:tr>
        <w:tblPrEx>
          <w:tblCellMar>
            <w:top w:w="0" w:type="dxa"/>
            <w:left w:w="108" w:type="dxa"/>
            <w:bottom w:w="0" w:type="dxa"/>
            <w:right w:w="108" w:type="dxa"/>
          </w:tblCellMar>
        </w:tblPrEx>
        <w:trPr>
          <w:trHeight w:val="308" w:hRule="atLeast"/>
        </w:trPr>
        <w:tc>
          <w:tcPr>
            <w:tcW w:w="355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5,969.47</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5,859.44</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110.03</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一般公共服务支出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组织事务</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教育支出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5.48</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5.48</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教育管理事务</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4.24</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4.24</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2050101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4.24</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4.24</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普通教育</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2050299</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其他普通教育支出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社会保障和就业支出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5,454.66</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5,344.64</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110.03</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民政管理事务</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1,016.84</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906.81</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110.03</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733.66</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733.66</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一般行政管理事务</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204.52</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94.49</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110.03</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2080206</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民间组织管理</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7.15</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7.15</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2080207</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行政区划和地名管理</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61.52</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61.52</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2080208</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基层政权和社区建设</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行政事业单位离退休</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58.33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58.33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2080505</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机关事业单位基本养老保险缴费支出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58.33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58.33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退役安置</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49.13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49.13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退役士兵安置</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49.13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49.13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社会福利</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1,235.35</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1,235.35</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儿童福利</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94.66</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94.66</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老年福利</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1,021.98</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1,021.98</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2081005</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社会福利事业单位</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118.71</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118.71</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残疾人事业</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468.53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468.53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2081199</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其他残疾人事业支出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468.53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468.53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20819</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最低生活保障</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1,882.00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1,882.00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2081901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城市最低生活保障金支出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217.00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217.00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2081902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农村最低生活保障金支出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1,665.00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1,665.00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20820</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临时救助</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85.19</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85.19</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2082001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临时救助支出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2082002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流浪乞讨人员救助支出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50.19</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50.19</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特困人员救助供养</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584.74</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584.74</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2082101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城市特困人员救助供养支出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148.00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148.00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2082102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农村特困人员救助供养支出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436.74</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436.74</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20825</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其他生活救助</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48.40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48.40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2082502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其他农村生活救助</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48.40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48.40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20828</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退役军人管理事务</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2082899</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其他退役军人事务管理支出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20899</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其他社会保障和就业支出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2089901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其他社会保障和就业支出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卫生健康支出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37.52</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37.52</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行政事业单位医疗</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37.52</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37.52</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行政单位医疗</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37.52</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37.52</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农林水支出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21305</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扶贫</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2130599</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其他扶贫支出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住房保障支出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30.08</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30.08</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住房改革支出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30.08</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30.08</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2210201</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住房公积金</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30.08</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30.08</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391.71</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391.71</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22908</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彩票发行销售机构业务费安排的支出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2290804</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福利彩票销售机构的业务费支出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22960</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彩票公益金安排的支出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369.37</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369.37</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2296002</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用于社会福利的彩票公益金支出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321.25</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321.25</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2296099</w:t>
            </w:r>
          </w:p>
        </w:tc>
        <w:tc>
          <w:tcPr>
            <w:tcW w:w="2584"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用于其他社会公益事业的彩票公益金支出</w:t>
            </w:r>
          </w:p>
        </w:tc>
        <w:tc>
          <w:tcPr>
            <w:tcW w:w="13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48.12</w:t>
            </w:r>
          </w:p>
        </w:tc>
        <w:tc>
          <w:tcPr>
            <w:tcW w:w="11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48.12</w:t>
            </w:r>
          </w:p>
        </w:tc>
        <w:tc>
          <w:tcPr>
            <w:tcW w:w="102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869" w:type="dxa"/>
            <w:gridSpan w:val="9"/>
            <w:tcBorders>
              <w:top w:val="nil"/>
              <w:left w:val="nil"/>
              <w:bottom w:val="nil"/>
              <w:right w:val="nil"/>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注：本表反映部门本年度取得的各项收入情况。</w:t>
            </w:r>
          </w:p>
        </w:tc>
      </w:tr>
    </w:tbl>
    <w:p/>
    <w:tbl>
      <w:tblPr>
        <w:tblStyle w:val="7"/>
        <w:tblW w:w="9869" w:type="dxa"/>
        <w:tblInd w:w="93" w:type="dxa"/>
        <w:tblLayout w:type="autofit"/>
        <w:tblCellMar>
          <w:top w:w="0" w:type="dxa"/>
          <w:left w:w="108" w:type="dxa"/>
          <w:bottom w:w="0" w:type="dxa"/>
          <w:right w:w="108" w:type="dxa"/>
        </w:tblCellMar>
      </w:tblPr>
      <w:tblGrid>
        <w:gridCol w:w="986"/>
        <w:gridCol w:w="3163"/>
        <w:gridCol w:w="1377"/>
        <w:gridCol w:w="968"/>
        <w:gridCol w:w="1103"/>
        <w:gridCol w:w="865"/>
        <w:gridCol w:w="811"/>
        <w:gridCol w:w="660"/>
      </w:tblGrid>
      <w:tr>
        <w:tblPrEx>
          <w:tblCellMar>
            <w:top w:w="0" w:type="dxa"/>
            <w:left w:w="108" w:type="dxa"/>
            <w:bottom w:w="0" w:type="dxa"/>
            <w:right w:w="108" w:type="dxa"/>
          </w:tblCellMar>
        </w:tblPrEx>
        <w:trPr>
          <w:trHeight w:val="390" w:hRule="atLeast"/>
        </w:trPr>
        <w:tc>
          <w:tcPr>
            <w:tcW w:w="9869" w:type="dxa"/>
            <w:gridSpan w:val="8"/>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p>
          <w:p>
            <w:pPr>
              <w:widowControl/>
              <w:jc w:val="center"/>
              <w:rPr>
                <w:rFonts w:ascii="宋体" w:hAnsi="宋体" w:eastAsia="宋体" w:cs="Arial"/>
                <w:color w:val="000000"/>
                <w:kern w:val="0"/>
                <w:sz w:val="30"/>
                <w:szCs w:val="30"/>
              </w:rPr>
            </w:pPr>
          </w:p>
          <w:p>
            <w:pPr>
              <w:widowControl/>
              <w:jc w:val="center"/>
              <w:rPr>
                <w:rFonts w:ascii="宋体" w:hAnsi="宋体" w:eastAsia="宋体" w:cs="Arial"/>
                <w:color w:val="000000"/>
                <w:kern w:val="0"/>
                <w:sz w:val="30"/>
                <w:szCs w:val="30"/>
              </w:rPr>
            </w:pPr>
          </w:p>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支出决算表</w:t>
            </w:r>
          </w:p>
        </w:tc>
      </w:tr>
      <w:tr>
        <w:tblPrEx>
          <w:tblCellMar>
            <w:top w:w="0" w:type="dxa"/>
            <w:left w:w="108" w:type="dxa"/>
            <w:bottom w:w="0" w:type="dxa"/>
            <w:right w:w="108" w:type="dxa"/>
          </w:tblCellMar>
        </w:tblPrEx>
        <w:trPr>
          <w:trHeight w:val="255" w:hRule="atLeast"/>
        </w:trPr>
        <w:tc>
          <w:tcPr>
            <w:tcW w:w="9869" w:type="dxa"/>
            <w:gridSpan w:val="8"/>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公开03表</w:t>
            </w:r>
          </w:p>
        </w:tc>
      </w:tr>
      <w:tr>
        <w:tblPrEx>
          <w:tblCellMar>
            <w:top w:w="0" w:type="dxa"/>
            <w:left w:w="108" w:type="dxa"/>
            <w:bottom w:w="0" w:type="dxa"/>
            <w:right w:w="108" w:type="dxa"/>
          </w:tblCellMar>
        </w:tblPrEx>
        <w:trPr>
          <w:trHeight w:val="255" w:hRule="atLeast"/>
        </w:trPr>
        <w:tc>
          <w:tcPr>
            <w:tcW w:w="8412" w:type="dxa"/>
            <w:gridSpan w:val="6"/>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部门：石家庄市鹿泉区民政局(本级）</w:t>
            </w:r>
          </w:p>
        </w:tc>
        <w:tc>
          <w:tcPr>
            <w:tcW w:w="1457" w:type="dxa"/>
            <w:gridSpan w:val="2"/>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412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1377"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本年支出合计</w:t>
            </w:r>
          </w:p>
        </w:tc>
        <w:tc>
          <w:tcPr>
            <w:tcW w:w="968"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基本支出</w:t>
            </w:r>
          </w:p>
        </w:tc>
        <w:tc>
          <w:tcPr>
            <w:tcW w:w="107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项目支出</w:t>
            </w:r>
          </w:p>
        </w:tc>
        <w:tc>
          <w:tcPr>
            <w:tcW w:w="865"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上缴上级支出</w:t>
            </w:r>
          </w:p>
        </w:tc>
        <w:tc>
          <w:tcPr>
            <w:tcW w:w="811"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经营支出</w:t>
            </w:r>
          </w:p>
        </w:tc>
        <w:tc>
          <w:tcPr>
            <w:tcW w:w="64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对附属单位补助支出</w:t>
            </w:r>
          </w:p>
        </w:tc>
      </w:tr>
      <w:tr>
        <w:tblPrEx>
          <w:tblCellMar>
            <w:top w:w="0" w:type="dxa"/>
            <w:left w:w="108" w:type="dxa"/>
            <w:bottom w:w="0" w:type="dxa"/>
            <w:right w:w="108" w:type="dxa"/>
          </w:tblCellMar>
        </w:tblPrEx>
        <w:trPr>
          <w:trHeight w:val="312" w:hRule="atLeast"/>
        </w:trPr>
        <w:tc>
          <w:tcPr>
            <w:tcW w:w="963"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功能分类科目编码</w:t>
            </w:r>
          </w:p>
        </w:tc>
        <w:tc>
          <w:tcPr>
            <w:tcW w:w="3163" w:type="dxa"/>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1377"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968"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1076"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865"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811"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646"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963"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3163"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377"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968"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1076"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865"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811"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646"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963"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3163"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377"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968"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1076"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865"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811"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c>
          <w:tcPr>
            <w:tcW w:w="646"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412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137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968"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10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c>
          <w:tcPr>
            <w:tcW w:w="865"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w:t>
            </w:r>
          </w:p>
        </w:tc>
        <w:tc>
          <w:tcPr>
            <w:tcW w:w="81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w:t>
            </w:r>
          </w:p>
        </w:tc>
        <w:tc>
          <w:tcPr>
            <w:tcW w:w="64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w:t>
            </w:r>
          </w:p>
        </w:tc>
      </w:tr>
      <w:tr>
        <w:tblPrEx>
          <w:tblCellMar>
            <w:top w:w="0" w:type="dxa"/>
            <w:left w:w="108" w:type="dxa"/>
            <w:bottom w:w="0" w:type="dxa"/>
            <w:right w:w="108" w:type="dxa"/>
          </w:tblCellMar>
        </w:tblPrEx>
        <w:trPr>
          <w:trHeight w:val="308" w:hRule="atLeast"/>
        </w:trPr>
        <w:tc>
          <w:tcPr>
            <w:tcW w:w="412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5,836.38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851.79</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4,984.59</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一般公共服务支出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组织事务</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教育支出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4.56</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4.56</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教育管理事务</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3.33</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2050101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3.33</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普通教育</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2050299</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其他普通教育支出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社会保障和就业支出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4,987.21</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781.30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4,205.91</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民政管理事务</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1,010.59</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725.88</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284.71</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725.88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725.88</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一般行政管理事务</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206.05</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206.05</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2080206</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民间组织管理</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7.15</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7.15</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2080207</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行政区划和地名管理</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61.52</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61.52</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2080208</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基层政权和社区建设</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行政事业单位离退休</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55.42</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55.42</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2080505</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机关事业单位基本养老保险缴费支出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55.42</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55.42</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20808</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抚恤</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8.12</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8.12</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2080899</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其他优抚支出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8.12</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8.12</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退役安置</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68.13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68.13</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退役士兵安置</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49.13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49.13</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军队移交政府的离退休人员安置</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16.75</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16.75</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2080903</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军队移交政府离退休干部管理机构</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2.25</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2.25</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社会福利</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1,003.86</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1,003.86</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儿童福利</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64.45</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64.45</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老年福利</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826.40</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826.40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2081005</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社会福利事业单位</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113.01</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113.01</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残疾人事业</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310.58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310.58</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2081199</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其他残疾人事业支出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310.58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310.58</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20819</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最低生活保障</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1,632.00</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1,632.00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2081901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城市最低生活保障金支出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217.00</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217.00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2081902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农村最低生活保障金支出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1,415.00</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1,415.00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20820</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临时救助</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51.23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51.23</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2082001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临时救助支出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1.04</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1.04</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2082002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流浪乞讨人员救助支出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50.19</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50.19</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特困人员救助供养</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631.08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631.08</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2082102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农村特困人员救助供养支出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631.08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631.08</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20825</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其他生活救助</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200.04</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200.04</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2082501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其他城市生活救助</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151.64</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151.64</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2082502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其他农村生活救助</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48.40</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48.40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20828</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退役军人管理事务</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2082899</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其他退役军人事务管理支出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卫生健康支出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行政事业单位医疗</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行政单位医疗</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农林水支出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21305</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扶贫</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2130599</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其他扶贫支出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住房保障支出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住房改革支出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2210201</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住房公积金</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730.18</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730.18</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22908</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彩票发行销售机构业务费安排的支出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2290804</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福利彩票销售机构的业务费支出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22960</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彩票公益金安排的支出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707.85</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707.85</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2296002</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用于社会福利的彩票公益金支出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659.73</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659.73</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63"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2296099</w:t>
            </w:r>
          </w:p>
        </w:tc>
        <w:tc>
          <w:tcPr>
            <w:tcW w:w="316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用于其他社会公益事业的彩票公益金支出</w:t>
            </w:r>
          </w:p>
        </w:tc>
        <w:tc>
          <w:tcPr>
            <w:tcW w:w="1377"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48.12</w:t>
            </w:r>
          </w:p>
        </w:tc>
        <w:tc>
          <w:tcPr>
            <w:tcW w:w="96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48.12</w:t>
            </w:r>
          </w:p>
        </w:tc>
        <w:tc>
          <w:tcPr>
            <w:tcW w:w="86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64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9869" w:type="dxa"/>
            <w:gridSpan w:val="8"/>
            <w:tcBorders>
              <w:top w:val="nil"/>
              <w:left w:val="nil"/>
              <w:bottom w:val="nil"/>
              <w:right w:val="nil"/>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注：本表反映部门本年度各项支出情况。</w:t>
            </w:r>
          </w:p>
        </w:tc>
      </w:tr>
    </w:tbl>
    <w:p/>
    <w:p/>
    <w:p/>
    <w:p/>
    <w:tbl>
      <w:tblPr>
        <w:tblStyle w:val="7"/>
        <w:tblW w:w="9796" w:type="dxa"/>
        <w:tblInd w:w="93" w:type="dxa"/>
        <w:tblLayout w:type="autofit"/>
        <w:tblCellMar>
          <w:top w:w="0" w:type="dxa"/>
          <w:left w:w="108" w:type="dxa"/>
          <w:bottom w:w="0" w:type="dxa"/>
          <w:right w:w="108" w:type="dxa"/>
        </w:tblCellMar>
      </w:tblPr>
      <w:tblGrid>
        <w:gridCol w:w="2138"/>
        <w:gridCol w:w="436"/>
        <w:gridCol w:w="1096"/>
        <w:gridCol w:w="2203"/>
        <w:gridCol w:w="598"/>
        <w:gridCol w:w="1131"/>
        <w:gridCol w:w="259"/>
        <w:gridCol w:w="837"/>
        <w:gridCol w:w="1121"/>
      </w:tblGrid>
      <w:tr>
        <w:tblPrEx>
          <w:tblCellMar>
            <w:top w:w="0" w:type="dxa"/>
            <w:left w:w="108" w:type="dxa"/>
            <w:bottom w:w="0" w:type="dxa"/>
            <w:right w:w="108" w:type="dxa"/>
          </w:tblCellMar>
        </w:tblPrEx>
        <w:trPr>
          <w:trHeight w:val="390" w:hRule="atLeast"/>
        </w:trPr>
        <w:tc>
          <w:tcPr>
            <w:tcW w:w="9796" w:type="dxa"/>
            <w:gridSpan w:val="9"/>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p>
          <w:p>
            <w:pPr>
              <w:widowControl/>
              <w:jc w:val="center"/>
              <w:rPr>
                <w:rFonts w:ascii="宋体" w:hAnsi="宋体" w:eastAsia="宋体" w:cs="Arial"/>
                <w:color w:val="000000"/>
                <w:kern w:val="0"/>
                <w:sz w:val="30"/>
                <w:szCs w:val="30"/>
              </w:rPr>
            </w:pPr>
          </w:p>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财政拨款收入支出决算总表</w:t>
            </w:r>
          </w:p>
        </w:tc>
      </w:tr>
      <w:tr>
        <w:tblPrEx>
          <w:tblCellMar>
            <w:top w:w="0" w:type="dxa"/>
            <w:left w:w="108" w:type="dxa"/>
            <w:bottom w:w="0" w:type="dxa"/>
            <w:right w:w="108" w:type="dxa"/>
          </w:tblCellMar>
        </w:tblPrEx>
        <w:trPr>
          <w:trHeight w:val="255" w:hRule="atLeast"/>
        </w:trPr>
        <w:tc>
          <w:tcPr>
            <w:tcW w:w="9796" w:type="dxa"/>
            <w:gridSpan w:val="9"/>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公开04表</w:t>
            </w:r>
          </w:p>
        </w:tc>
      </w:tr>
      <w:tr>
        <w:tblPrEx>
          <w:tblCellMar>
            <w:top w:w="0" w:type="dxa"/>
            <w:left w:w="108" w:type="dxa"/>
            <w:bottom w:w="0" w:type="dxa"/>
            <w:right w:w="108" w:type="dxa"/>
          </w:tblCellMar>
        </w:tblPrEx>
        <w:trPr>
          <w:trHeight w:val="255" w:hRule="atLeast"/>
        </w:trPr>
        <w:tc>
          <w:tcPr>
            <w:tcW w:w="7845" w:type="dxa"/>
            <w:gridSpan w:val="7"/>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部门：石家庄市鹿泉区民政局(本级）</w:t>
            </w:r>
          </w:p>
        </w:tc>
        <w:tc>
          <w:tcPr>
            <w:tcW w:w="1951" w:type="dxa"/>
            <w:gridSpan w:val="2"/>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365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收     入</w:t>
            </w:r>
          </w:p>
        </w:tc>
        <w:tc>
          <w:tcPr>
            <w:tcW w:w="6140" w:type="dxa"/>
            <w:gridSpan w:val="6"/>
            <w:tcBorders>
              <w:top w:val="single" w:color="000000" w:sz="4" w:space="0"/>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支     出</w:t>
            </w:r>
          </w:p>
        </w:tc>
      </w:tr>
      <w:tr>
        <w:tblPrEx>
          <w:tblCellMar>
            <w:top w:w="0" w:type="dxa"/>
            <w:left w:w="108" w:type="dxa"/>
            <w:bottom w:w="0" w:type="dxa"/>
            <w:right w:w="108" w:type="dxa"/>
          </w:tblCellMar>
        </w:tblPrEx>
        <w:trPr>
          <w:trHeight w:val="312" w:hRule="atLeast"/>
        </w:trPr>
        <w:tc>
          <w:tcPr>
            <w:tcW w:w="2138"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433"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行次</w:t>
            </w:r>
          </w:p>
        </w:tc>
        <w:tc>
          <w:tcPr>
            <w:tcW w:w="1085"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金额</w:t>
            </w:r>
          </w:p>
        </w:tc>
        <w:tc>
          <w:tcPr>
            <w:tcW w:w="2203"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598"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行次</w:t>
            </w:r>
          </w:p>
        </w:tc>
        <w:tc>
          <w:tcPr>
            <w:tcW w:w="1131" w:type="dxa"/>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1087"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一般公共预算财政拨款</w:t>
            </w:r>
          </w:p>
        </w:tc>
        <w:tc>
          <w:tcPr>
            <w:tcW w:w="1121"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政府性基金预算财政拨款</w:t>
            </w:r>
          </w:p>
        </w:tc>
      </w:tr>
      <w:tr>
        <w:tblPrEx>
          <w:tblCellMar>
            <w:top w:w="0" w:type="dxa"/>
            <w:left w:w="108" w:type="dxa"/>
            <w:bottom w:w="0" w:type="dxa"/>
            <w:right w:w="108" w:type="dxa"/>
          </w:tblCellMar>
        </w:tblPrEx>
        <w:trPr>
          <w:trHeight w:val="615" w:hRule="atLeast"/>
        </w:trPr>
        <w:tc>
          <w:tcPr>
            <w:tcW w:w="2138"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433"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085"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2203"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598"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31"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087"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21"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　</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一、一般公共预算财政拨款</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5,467.73</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一、一般公共服务支出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30</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二、政府性基金预算财政拨款</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391.71</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二、外交支出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三、国防支出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32</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四、公共安全支出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五、教育支出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34</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4.56</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4.56</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六、科学技术支出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七、文化旅游体育与传媒支出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36</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八、社会保障和就业支出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37</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4,877.19</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4,877.19</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九、卫生健康支出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38</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十、节能环保支出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39</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十一、城乡社区支出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40</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十二、农林水支出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41</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13</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十三、交通运输支出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42</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14</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十四、资源勘探信息等支出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43</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十五、商业服务业等支出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44</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十六、金融支出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17</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十七、援助其他地区支出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46</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18</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十八、自然资源海洋气象等支出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47</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19</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十九、住房保障支出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20</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二十、粮油物资储备支出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21</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二十一、灾害防治及应急管理支出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50</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二十二、其他支出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51</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730.18</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730.18</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23</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二十四、债务付息支出</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52</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本年收入合计</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24</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5,859.44</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本年支出合计</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53</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5,726.36</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4,996.17</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730.18</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年初财政拨款结转和结余</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25</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1,003.38</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年末财政拨款结转和结余</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54</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1,136.47</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986.18</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150.29</w:t>
            </w: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一、一般公共预算财政拨款</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26</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514.62</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二、政府性基金预算财政拨款</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27</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488.76</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56</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28</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57</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2138"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总计</w:t>
            </w:r>
          </w:p>
        </w:tc>
        <w:tc>
          <w:tcPr>
            <w:tcW w:w="43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w:t>
            </w:r>
          </w:p>
        </w:tc>
        <w:tc>
          <w:tcPr>
            <w:tcW w:w="108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6,862.83</w:t>
            </w:r>
          </w:p>
        </w:tc>
        <w:tc>
          <w:tcPr>
            <w:tcW w:w="22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总计</w:t>
            </w:r>
          </w:p>
        </w:tc>
        <w:tc>
          <w:tcPr>
            <w:tcW w:w="59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58</w:t>
            </w:r>
          </w:p>
        </w:tc>
        <w:tc>
          <w:tcPr>
            <w:tcW w:w="11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6,862.83</w:t>
            </w:r>
          </w:p>
        </w:tc>
        <w:tc>
          <w:tcPr>
            <w:tcW w:w="108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5,982.35</w:t>
            </w:r>
          </w:p>
        </w:tc>
        <w:tc>
          <w:tcPr>
            <w:tcW w:w="112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880.47</w:t>
            </w:r>
          </w:p>
        </w:tc>
      </w:tr>
      <w:tr>
        <w:tblPrEx>
          <w:tblCellMar>
            <w:top w:w="0" w:type="dxa"/>
            <w:left w:w="108" w:type="dxa"/>
            <w:bottom w:w="0" w:type="dxa"/>
            <w:right w:w="108" w:type="dxa"/>
          </w:tblCellMar>
        </w:tblPrEx>
        <w:trPr>
          <w:trHeight w:val="308" w:hRule="atLeast"/>
        </w:trPr>
        <w:tc>
          <w:tcPr>
            <w:tcW w:w="9796" w:type="dxa"/>
            <w:gridSpan w:val="9"/>
            <w:tcBorders>
              <w:top w:val="nil"/>
              <w:left w:val="nil"/>
              <w:bottom w:val="nil"/>
              <w:right w:val="nil"/>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注：本表反映部门本年度一般公共预算财政拨款和政府性基金预算财政拨款的总收支和年末结转结余情况。</w:t>
            </w:r>
          </w:p>
        </w:tc>
      </w:tr>
    </w:tbl>
    <w:p/>
    <w:p/>
    <w:p/>
    <w:p/>
    <w:p/>
    <w:p/>
    <w:p/>
    <w:p/>
    <w:p/>
    <w:p/>
    <w:p/>
    <w:tbl>
      <w:tblPr>
        <w:tblStyle w:val="7"/>
        <w:tblpPr w:leftFromText="180" w:rightFromText="180" w:vertAnchor="text" w:horzAnchor="page" w:tblpX="1404" w:tblpY="265"/>
        <w:tblOverlap w:val="never"/>
        <w:tblW w:w="9623" w:type="dxa"/>
        <w:tblInd w:w="0" w:type="dxa"/>
        <w:tblLayout w:type="autofit"/>
        <w:tblCellMar>
          <w:top w:w="0" w:type="dxa"/>
          <w:left w:w="108" w:type="dxa"/>
          <w:bottom w:w="0" w:type="dxa"/>
          <w:right w:w="108" w:type="dxa"/>
        </w:tblCellMar>
      </w:tblPr>
      <w:tblGrid>
        <w:gridCol w:w="2732"/>
        <w:gridCol w:w="30"/>
        <w:gridCol w:w="3490"/>
        <w:gridCol w:w="1134"/>
        <w:gridCol w:w="428"/>
        <w:gridCol w:w="706"/>
        <w:gridCol w:w="1103"/>
      </w:tblGrid>
      <w:tr>
        <w:tblPrEx>
          <w:tblCellMar>
            <w:top w:w="0" w:type="dxa"/>
            <w:left w:w="108" w:type="dxa"/>
            <w:bottom w:w="0" w:type="dxa"/>
            <w:right w:w="108" w:type="dxa"/>
          </w:tblCellMar>
        </w:tblPrEx>
        <w:trPr>
          <w:trHeight w:val="390" w:hRule="atLeast"/>
        </w:trPr>
        <w:tc>
          <w:tcPr>
            <w:tcW w:w="9623" w:type="dxa"/>
            <w:gridSpan w:val="7"/>
            <w:tcBorders>
              <w:top w:val="nil"/>
              <w:left w:val="nil"/>
              <w:bottom w:val="nil"/>
              <w:right w:val="nil"/>
            </w:tcBorders>
            <w:shd w:val="clear" w:color="auto" w:fill="auto"/>
            <w:noWrap/>
            <w:vAlign w:val="bottom"/>
          </w:tcPr>
          <w:p>
            <w:pPr>
              <w:widowControl/>
              <w:jc w:val="both"/>
              <w:rPr>
                <w:rFonts w:ascii="宋体" w:hAnsi="宋体" w:eastAsia="宋体" w:cs="Arial"/>
                <w:color w:val="000000"/>
                <w:kern w:val="0"/>
                <w:sz w:val="30"/>
                <w:szCs w:val="30"/>
              </w:rPr>
            </w:pPr>
          </w:p>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一般公共预算财政拨款支出决算表</w:t>
            </w:r>
          </w:p>
        </w:tc>
      </w:tr>
      <w:tr>
        <w:tblPrEx>
          <w:tblCellMar>
            <w:top w:w="0" w:type="dxa"/>
            <w:left w:w="108" w:type="dxa"/>
            <w:bottom w:w="0" w:type="dxa"/>
            <w:right w:w="108" w:type="dxa"/>
          </w:tblCellMar>
        </w:tblPrEx>
        <w:trPr>
          <w:trHeight w:val="255" w:hRule="atLeast"/>
        </w:trPr>
        <w:tc>
          <w:tcPr>
            <w:tcW w:w="9623" w:type="dxa"/>
            <w:gridSpan w:val="7"/>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公开05表</w:t>
            </w:r>
          </w:p>
        </w:tc>
      </w:tr>
      <w:tr>
        <w:tblPrEx>
          <w:tblCellMar>
            <w:top w:w="0" w:type="dxa"/>
            <w:left w:w="108" w:type="dxa"/>
            <w:bottom w:w="0" w:type="dxa"/>
            <w:right w:w="108" w:type="dxa"/>
          </w:tblCellMar>
        </w:tblPrEx>
        <w:trPr>
          <w:trHeight w:val="255" w:hRule="atLeast"/>
        </w:trPr>
        <w:tc>
          <w:tcPr>
            <w:tcW w:w="2732" w:type="dxa"/>
            <w:tcBorders>
              <w:top w:val="nil"/>
              <w:left w:val="nil"/>
              <w:bottom w:val="nil"/>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部门：石家庄市鹿泉区民政局(本级）</w:t>
            </w:r>
          </w:p>
        </w:tc>
        <w:tc>
          <w:tcPr>
            <w:tcW w:w="5082" w:type="dxa"/>
            <w:gridSpan w:val="4"/>
            <w:tcBorders>
              <w:top w:val="nil"/>
              <w:left w:val="nil"/>
              <w:bottom w:val="single" w:color="000000" w:sz="4" w:space="0"/>
              <w:right w:val="nil"/>
            </w:tcBorders>
            <w:shd w:val="clear" w:color="auto" w:fill="auto"/>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809" w:type="dxa"/>
            <w:gridSpan w:val="2"/>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625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3371" w:type="dxa"/>
            <w:gridSpan w:val="4"/>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本年支出</w:t>
            </w:r>
          </w:p>
        </w:tc>
      </w:tr>
      <w:tr>
        <w:tblPrEx>
          <w:tblCellMar>
            <w:top w:w="0" w:type="dxa"/>
            <w:left w:w="108" w:type="dxa"/>
            <w:bottom w:w="0" w:type="dxa"/>
            <w:right w:w="108" w:type="dxa"/>
          </w:tblCellMar>
        </w:tblPrEx>
        <w:trPr>
          <w:trHeight w:val="312" w:hRule="atLeast"/>
        </w:trPr>
        <w:tc>
          <w:tcPr>
            <w:tcW w:w="2762"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功能分类科目编码</w:t>
            </w:r>
          </w:p>
        </w:tc>
        <w:tc>
          <w:tcPr>
            <w:tcW w:w="3490" w:type="dxa"/>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1134"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小计</w:t>
            </w:r>
          </w:p>
        </w:tc>
        <w:tc>
          <w:tcPr>
            <w:tcW w:w="1134"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基本支出</w:t>
            </w:r>
          </w:p>
        </w:tc>
        <w:tc>
          <w:tcPr>
            <w:tcW w:w="1103"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项目支出</w:t>
            </w:r>
          </w:p>
        </w:tc>
      </w:tr>
      <w:tr>
        <w:tblPrEx>
          <w:tblCellMar>
            <w:top w:w="0" w:type="dxa"/>
            <w:left w:w="108" w:type="dxa"/>
            <w:bottom w:w="0" w:type="dxa"/>
            <w:right w:w="108" w:type="dxa"/>
          </w:tblCellMar>
        </w:tblPrEx>
        <w:trPr>
          <w:trHeight w:val="312" w:hRule="atLeast"/>
        </w:trPr>
        <w:tc>
          <w:tcPr>
            <w:tcW w:w="2762" w:type="dxa"/>
            <w:gridSpan w:val="2"/>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349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3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34"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03"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2762" w:type="dxa"/>
            <w:gridSpan w:val="2"/>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349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3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34"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03"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625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r>
      <w:tr>
        <w:tblPrEx>
          <w:tblCellMar>
            <w:top w:w="0" w:type="dxa"/>
            <w:left w:w="108" w:type="dxa"/>
            <w:bottom w:w="0" w:type="dxa"/>
            <w:right w:w="108" w:type="dxa"/>
          </w:tblCellMar>
        </w:tblPrEx>
        <w:trPr>
          <w:trHeight w:val="308" w:hRule="atLeast"/>
        </w:trPr>
        <w:tc>
          <w:tcPr>
            <w:tcW w:w="625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4,996.17</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851.79</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4,144.38</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一般公共服务支出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组织事务</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1.52</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教育支出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4.56</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4.56</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教育管理事务</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3.33</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3.33</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2050101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3.33</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3.33</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普通教育</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2050299</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其他普通教育支出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1.23</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社会保障和就业支出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4,877.19</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781.30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4,095.88</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民政管理事务</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900.57</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725.88</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174.69</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725.88</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725.88</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一般行政管理事务</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96.02</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96.02</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2080206</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民间组织管理</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7.15</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7.15</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2080207</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行政区划和地名管理</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61.52</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61.52</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2080208</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基层政权和社区建设</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行政事业单位离退休</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55.42</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55.42</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2080505</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机关事业单位基本养老保险缴费支出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55.42</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55.42</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20808</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抚恤</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8.12</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8.12</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2080899</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其他优抚支出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8.12</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8.12</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退役安置</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68.13</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68.13</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退役士兵安置</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49.13</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49.13</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军队移交政府的离退休人员安置</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16.75</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16.75</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2080903</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军队移交政府离退休干部管理机构</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2.25</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2.25</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社会福利</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1,003.86</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1,003.86</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儿童福利</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64.45</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64.45</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老年福利</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826.40</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826.40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2081005</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社会福利事业单位</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113.01</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113.01</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残疾人事业</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310.58</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310.58</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2081199</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其他残疾人事业支出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310.58</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310.58</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20819</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最低生活保障</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1,632.00</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1,632.00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2081901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城市最低生活保障金支出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217.00</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217.00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2081902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农村最低生活保障金支出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1,415.00</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1,415.00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20820</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临时救助</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51.23</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51.23</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2082001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临时救助支出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1.04</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1.04</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2082002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流浪乞讨人员救助支出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50.19</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50.19</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特困人员救助供养</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631.08</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631.08</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2082102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农村特困人员救助供养支出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631.08</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631.08</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20825</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其他生活救助</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200.04</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200.04</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2082501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其他城市生活救助</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151.64</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151.64</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2082502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其他农村生活救助</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48.40</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48.40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20828</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退役军人管理事务</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2082899</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其他退役军人事务管理支出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16.16</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卫生健康支出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行政事业单位医疗</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行政单位医疗</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农林水支出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21305</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扶贫</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2130599</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其他扶贫支出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48.50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住房保障支出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住房改革支出</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2762"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2210201</w:t>
            </w:r>
          </w:p>
        </w:tc>
        <w:tc>
          <w:tcPr>
            <w:tcW w:w="349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住房公积金</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134"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110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bl>
    <w:p/>
    <w:p/>
    <w:p/>
    <w:p/>
    <w:p/>
    <w:p/>
    <w:p/>
    <w:p/>
    <w:p/>
    <w:p/>
    <w:tbl>
      <w:tblPr>
        <w:tblStyle w:val="7"/>
        <w:tblpPr w:leftFromText="180" w:rightFromText="180" w:vertAnchor="text" w:horzAnchor="page" w:tblpX="1637" w:tblpY="175"/>
        <w:tblOverlap w:val="never"/>
        <w:tblW w:w="9871" w:type="dxa"/>
        <w:tblInd w:w="0" w:type="dxa"/>
        <w:tblLayout w:type="autofit"/>
        <w:tblCellMar>
          <w:top w:w="0" w:type="dxa"/>
          <w:left w:w="108" w:type="dxa"/>
          <w:bottom w:w="0" w:type="dxa"/>
          <w:right w:w="108" w:type="dxa"/>
        </w:tblCellMar>
      </w:tblPr>
      <w:tblGrid>
        <w:gridCol w:w="864"/>
        <w:gridCol w:w="1475"/>
        <w:gridCol w:w="876"/>
        <w:gridCol w:w="912"/>
        <w:gridCol w:w="988"/>
        <w:gridCol w:w="1031"/>
        <w:gridCol w:w="748"/>
        <w:gridCol w:w="70"/>
        <w:gridCol w:w="2031"/>
        <w:gridCol w:w="876"/>
      </w:tblGrid>
      <w:tr>
        <w:tblPrEx>
          <w:tblCellMar>
            <w:top w:w="0" w:type="dxa"/>
            <w:left w:w="108" w:type="dxa"/>
            <w:bottom w:w="0" w:type="dxa"/>
            <w:right w:w="108" w:type="dxa"/>
          </w:tblCellMar>
        </w:tblPrEx>
        <w:trPr>
          <w:trHeight w:val="390" w:hRule="atLeast"/>
        </w:trPr>
        <w:tc>
          <w:tcPr>
            <w:tcW w:w="9871" w:type="dxa"/>
            <w:gridSpan w:val="10"/>
            <w:tcBorders>
              <w:top w:val="nil"/>
              <w:left w:val="nil"/>
              <w:bottom w:val="nil"/>
              <w:right w:val="nil"/>
            </w:tcBorders>
            <w:shd w:val="clear" w:color="auto" w:fill="auto"/>
            <w:noWrap/>
            <w:vAlign w:val="bottom"/>
          </w:tcPr>
          <w:p>
            <w:pPr>
              <w:widowControl/>
              <w:jc w:val="both"/>
              <w:rPr>
                <w:rFonts w:ascii="宋体" w:hAnsi="宋体" w:eastAsia="宋体" w:cs="Arial"/>
                <w:color w:val="000000"/>
                <w:kern w:val="0"/>
                <w:sz w:val="30"/>
                <w:szCs w:val="30"/>
              </w:rPr>
            </w:pPr>
          </w:p>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一般公共预算财政拨款基本支出决算表</w:t>
            </w:r>
          </w:p>
        </w:tc>
      </w:tr>
      <w:tr>
        <w:tblPrEx>
          <w:tblCellMar>
            <w:top w:w="0" w:type="dxa"/>
            <w:left w:w="108" w:type="dxa"/>
            <w:bottom w:w="0" w:type="dxa"/>
            <w:right w:w="108" w:type="dxa"/>
          </w:tblCellMar>
        </w:tblPrEx>
        <w:trPr>
          <w:trHeight w:val="255" w:hRule="atLeast"/>
        </w:trPr>
        <w:tc>
          <w:tcPr>
            <w:tcW w:w="9871" w:type="dxa"/>
            <w:gridSpan w:val="10"/>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18"/>
                <w:szCs w:val="18"/>
              </w:rPr>
            </w:pPr>
            <w:r>
              <w:rPr>
                <w:rFonts w:hint="eastAsia" w:ascii="宋体" w:hAnsi="宋体" w:eastAsia="宋体" w:cs="Arial"/>
                <w:color w:val="000000"/>
                <w:kern w:val="0"/>
                <w:sz w:val="18"/>
                <w:szCs w:val="18"/>
              </w:rPr>
              <w:t>公开06表</w:t>
            </w:r>
          </w:p>
        </w:tc>
      </w:tr>
      <w:tr>
        <w:tblPrEx>
          <w:tblCellMar>
            <w:top w:w="0" w:type="dxa"/>
            <w:left w:w="108" w:type="dxa"/>
            <w:bottom w:w="0" w:type="dxa"/>
            <w:right w:w="108" w:type="dxa"/>
          </w:tblCellMar>
        </w:tblPrEx>
        <w:trPr>
          <w:trHeight w:val="255" w:hRule="atLeast"/>
        </w:trPr>
        <w:tc>
          <w:tcPr>
            <w:tcW w:w="6894" w:type="dxa"/>
            <w:gridSpan w:val="7"/>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部门：石家庄市鹿泉区民政局(本级）</w:t>
            </w:r>
          </w:p>
        </w:tc>
        <w:tc>
          <w:tcPr>
            <w:tcW w:w="2977" w:type="dxa"/>
            <w:gridSpan w:val="3"/>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18"/>
                <w:szCs w:val="18"/>
              </w:rPr>
            </w:pPr>
            <w:r>
              <w:rPr>
                <w:rFonts w:hint="eastAsia" w:ascii="宋体" w:hAnsi="宋体" w:eastAsia="宋体" w:cs="Arial"/>
                <w:color w:val="000000"/>
                <w:kern w:val="0"/>
                <w:sz w:val="18"/>
                <w:szCs w:val="18"/>
              </w:rPr>
              <w:t>金额单位：万元</w:t>
            </w:r>
          </w:p>
        </w:tc>
      </w:tr>
      <w:tr>
        <w:tblPrEx>
          <w:tblCellMar>
            <w:top w:w="0" w:type="dxa"/>
            <w:left w:w="108" w:type="dxa"/>
            <w:bottom w:w="0" w:type="dxa"/>
            <w:right w:w="108" w:type="dxa"/>
          </w:tblCellMar>
        </w:tblPrEx>
        <w:trPr>
          <w:trHeight w:val="308" w:hRule="atLeast"/>
        </w:trPr>
        <w:tc>
          <w:tcPr>
            <w:tcW w:w="321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人员经费</w:t>
            </w:r>
          </w:p>
        </w:tc>
        <w:tc>
          <w:tcPr>
            <w:tcW w:w="6656" w:type="dxa"/>
            <w:gridSpan w:val="7"/>
            <w:tcBorders>
              <w:top w:val="single" w:color="000000" w:sz="4" w:space="0"/>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公用经费</w:t>
            </w:r>
          </w:p>
        </w:tc>
      </w:tr>
      <w:tr>
        <w:tblPrEx>
          <w:tblCellMar>
            <w:top w:w="0" w:type="dxa"/>
            <w:left w:w="108" w:type="dxa"/>
            <w:bottom w:w="0" w:type="dxa"/>
            <w:right w:w="108" w:type="dxa"/>
          </w:tblCellMar>
        </w:tblPrEx>
        <w:trPr>
          <w:trHeight w:val="312" w:hRule="atLeast"/>
        </w:trPr>
        <w:tc>
          <w:tcPr>
            <w:tcW w:w="864"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科目编码</w:t>
            </w:r>
          </w:p>
        </w:tc>
        <w:tc>
          <w:tcPr>
            <w:tcW w:w="1475"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87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决算数</w:t>
            </w:r>
          </w:p>
        </w:tc>
        <w:tc>
          <w:tcPr>
            <w:tcW w:w="912"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科目编码</w:t>
            </w:r>
          </w:p>
        </w:tc>
        <w:tc>
          <w:tcPr>
            <w:tcW w:w="988"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1031"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决算数</w:t>
            </w:r>
          </w:p>
        </w:tc>
        <w:tc>
          <w:tcPr>
            <w:tcW w:w="818"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科目编码</w:t>
            </w:r>
          </w:p>
        </w:tc>
        <w:tc>
          <w:tcPr>
            <w:tcW w:w="2031"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87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决算数</w:t>
            </w:r>
          </w:p>
        </w:tc>
      </w:tr>
      <w:tr>
        <w:tblPrEx>
          <w:tblCellMar>
            <w:top w:w="0" w:type="dxa"/>
            <w:left w:w="108" w:type="dxa"/>
            <w:bottom w:w="0" w:type="dxa"/>
            <w:right w:w="108" w:type="dxa"/>
          </w:tblCellMar>
        </w:tblPrEx>
        <w:trPr>
          <w:trHeight w:val="312" w:hRule="atLeast"/>
        </w:trPr>
        <w:tc>
          <w:tcPr>
            <w:tcW w:w="86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475"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7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91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988"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031"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18"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2031"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76" w:type="dxa"/>
            <w:vMerge w:val="continue"/>
            <w:tcBorders>
              <w:top w:val="nil"/>
              <w:left w:val="nil"/>
              <w:bottom w:val="single" w:color="000000" w:sz="4" w:space="0"/>
              <w:right w:val="single" w:color="000000" w:sz="4" w:space="0"/>
            </w:tcBorders>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工资福利支出</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501.11</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商品和服务支出</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177.63</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307</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债务利息及费用支出</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30101</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基本工资</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138.47</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30201</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办公费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51.66</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30701</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国内债务付息</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30102</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津贴补贴</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51.16</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30202</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印刷费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4.83</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30702</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国外债务付息</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30103</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奖金</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97.74</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30203</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咨询费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0.30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资本性支出</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30106</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伙食补助费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30204</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手续费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0.04</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31001</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房屋建筑物购建</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30107</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绩效工资</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92.68</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30205</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水费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31002</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办公设备购置</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30108</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机关事业单位基本养老保险缴费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56.65</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30206</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电费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4.50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31003</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专用设备购置</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30109</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职业年金缴费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30207</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邮电费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6.04</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31005</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基础设施建设</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30110</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职工基本医疗保险缴费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35.04</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30208</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取暖费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31006</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大型修缮</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30111</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公务员医疗补助缴费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30209</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物业管理费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31007</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信息网络及软件购置更新</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30112</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其他社会保障缴费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30211</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差旅费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0.56</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31008</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物资储备</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30113</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住房公积金</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29.38</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30212</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因公出国（境）费用</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31009</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土地补偿</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30114</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医疗费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30213</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维修（护）费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7.15</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31010</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安置补助</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30199</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其他工资福利支出</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30214</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租赁费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31011</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地上附着物和青苗补偿</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对个人和家庭的补助</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173.04</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30215</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会议费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31012</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拆迁补偿</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30301</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离休费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13.63</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30216</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培训费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31013</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公务用车购置</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30302</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退休费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95.65</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公务接待费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31019</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其他交通工具购置</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30303</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退职（役）费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30218</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专用材料费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31021</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文物和陈列品购置</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30304</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抚恤金</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30224</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被装购置费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31022</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无形资产购置</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30305</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生活补助</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63.56</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30225</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专用燃料费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31099</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其他资本性支出</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30306</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救济费</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30226</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劳务费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49.32</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399</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其他支出</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30307</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医疗费补助</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0.21</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30227</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委托业务费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35.81</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39906</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赠与</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30308</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助学金</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30228</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工会经费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1.86</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39907</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国家赔偿费用支出</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30309</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奖励金</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30229</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福利费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2.82</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39908</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对民间非营利组织和群众性自治组织补贴</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30310</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个人农业生产补贴</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30231</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公务用车运行维护费</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2.66</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39999</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其他支出</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30399</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其他对个人和家庭的补助</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30239</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其他交通费用</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8.57</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30240</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税金及附加费用</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864"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475"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c>
          <w:tcPr>
            <w:tcW w:w="912"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30299</w:t>
            </w:r>
          </w:p>
        </w:tc>
        <w:tc>
          <w:tcPr>
            <w:tcW w:w="9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其他商品和服务支出</w:t>
            </w:r>
          </w:p>
        </w:tc>
        <w:tc>
          <w:tcPr>
            <w:tcW w:w="103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18"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031"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233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人员经费合计</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674.16</w:t>
            </w:r>
          </w:p>
        </w:tc>
        <w:tc>
          <w:tcPr>
            <w:tcW w:w="5780" w:type="dxa"/>
            <w:gridSpan w:val="6"/>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公用经费合计</w:t>
            </w:r>
          </w:p>
        </w:tc>
        <w:tc>
          <w:tcPr>
            <w:tcW w:w="876"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177.63</w:t>
            </w:r>
          </w:p>
        </w:tc>
      </w:tr>
    </w:tbl>
    <w:p/>
    <w:p/>
    <w:p/>
    <w:p/>
    <w:p/>
    <w:p/>
    <w:p/>
    <w:p/>
    <w:p/>
    <w:tbl>
      <w:tblPr>
        <w:tblStyle w:val="7"/>
        <w:tblpPr w:leftFromText="180" w:rightFromText="180" w:vertAnchor="text" w:horzAnchor="page" w:tblpX="1187" w:tblpY="62"/>
        <w:tblOverlap w:val="never"/>
        <w:tblW w:w="9869" w:type="dxa"/>
        <w:tblInd w:w="0" w:type="dxa"/>
        <w:tblLayout w:type="fixed"/>
        <w:tblCellMar>
          <w:top w:w="0" w:type="dxa"/>
          <w:left w:w="108" w:type="dxa"/>
          <w:bottom w:w="0" w:type="dxa"/>
          <w:right w:w="108" w:type="dxa"/>
        </w:tblCellMar>
      </w:tblPr>
      <w:tblGrid>
        <w:gridCol w:w="724"/>
        <w:gridCol w:w="772"/>
        <w:gridCol w:w="780"/>
        <w:gridCol w:w="915"/>
        <w:gridCol w:w="954"/>
        <w:gridCol w:w="684"/>
        <w:gridCol w:w="715"/>
        <w:gridCol w:w="780"/>
        <w:gridCol w:w="800"/>
        <w:gridCol w:w="915"/>
        <w:gridCol w:w="915"/>
        <w:gridCol w:w="915"/>
      </w:tblGrid>
      <w:tr>
        <w:tblPrEx>
          <w:tblCellMar>
            <w:top w:w="0" w:type="dxa"/>
            <w:left w:w="108" w:type="dxa"/>
            <w:bottom w:w="0" w:type="dxa"/>
            <w:right w:w="108" w:type="dxa"/>
          </w:tblCellMar>
        </w:tblPrEx>
        <w:trPr>
          <w:trHeight w:val="540" w:hRule="atLeast"/>
        </w:trPr>
        <w:tc>
          <w:tcPr>
            <w:tcW w:w="9869" w:type="dxa"/>
            <w:gridSpan w:val="12"/>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44"/>
                <w:szCs w:val="44"/>
              </w:rPr>
            </w:pPr>
          </w:p>
          <w:p>
            <w:pPr>
              <w:widowControl/>
              <w:jc w:val="center"/>
              <w:rPr>
                <w:rFonts w:ascii="宋体" w:hAnsi="宋体" w:eastAsia="宋体" w:cs="Arial"/>
                <w:color w:val="000000"/>
                <w:kern w:val="0"/>
                <w:sz w:val="44"/>
                <w:szCs w:val="44"/>
              </w:rPr>
            </w:pPr>
          </w:p>
          <w:p>
            <w:pPr>
              <w:widowControl/>
              <w:jc w:val="center"/>
              <w:rPr>
                <w:rFonts w:ascii="宋体" w:hAnsi="宋体" w:eastAsia="宋体" w:cs="Arial"/>
                <w:color w:val="000000"/>
                <w:kern w:val="0"/>
                <w:sz w:val="44"/>
                <w:szCs w:val="44"/>
              </w:rPr>
            </w:pPr>
            <w:r>
              <w:rPr>
                <w:rFonts w:hint="eastAsia" w:ascii="宋体" w:hAnsi="宋体" w:eastAsia="宋体" w:cs="Arial"/>
                <w:color w:val="000000"/>
                <w:kern w:val="0"/>
                <w:sz w:val="44"/>
                <w:szCs w:val="44"/>
              </w:rPr>
              <w:t>一般公共预算财政拨款“三公”经费支出决算表</w:t>
            </w:r>
          </w:p>
        </w:tc>
      </w:tr>
      <w:tr>
        <w:tblPrEx>
          <w:tblCellMar>
            <w:top w:w="0" w:type="dxa"/>
            <w:left w:w="108" w:type="dxa"/>
            <w:bottom w:w="0" w:type="dxa"/>
            <w:right w:w="108" w:type="dxa"/>
          </w:tblCellMar>
        </w:tblPrEx>
        <w:trPr>
          <w:trHeight w:val="255" w:hRule="atLeast"/>
        </w:trPr>
        <w:tc>
          <w:tcPr>
            <w:tcW w:w="9869" w:type="dxa"/>
            <w:gridSpan w:val="12"/>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公开07表</w:t>
            </w:r>
          </w:p>
        </w:tc>
      </w:tr>
      <w:tr>
        <w:tblPrEx>
          <w:tblCellMar>
            <w:top w:w="0" w:type="dxa"/>
            <w:left w:w="108" w:type="dxa"/>
            <w:bottom w:w="0" w:type="dxa"/>
            <w:right w:w="108" w:type="dxa"/>
          </w:tblCellMar>
        </w:tblPrEx>
        <w:trPr>
          <w:trHeight w:val="255" w:hRule="atLeast"/>
        </w:trPr>
        <w:tc>
          <w:tcPr>
            <w:tcW w:w="6324" w:type="dxa"/>
            <w:gridSpan w:val="8"/>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部门：石家庄市鹿泉区民政局(本级）</w:t>
            </w:r>
          </w:p>
        </w:tc>
        <w:tc>
          <w:tcPr>
            <w:tcW w:w="3545" w:type="dxa"/>
            <w:gridSpan w:val="4"/>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825" w:hRule="atLeast"/>
        </w:trPr>
        <w:tc>
          <w:tcPr>
            <w:tcW w:w="482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预算数</w:t>
            </w:r>
          </w:p>
        </w:tc>
        <w:tc>
          <w:tcPr>
            <w:tcW w:w="5040" w:type="dxa"/>
            <w:gridSpan w:val="6"/>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决算数</w:t>
            </w:r>
          </w:p>
        </w:tc>
      </w:tr>
      <w:tr>
        <w:tblPrEx>
          <w:tblCellMar>
            <w:top w:w="0" w:type="dxa"/>
            <w:left w:w="108" w:type="dxa"/>
            <w:bottom w:w="0" w:type="dxa"/>
            <w:right w:w="108" w:type="dxa"/>
          </w:tblCellMar>
        </w:tblPrEx>
        <w:trPr>
          <w:trHeight w:val="525" w:hRule="atLeast"/>
        </w:trPr>
        <w:tc>
          <w:tcPr>
            <w:tcW w:w="724"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772"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因公出国（境）费</w:t>
            </w:r>
          </w:p>
        </w:tc>
        <w:tc>
          <w:tcPr>
            <w:tcW w:w="2649"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公务用车购置及运行费</w:t>
            </w:r>
          </w:p>
        </w:tc>
        <w:tc>
          <w:tcPr>
            <w:tcW w:w="684"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公务接待费</w:t>
            </w:r>
          </w:p>
        </w:tc>
        <w:tc>
          <w:tcPr>
            <w:tcW w:w="715"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780"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因公出国（境）费</w:t>
            </w:r>
          </w:p>
        </w:tc>
        <w:tc>
          <w:tcPr>
            <w:tcW w:w="2630"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公务用车购置及运行费</w:t>
            </w:r>
          </w:p>
        </w:tc>
        <w:tc>
          <w:tcPr>
            <w:tcW w:w="915"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公务接待费</w:t>
            </w:r>
          </w:p>
        </w:tc>
      </w:tr>
      <w:tr>
        <w:tblPrEx>
          <w:tblCellMar>
            <w:top w:w="0" w:type="dxa"/>
            <w:left w:w="108" w:type="dxa"/>
            <w:bottom w:w="0" w:type="dxa"/>
            <w:right w:w="108" w:type="dxa"/>
          </w:tblCellMar>
        </w:tblPrEx>
        <w:trPr>
          <w:trHeight w:val="1170" w:hRule="atLeast"/>
        </w:trPr>
        <w:tc>
          <w:tcPr>
            <w:tcW w:w="72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77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小计</w:t>
            </w:r>
          </w:p>
        </w:tc>
        <w:tc>
          <w:tcPr>
            <w:tcW w:w="915"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公务用车购置费</w:t>
            </w:r>
          </w:p>
        </w:tc>
        <w:tc>
          <w:tcPr>
            <w:tcW w:w="95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公务用车运行费</w:t>
            </w:r>
          </w:p>
        </w:tc>
        <w:tc>
          <w:tcPr>
            <w:tcW w:w="68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715"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78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小计</w:t>
            </w:r>
          </w:p>
        </w:tc>
        <w:tc>
          <w:tcPr>
            <w:tcW w:w="915"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公务用车购置费</w:t>
            </w:r>
          </w:p>
        </w:tc>
        <w:tc>
          <w:tcPr>
            <w:tcW w:w="915"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公务用车运行费</w:t>
            </w:r>
          </w:p>
        </w:tc>
        <w:tc>
          <w:tcPr>
            <w:tcW w:w="915"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1335" w:hRule="atLeast"/>
        </w:trPr>
        <w:tc>
          <w:tcPr>
            <w:tcW w:w="724"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772"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c>
          <w:tcPr>
            <w:tcW w:w="915"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w:t>
            </w:r>
          </w:p>
        </w:tc>
        <w:tc>
          <w:tcPr>
            <w:tcW w:w="95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w:t>
            </w:r>
          </w:p>
        </w:tc>
        <w:tc>
          <w:tcPr>
            <w:tcW w:w="68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w:t>
            </w:r>
          </w:p>
        </w:tc>
        <w:tc>
          <w:tcPr>
            <w:tcW w:w="715"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8</w:t>
            </w:r>
          </w:p>
        </w:tc>
        <w:tc>
          <w:tcPr>
            <w:tcW w:w="8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9</w:t>
            </w:r>
          </w:p>
        </w:tc>
        <w:tc>
          <w:tcPr>
            <w:tcW w:w="915"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10</w:t>
            </w:r>
          </w:p>
        </w:tc>
        <w:tc>
          <w:tcPr>
            <w:tcW w:w="915"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11</w:t>
            </w:r>
          </w:p>
        </w:tc>
        <w:tc>
          <w:tcPr>
            <w:tcW w:w="915"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12</w:t>
            </w:r>
          </w:p>
        </w:tc>
      </w:tr>
      <w:tr>
        <w:tblPrEx>
          <w:tblCellMar>
            <w:top w:w="0" w:type="dxa"/>
            <w:left w:w="108" w:type="dxa"/>
            <w:bottom w:w="0" w:type="dxa"/>
            <w:right w:w="108" w:type="dxa"/>
          </w:tblCellMar>
        </w:tblPrEx>
        <w:trPr>
          <w:trHeight w:val="1230" w:hRule="atLeast"/>
        </w:trPr>
        <w:tc>
          <w:tcPr>
            <w:tcW w:w="724"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2.70</w:t>
            </w:r>
          </w:p>
        </w:tc>
        <w:tc>
          <w:tcPr>
            <w:tcW w:w="77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780"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2.70</w:t>
            </w:r>
          </w:p>
        </w:tc>
        <w:tc>
          <w:tcPr>
            <w:tcW w:w="91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5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2.70</w:t>
            </w:r>
          </w:p>
        </w:tc>
        <w:tc>
          <w:tcPr>
            <w:tcW w:w="68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71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2.66</w:t>
            </w:r>
          </w:p>
        </w:tc>
        <w:tc>
          <w:tcPr>
            <w:tcW w:w="780"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00"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2.66</w:t>
            </w:r>
          </w:p>
        </w:tc>
        <w:tc>
          <w:tcPr>
            <w:tcW w:w="91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91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2.66</w:t>
            </w:r>
          </w:p>
        </w:tc>
        <w:tc>
          <w:tcPr>
            <w:tcW w:w="915"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bl>
    <w:p/>
    <w:p/>
    <w:p/>
    <w:p/>
    <w:p/>
    <w:p/>
    <w:tbl>
      <w:tblPr>
        <w:tblStyle w:val="7"/>
        <w:tblpPr w:leftFromText="180" w:rightFromText="180" w:vertAnchor="text" w:horzAnchor="page" w:tblpX="1487" w:tblpY="89"/>
        <w:tblOverlap w:val="never"/>
        <w:tblW w:w="9869" w:type="dxa"/>
        <w:tblInd w:w="0" w:type="dxa"/>
        <w:tblLayout w:type="autofit"/>
        <w:tblCellMar>
          <w:top w:w="0" w:type="dxa"/>
          <w:left w:w="108" w:type="dxa"/>
          <w:bottom w:w="0" w:type="dxa"/>
          <w:right w:w="108" w:type="dxa"/>
        </w:tblCellMar>
      </w:tblPr>
      <w:tblGrid>
        <w:gridCol w:w="985"/>
        <w:gridCol w:w="164"/>
        <w:gridCol w:w="2410"/>
        <w:gridCol w:w="1418"/>
        <w:gridCol w:w="1134"/>
        <w:gridCol w:w="992"/>
        <w:gridCol w:w="342"/>
        <w:gridCol w:w="650"/>
        <w:gridCol w:w="892"/>
        <w:gridCol w:w="882"/>
      </w:tblGrid>
      <w:tr>
        <w:tblPrEx>
          <w:tblCellMar>
            <w:top w:w="0" w:type="dxa"/>
            <w:left w:w="108" w:type="dxa"/>
            <w:bottom w:w="0" w:type="dxa"/>
            <w:right w:w="108" w:type="dxa"/>
          </w:tblCellMar>
        </w:tblPrEx>
        <w:trPr>
          <w:trHeight w:val="390" w:hRule="atLeast"/>
        </w:trPr>
        <w:tc>
          <w:tcPr>
            <w:tcW w:w="9869" w:type="dxa"/>
            <w:gridSpan w:val="10"/>
            <w:tcBorders>
              <w:top w:val="nil"/>
              <w:left w:val="nil"/>
              <w:bottom w:val="nil"/>
              <w:right w:val="nil"/>
            </w:tcBorders>
            <w:shd w:val="clear" w:color="auto" w:fill="auto"/>
            <w:noWrap/>
            <w:vAlign w:val="bottom"/>
          </w:tcPr>
          <w:p>
            <w:pPr>
              <w:widowControl/>
              <w:jc w:val="both"/>
              <w:rPr>
                <w:rFonts w:ascii="宋体" w:hAnsi="宋体" w:eastAsia="宋体" w:cs="Arial"/>
                <w:color w:val="000000"/>
                <w:kern w:val="0"/>
                <w:sz w:val="30"/>
                <w:szCs w:val="30"/>
              </w:rPr>
            </w:pPr>
          </w:p>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政府性基金预算财政拨款收入支出决算表</w:t>
            </w:r>
          </w:p>
        </w:tc>
      </w:tr>
      <w:tr>
        <w:tblPrEx>
          <w:tblCellMar>
            <w:top w:w="0" w:type="dxa"/>
            <w:left w:w="108" w:type="dxa"/>
            <w:bottom w:w="0" w:type="dxa"/>
            <w:right w:w="108" w:type="dxa"/>
          </w:tblCellMar>
        </w:tblPrEx>
        <w:trPr>
          <w:trHeight w:val="255" w:hRule="atLeast"/>
        </w:trPr>
        <w:tc>
          <w:tcPr>
            <w:tcW w:w="9869" w:type="dxa"/>
            <w:gridSpan w:val="10"/>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公开08表</w:t>
            </w:r>
          </w:p>
        </w:tc>
      </w:tr>
      <w:tr>
        <w:tblPrEx>
          <w:tblCellMar>
            <w:top w:w="0" w:type="dxa"/>
            <w:left w:w="108" w:type="dxa"/>
            <w:bottom w:w="0" w:type="dxa"/>
            <w:right w:w="108" w:type="dxa"/>
          </w:tblCellMar>
        </w:tblPrEx>
        <w:trPr>
          <w:trHeight w:val="255" w:hRule="atLeast"/>
        </w:trPr>
        <w:tc>
          <w:tcPr>
            <w:tcW w:w="7445" w:type="dxa"/>
            <w:gridSpan w:val="7"/>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部门：石家庄市鹿泉区民政局(本级）</w:t>
            </w:r>
          </w:p>
        </w:tc>
        <w:tc>
          <w:tcPr>
            <w:tcW w:w="2424" w:type="dxa"/>
            <w:gridSpan w:val="3"/>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355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1418"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年初结转和结余</w:t>
            </w:r>
          </w:p>
        </w:tc>
        <w:tc>
          <w:tcPr>
            <w:tcW w:w="1134"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本年收入</w:t>
            </w:r>
          </w:p>
        </w:tc>
        <w:tc>
          <w:tcPr>
            <w:tcW w:w="2876" w:type="dxa"/>
            <w:gridSpan w:val="4"/>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本年支出</w:t>
            </w:r>
          </w:p>
        </w:tc>
        <w:tc>
          <w:tcPr>
            <w:tcW w:w="882"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年末结转和结余</w:t>
            </w:r>
          </w:p>
        </w:tc>
      </w:tr>
      <w:tr>
        <w:tblPrEx>
          <w:tblCellMar>
            <w:top w:w="0" w:type="dxa"/>
            <w:left w:w="108" w:type="dxa"/>
            <w:bottom w:w="0" w:type="dxa"/>
            <w:right w:w="108" w:type="dxa"/>
          </w:tblCellMar>
        </w:tblPrEx>
        <w:trPr>
          <w:trHeight w:val="312" w:hRule="atLeast"/>
        </w:trPr>
        <w:tc>
          <w:tcPr>
            <w:tcW w:w="985"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功能分类科目编码</w:t>
            </w:r>
          </w:p>
        </w:tc>
        <w:tc>
          <w:tcPr>
            <w:tcW w:w="2574" w:type="dxa"/>
            <w:gridSpan w:val="2"/>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1418"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3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992"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小计</w:t>
            </w:r>
          </w:p>
        </w:tc>
        <w:tc>
          <w:tcPr>
            <w:tcW w:w="992"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基本支出</w:t>
            </w:r>
          </w:p>
        </w:tc>
        <w:tc>
          <w:tcPr>
            <w:tcW w:w="892"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项目支出</w:t>
            </w:r>
          </w:p>
        </w:tc>
        <w:tc>
          <w:tcPr>
            <w:tcW w:w="88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985"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2574"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418"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3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99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992"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9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8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985"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2574"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418"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1134"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99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992"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9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c>
          <w:tcPr>
            <w:tcW w:w="882"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3559"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w:t>
            </w:r>
          </w:p>
        </w:tc>
      </w:tr>
      <w:tr>
        <w:tblPrEx>
          <w:tblCellMar>
            <w:top w:w="0" w:type="dxa"/>
            <w:left w:w="108" w:type="dxa"/>
            <w:bottom w:w="0" w:type="dxa"/>
            <w:right w:w="108" w:type="dxa"/>
          </w:tblCellMar>
        </w:tblPrEx>
        <w:trPr>
          <w:trHeight w:val="308" w:hRule="atLeast"/>
        </w:trPr>
        <w:tc>
          <w:tcPr>
            <w:tcW w:w="3559"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488.76</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391.71</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730.18</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0.00</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730.18</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2"/>
              </w:rPr>
            </w:pPr>
            <w:r>
              <w:rPr>
                <w:rFonts w:hint="eastAsia" w:ascii="宋体" w:hAnsi="宋体" w:eastAsia="宋体" w:cs="Arial"/>
                <w:b/>
                <w:bCs/>
                <w:color w:val="000000"/>
                <w:kern w:val="0"/>
                <w:sz w:val="22"/>
              </w:rPr>
              <w:t>150.29</w:t>
            </w:r>
          </w:p>
        </w:tc>
      </w:tr>
      <w:tr>
        <w:tblPrEx>
          <w:tblCellMar>
            <w:top w:w="0" w:type="dxa"/>
            <w:left w:w="108" w:type="dxa"/>
            <w:bottom w:w="0" w:type="dxa"/>
            <w:right w:w="108" w:type="dxa"/>
          </w:tblCellMar>
        </w:tblPrEx>
        <w:trPr>
          <w:trHeight w:val="308" w:hRule="atLeast"/>
        </w:trPr>
        <w:tc>
          <w:tcPr>
            <w:tcW w:w="114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w:t>
            </w:r>
          </w:p>
        </w:tc>
        <w:tc>
          <w:tcPr>
            <w:tcW w:w="241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其他支出</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488.76</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391.71</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730.18</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730.18</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150.29</w:t>
            </w:r>
          </w:p>
        </w:tc>
      </w:tr>
      <w:tr>
        <w:tblPrEx>
          <w:tblCellMar>
            <w:top w:w="0" w:type="dxa"/>
            <w:left w:w="108" w:type="dxa"/>
            <w:bottom w:w="0" w:type="dxa"/>
            <w:right w:w="108" w:type="dxa"/>
          </w:tblCellMar>
        </w:tblPrEx>
        <w:trPr>
          <w:trHeight w:val="308" w:hRule="atLeast"/>
        </w:trPr>
        <w:tc>
          <w:tcPr>
            <w:tcW w:w="114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22908</w:t>
            </w:r>
          </w:p>
        </w:tc>
        <w:tc>
          <w:tcPr>
            <w:tcW w:w="241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彩票发行销售机构业务费安排的支出</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114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2290804</w:t>
            </w:r>
          </w:p>
        </w:tc>
        <w:tc>
          <w:tcPr>
            <w:tcW w:w="241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福利彩票销售机构的业务费支出</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22.33</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114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22960</w:t>
            </w:r>
          </w:p>
        </w:tc>
        <w:tc>
          <w:tcPr>
            <w:tcW w:w="241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彩票公益金安排的支出</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488.76</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369.37</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707.85</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707.85</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150.29</w:t>
            </w:r>
          </w:p>
        </w:tc>
      </w:tr>
      <w:tr>
        <w:tblPrEx>
          <w:tblCellMar>
            <w:top w:w="0" w:type="dxa"/>
            <w:left w:w="108" w:type="dxa"/>
            <w:bottom w:w="0" w:type="dxa"/>
            <w:right w:w="108" w:type="dxa"/>
          </w:tblCellMar>
        </w:tblPrEx>
        <w:trPr>
          <w:trHeight w:val="308" w:hRule="atLeast"/>
        </w:trPr>
        <w:tc>
          <w:tcPr>
            <w:tcW w:w="114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2296002</w:t>
            </w:r>
          </w:p>
        </w:tc>
        <w:tc>
          <w:tcPr>
            <w:tcW w:w="241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用于社会福利的彩票公益金支出</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488.76</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321.25</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659.73</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659.73</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150.29</w:t>
            </w:r>
          </w:p>
        </w:tc>
      </w:tr>
      <w:tr>
        <w:tblPrEx>
          <w:tblCellMar>
            <w:top w:w="0" w:type="dxa"/>
            <w:left w:w="108" w:type="dxa"/>
            <w:bottom w:w="0" w:type="dxa"/>
            <w:right w:w="108" w:type="dxa"/>
          </w:tblCellMar>
        </w:tblPrEx>
        <w:trPr>
          <w:trHeight w:val="308" w:hRule="atLeast"/>
        </w:trPr>
        <w:tc>
          <w:tcPr>
            <w:tcW w:w="114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2296099</w:t>
            </w:r>
          </w:p>
        </w:tc>
        <w:tc>
          <w:tcPr>
            <w:tcW w:w="241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用于其他社会公益事业的彩票公益金支出</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48.12</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48.12</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48.12</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0.00</w:t>
            </w:r>
          </w:p>
        </w:tc>
      </w:tr>
      <w:tr>
        <w:tblPrEx>
          <w:tblCellMar>
            <w:top w:w="0" w:type="dxa"/>
            <w:left w:w="108" w:type="dxa"/>
            <w:bottom w:w="0" w:type="dxa"/>
            <w:right w:w="108" w:type="dxa"/>
          </w:tblCellMar>
        </w:tblPrEx>
        <w:trPr>
          <w:trHeight w:val="308" w:hRule="atLeast"/>
        </w:trPr>
        <w:tc>
          <w:tcPr>
            <w:tcW w:w="114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41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114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41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1149"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41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41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99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992"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89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88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bl>
    <w:p/>
    <w:p/>
    <w:p/>
    <w:p/>
    <w:p/>
    <w:p/>
    <w:p/>
    <w:p/>
    <w:p/>
    <w:p/>
    <w:p/>
    <w:p/>
    <w:p/>
    <w:p/>
    <w:p/>
    <w:p/>
    <w:p/>
    <w:p/>
    <w:tbl>
      <w:tblPr>
        <w:tblStyle w:val="7"/>
        <w:tblW w:w="8520" w:type="dxa"/>
        <w:tblInd w:w="93" w:type="dxa"/>
        <w:tblLayout w:type="autofit"/>
        <w:tblCellMar>
          <w:top w:w="0" w:type="dxa"/>
          <w:left w:w="108" w:type="dxa"/>
          <w:bottom w:w="0" w:type="dxa"/>
          <w:right w:w="108" w:type="dxa"/>
        </w:tblCellMar>
      </w:tblPr>
      <w:tblGrid>
        <w:gridCol w:w="1575"/>
        <w:gridCol w:w="2111"/>
        <w:gridCol w:w="750"/>
        <w:gridCol w:w="966"/>
        <w:gridCol w:w="1559"/>
        <w:gridCol w:w="1559"/>
      </w:tblGrid>
      <w:tr>
        <w:tblPrEx>
          <w:tblCellMar>
            <w:top w:w="0" w:type="dxa"/>
            <w:left w:w="108" w:type="dxa"/>
            <w:bottom w:w="0" w:type="dxa"/>
            <w:right w:w="108" w:type="dxa"/>
          </w:tblCellMar>
        </w:tblPrEx>
        <w:trPr>
          <w:trHeight w:val="510" w:hRule="atLeast"/>
        </w:trPr>
        <w:tc>
          <w:tcPr>
            <w:tcW w:w="8520" w:type="dxa"/>
            <w:gridSpan w:val="6"/>
            <w:tcBorders>
              <w:top w:val="nil"/>
              <w:left w:val="nil"/>
              <w:bottom w:val="nil"/>
              <w:right w:val="nil"/>
            </w:tcBorders>
            <w:shd w:val="clear" w:color="auto" w:fill="auto"/>
            <w:noWrap/>
            <w:vAlign w:val="bottom"/>
          </w:tcPr>
          <w:p>
            <w:pPr>
              <w:widowControl/>
              <w:jc w:val="both"/>
              <w:rPr>
                <w:rFonts w:ascii="宋体" w:hAnsi="宋体" w:eastAsia="宋体" w:cs="Arial"/>
                <w:color w:val="000000"/>
                <w:kern w:val="0"/>
                <w:sz w:val="40"/>
                <w:szCs w:val="40"/>
              </w:rPr>
            </w:pPr>
          </w:p>
          <w:p>
            <w:pPr>
              <w:widowControl/>
              <w:jc w:val="center"/>
              <w:rPr>
                <w:rFonts w:ascii="宋体" w:hAnsi="宋体" w:eastAsia="宋体" w:cs="Arial"/>
                <w:color w:val="000000"/>
                <w:kern w:val="0"/>
                <w:sz w:val="40"/>
                <w:szCs w:val="40"/>
              </w:rPr>
            </w:pPr>
            <w:r>
              <w:rPr>
                <w:rFonts w:hint="eastAsia" w:ascii="宋体" w:hAnsi="宋体" w:eastAsia="宋体" w:cs="Arial"/>
                <w:color w:val="000000"/>
                <w:kern w:val="0"/>
                <w:sz w:val="40"/>
                <w:szCs w:val="40"/>
              </w:rPr>
              <w:t>国有资本经营预算财政拨款支出决算表</w:t>
            </w:r>
          </w:p>
        </w:tc>
      </w:tr>
      <w:tr>
        <w:tblPrEx>
          <w:tblCellMar>
            <w:top w:w="0" w:type="dxa"/>
            <w:left w:w="108" w:type="dxa"/>
            <w:bottom w:w="0" w:type="dxa"/>
            <w:right w:w="108" w:type="dxa"/>
          </w:tblCellMar>
        </w:tblPrEx>
        <w:trPr>
          <w:trHeight w:val="255" w:hRule="atLeast"/>
        </w:trPr>
        <w:tc>
          <w:tcPr>
            <w:tcW w:w="8520" w:type="dxa"/>
            <w:gridSpan w:val="6"/>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公开09表</w:t>
            </w:r>
          </w:p>
        </w:tc>
      </w:tr>
      <w:tr>
        <w:tblPrEx>
          <w:tblCellMar>
            <w:top w:w="0" w:type="dxa"/>
            <w:left w:w="108" w:type="dxa"/>
            <w:bottom w:w="0" w:type="dxa"/>
            <w:right w:w="108" w:type="dxa"/>
          </w:tblCellMar>
        </w:tblPrEx>
        <w:trPr>
          <w:trHeight w:val="255" w:hRule="atLeast"/>
        </w:trPr>
        <w:tc>
          <w:tcPr>
            <w:tcW w:w="4436" w:type="dxa"/>
            <w:gridSpan w:val="3"/>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部门：石家庄市鹿泉区民政局(本级）</w:t>
            </w:r>
          </w:p>
        </w:tc>
        <w:tc>
          <w:tcPr>
            <w:tcW w:w="4084" w:type="dxa"/>
            <w:gridSpan w:val="3"/>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36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w:t>
            </w:r>
          </w:p>
        </w:tc>
        <w:tc>
          <w:tcPr>
            <w:tcW w:w="4834" w:type="dxa"/>
            <w:gridSpan w:val="4"/>
            <w:tcBorders>
              <w:top w:val="single" w:color="000000" w:sz="4" w:space="0"/>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本年支出</w:t>
            </w:r>
          </w:p>
        </w:tc>
      </w:tr>
      <w:tr>
        <w:tblPrEx>
          <w:tblCellMar>
            <w:top w:w="0" w:type="dxa"/>
            <w:left w:w="108" w:type="dxa"/>
            <w:bottom w:w="0" w:type="dxa"/>
            <w:right w:w="108" w:type="dxa"/>
          </w:tblCellMar>
        </w:tblPrEx>
        <w:trPr>
          <w:trHeight w:val="615" w:hRule="atLeast"/>
        </w:trPr>
        <w:tc>
          <w:tcPr>
            <w:tcW w:w="1575"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功能分类科目编码</w:t>
            </w:r>
          </w:p>
        </w:tc>
        <w:tc>
          <w:tcPr>
            <w:tcW w:w="211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1716"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小计</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基本支出</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项目支出</w:t>
            </w:r>
          </w:p>
        </w:tc>
      </w:tr>
      <w:tr>
        <w:tblPrEx>
          <w:tblCellMar>
            <w:top w:w="0" w:type="dxa"/>
            <w:left w:w="108" w:type="dxa"/>
            <w:bottom w:w="0" w:type="dxa"/>
            <w:right w:w="108" w:type="dxa"/>
          </w:tblCellMar>
        </w:tblPrEx>
        <w:trPr>
          <w:trHeight w:val="308" w:hRule="atLeast"/>
        </w:trPr>
        <w:tc>
          <w:tcPr>
            <w:tcW w:w="36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1716"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r>
      <w:tr>
        <w:tblPrEx>
          <w:tblCellMar>
            <w:top w:w="0" w:type="dxa"/>
            <w:left w:w="108" w:type="dxa"/>
            <w:bottom w:w="0" w:type="dxa"/>
            <w:right w:w="108" w:type="dxa"/>
          </w:tblCellMar>
        </w:tblPrEx>
        <w:trPr>
          <w:trHeight w:val="308" w:hRule="atLeast"/>
        </w:trPr>
        <w:tc>
          <w:tcPr>
            <w:tcW w:w="3686" w:type="dxa"/>
            <w:gridSpan w:val="2"/>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171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　</w:t>
            </w:r>
          </w:p>
        </w:tc>
      </w:tr>
      <w:tr>
        <w:tblPrEx>
          <w:tblCellMar>
            <w:top w:w="0" w:type="dxa"/>
            <w:left w:w="108" w:type="dxa"/>
            <w:bottom w:w="0" w:type="dxa"/>
            <w:right w:w="108" w:type="dxa"/>
          </w:tblCellMar>
        </w:tblPrEx>
        <w:trPr>
          <w:trHeight w:val="308" w:hRule="atLeast"/>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111"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71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111"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71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111"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71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111"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71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111"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71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2111"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w:t>
            </w:r>
          </w:p>
        </w:tc>
        <w:tc>
          <w:tcPr>
            <w:tcW w:w="1716"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bl>
    <w:p>
      <w:r>
        <w:rPr>
          <w:rFonts w:hint="eastAsia"/>
        </w:rPr>
        <w:t>注：本部门本年度无相关收支情况，按要求空表列式。</w:t>
      </w:r>
    </w:p>
    <w:p/>
    <w:tbl>
      <w:tblPr>
        <w:tblStyle w:val="7"/>
        <w:tblpPr w:leftFromText="180" w:rightFromText="180" w:vertAnchor="text" w:horzAnchor="page" w:tblpX="1511" w:tblpY="-167"/>
        <w:tblOverlap w:val="never"/>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2"/>
              </w:rPr>
              <w:t>鹿泉区民政局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r>
              <w:rPr>
                <w:rFonts w:hint="eastAsia"/>
              </w:rPr>
              <w:t>注：本部门本年度无相关收支情况，按要求空表列式。</w:t>
            </w:r>
          </w:p>
          <w:p>
            <w:pPr>
              <w:widowControl/>
              <w:adjustRightInd w:val="0"/>
              <w:snapToGrid w:val="0"/>
              <w:jc w:val="center"/>
              <w:textAlignment w:val="center"/>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p>
            <w:pPr>
              <w:widowControl/>
              <w:adjustRightInd w:val="0"/>
              <w:snapToGrid w:val="0"/>
              <w:jc w:val="center"/>
              <w:textAlignment w:val="center"/>
              <w:rPr>
                <w:rFonts w:ascii="宋体" w:hAnsi="宋体" w:cs="宋体"/>
                <w:color w:val="000000"/>
                <w:kern w:val="0"/>
                <w:szCs w:val="21"/>
              </w:rPr>
            </w:pPr>
          </w:p>
        </w:tc>
      </w:tr>
    </w:tbl>
    <w:p>
      <w:r>
        <w:pict>
          <v:rect id="矩形 40" o:spid="_x0000_s1039" o:spt="1" style="position:absolute;left:0pt;margin-left:-60.85pt;margin-top:-3.05pt;height:844.15pt;width:656.1pt;z-index:251695104;v-text-anchor:middle;mso-width-relative:margin;mso-height-relative:margin;" fillcolor="#FFC000"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mYZXQIAAI8EAAAOAAAAZHJzL2Uyb0RvYy54bWysVNtuEzEQfUfiHyy/092kKSlRN1WUKgip&#10;opUK4tnx2llLvmE72ZSfQeKNj+BzEL/BsTdNy+UJ8eLMeGbnzByfycXl3miyEyEqZxs6OqkpEZa7&#10;VtlNQ9+/W704pyQmZlumnRUNvReRXs6fP7vo/UyMXed0KwJBERtnvW9ol5KfVVXknTAsnjgvLILS&#10;BcMS3LCp2sB6VDe6Gtf1y6p3ofXBcREjbq+GIJ2X+lIKnm6kjCIR3VD0lsoZyrnOZzW/YLNNYL5T&#10;/NAG+4cuDFMWoMdSVywxsg3qj1JG8eCik+mEO1M5KRUXZQZMM6p/m+auY16UWUBO9Eea4v8ry9/u&#10;bgNRbUMnoMcygzf68fnr929fCC7ATu/jDEl3/jYcvAgzj7qXweRfDEH2hdH7I6NinwjH5fnp6Xgy&#10;RWWO2KiejutpfZbLVo/f+xDTa+EMyUZDA96sUMl21zENqQ8pGS46rdqV0ro4YbNe6kB2DO+7Wi3r&#10;ujSN6r+kaUt64I+nCBPOoDOpWYJpPCaPdkMJ0xsImKdQsK3LCABns4x9xWI3YJSyg2qMSpCuVgZj&#10;AveIrG3+TBTxHSbIJA60ZWvt2nuQHtygxuj5SgHkmsV0ywLkhyaxUukGh9QOnbuDRUnnwqe/3ed8&#10;qAJRSnrIGVN93LIgKNFvLPTyajTJD5yKMznDQ1ASnkbWTyN2a5YOjI6wvJ4XM+cn/WDK4MwHbN4i&#10;oyLELAf2wN/BWaZhzbC7XCwWJQ2a9yxd2zvPc/HMk3WLbXJSlZd+ZAcKyQ5UX7Ry2NC8Vk/9kvX4&#10;PzL/CQAA//8DAFBLAwQUAAYACAAAACEACiCDjuIAAAANAQAADwAAAGRycy9kb3ducmV2LnhtbEyP&#10;wUrEMBCG74LvEEbwIrtJitZamy6ysCAeZF097DFNYlPaTEqT7ta3N3vS2z/Mxz/fVJvFDeRkptB5&#10;FMDXDIhB5XWHrYCvz92qABKiRC0Hj0bAjwmwqa+vKllqf8YPczrElqQSDKUUYGMcS0qDssbJsPaj&#10;wbT79pOTMY1TS/Ukz6ncDTRjLKdOdpguWDmarTWqP8xOQL+/e71/f6PHbTP3dseOqi+4EuL2Znl5&#10;BhLNEv9guOgndaiTU+Nn1IEMAlY844+JTSnnQC4Ef2IPQJqU8iLLgNYV/f9F/QsAAP//AwBQSwEC&#10;LQAUAAYACAAAACEAtoM4kv4AAADhAQAAEwAAAAAAAAAAAAAAAAAAAAAAW0NvbnRlbnRfVHlwZXNd&#10;LnhtbFBLAQItABQABgAIAAAAIQA4/SH/1gAAAJQBAAALAAAAAAAAAAAAAAAAAC8BAABfcmVscy8u&#10;cmVsc1BLAQItABQABgAIAAAAIQBJhmYZXQIAAI8EAAAOAAAAAAAAAAAAAAAAAC4CAABkcnMvZTJv&#10;RG9jLnhtbFBLAQItABQABgAIAAAAIQAKIIOO4gAAAA0BAAAPAAAAAAAAAAAAAAAAALcEAABkcnMv&#10;ZG93bnJldi54bWxQSwUGAAAAAAQABADzAAAAxgUAAAAA&#10;">
            <v:path/>
            <v:fill on="t" focussize="0,0"/>
            <v:stroke on="f" weight="1pt"/>
            <v:imagedata o:title=""/>
            <o:lock v:ext="edit"/>
          </v:rect>
        </w:pict>
      </w:r>
    </w:p>
    <w:sectPr>
      <w:headerReference r:id="rId32" w:type="first"/>
      <w:headerReference r:id="rId31" w:type="default"/>
      <w:footerReference r:id="rId3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3" o:spid="_x0000_s2092" o:spt="202" type="#_x0000_t202" style="position:absolute;left:0pt;margin-left:206.55pt;margin-top:-22.45pt;height:35.15pt;width:34pt;mso-position-horizontal-relative:margin;z-index:25167872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5" o:spid="_x0000_s2077" o:spt="202" type="#_x0000_t202" style="position:absolute;left:0pt;margin-left:209.15pt;margin-top:-6pt;height:18.7pt;width:144pt;mso-position-horizontal-relative:margin;mso-wrap-style:none;z-index:25167974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MyawIAABAFAAAOAAAAZHJzL2Uyb0RvYy54bWysVM2O0zAQviPxDpbvNG2XllI1XZWuipAq&#10;dkVBnF3HbiNsj2W7TcoDwBtw4sKd5+pzMHaaLFq4LOLiTDzf/H0z49l1rRU5CudLMDkd9PqUCMOh&#10;KM0upx/er55NKPGBmYIpMCKnJ+Hp9fzpk1llp2IIe1CFcASdGD+tbE73Idhplnm+F5r5HlhhUCnB&#10;aRbw1+2ywrEKvWuVDfv9cVaBK6wDLrzH25tGSefJv5SCh1spvQhE5RRzC+l06dzGM5vP2HTnmN2X&#10;/JIG+4csNCsNBu1c3bDAyMGVf7jSJXfgQYYeB52BlCUXqQasZtB/UM1mz6xItSA53nY0+f/nlr89&#10;3jlSFjkdUWKYxhadv309f/95/vGFjCI9lfVTRG0s4kL9Cmpsc3vv8TJWXUun4xfrIahHok8duaIO&#10;hEejyXAy6aOKo2549eL5y8R+dm9tnQ+vBWgShZw6bF7ilB3XPmAmCG0hMZiBValUaqAypMrp+GrU&#10;TwadBi2UQcNYQ5NrksJJiehBmXdCYvEp5XiRxk4slSNHhgPDOBcmpGqTJ0RHlMSwjzG84KOpSCP5&#10;GOPOIkUGEzpjXRpwqd4HaRef2pRlg28ZaOqOFIR6W6euj9tWbqE4YYcdNCviLV+V2IY18+GOOdwJ&#10;7BzuebjFQypAuuEiUbIH9/lv9xGPo4paSircsZwafAQoUW8MjnBcx1ZwrbBtBXPQS8AeDPD9sDyJ&#10;aOCCakXpQH/E5V/EGKhihmOknIZWXIZmz/Hx4GKxSCBcOsvC2mwsj64jpwYWhwCyTBMWuWmYuHCG&#10;a5cG7/JExL3+/T+h7h+y+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IKUMyawIAABAFAAAOAAAAAAAAAAAAAAAA&#10;AC4CAABkcnMvZTJvRG9jLnhtbFBLAQItABQABgAIAAAAIQA8SX4/4AAAAAoBAAAPAAAAAAAAAAAA&#10;AAAAAMUEAABkcnMvZG93bnJldi54bWxQSwUGAAAAAAQABADzAAAA0g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- 29 -</w:t>
                </w:r>
                <w:r>
                  <w:rPr>
                    <w:rFonts w:ascii="Times New Roman" w:hAnsi="Times New Roman" w:cs="Times New Roman"/>
                    <w:sz w:val="24"/>
                    <w:szCs w:val="24"/>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14" o:spid="_x0000_s2069" o:spt="202" type="#_x0000_t202" style="position:absolute;left:0pt;margin-left:205.45pt;margin-top:-18.75pt;height:31.45pt;width:30.15pt;mso-position-horizontal-relative:margin;z-index:25168076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YhbQIAABMFAAAOAAAAZHJzL2Uyb0RvYy54bWysVM2O0zAQviPxDpbvNP3Zrtqq6ap0VYRU&#10;sSsK4uw6dhthe4ztNikPAG/AiQt3nqvPwdhpumjhsoiLM5n55u8bj6c3tVbkIJwvweS01+lSIgyH&#10;ojTbnL5/t3wxosQHZgqmwIicHoWnN7Pnz6aVnYg+7EAVwhEMYvyksjndhWAnWeb5TmjmO2CFQaME&#10;p1nAX7fNCscqjK5V1u92r7MKXGEdcOE9am8bI52l+FIKHu6k9CIQlVOsLaTTpXMTz2w2ZZOtY3ZX&#10;8nMZ7B+q0Kw0mPQS6pYFRvau/COULrkDDzJ0OOgMpCy5SD1gN73uo27WO2ZF6gXJ8fZCk/9/Yfmb&#10;w70jZYGzu6LEMI0zOn37evr+8/TjC0EdElRZP0Hc2iIy1C+hRnCr96iMfdfS6fjFjgjakerjhV5R&#10;B8JRORj1x90hJRxNg/H4qjeMUbIHZ+t8eCVAkyjk1OH0EqnssPKhgbaQmMvAslQqTVAZUuX0ej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BlguYhbQIAABMFAAAOAAAAAAAAAAAA&#10;AAAAAC4CAABkcnMvZTJvRG9jLnhtbFBLAQItABQABgAIAAAAIQBPXJfA4QAAAAoBAAAPAAAAAAAA&#10;AAAAAAAAAMcEAABkcnMvZG93bnJldi54bWxQSwUGAAAAAAQABADzAAAA1Q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45" o:spid="_x0000_s2056" o:spt="202" type="#_x0000_t202" style="position:absolute;left:0pt;margin-left:209.15pt;margin-top:-6pt;height:18.7pt;width:144pt;mso-position-horizontal-relative:margin;mso-wrap-style:none;z-index:25168384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lybawIAABMFAAAOAAAAZHJzL2Uyb0RvYy54bWysVMtuEzEU3SPxD5b3dJL0QYg6qUKrIqSK&#10;VhTE2vHYzQiPr2W7mYQPoH/Aig17vqvfwbEnM0WFTREbz537vuc+jk82jWFr5UNNtuTjvRFnykqq&#10;antT8o8fzl9MOQtR2EoYsqrkWxX4yfz5s+PWzdSEVmQq5Rmc2DBrXclXMbpZUQS5Uo0Ie+SUhVCT&#10;b0TEr78pKi9aeG9MMRmNjoqWfOU8SRUCuGedkM+zf62VjJdaBxWZKTlyi/n1+V2mt5gfi9mNF25V&#10;y10a4h+yaERtEXRwdSaiYLe+/sNVU0tPgXTck9QUpHUtVa4B1YxHj6q5Xgmnci0AJ7gBpvD/3Mp3&#10;6yvP6qrkB4ecWdGgR/ff7u6//7z/8ZWBB4BaF2bQu3bQjJvXtEGje34AM9W90b5JX1TEIAfU2wFe&#10;tYlMJqPpZDodQSQhm+y/PHiV8S8erJ0P8Y2ihiWi5B7ty6iK9UWIyASqvUoKZum8Nia30FjWlvxo&#10;/3CUDQYJLIyFYaqhyzVTcWtU8mDse6VRfk45MfLgqVPj2VpgZISUysZcbfYE7aSlEfYphjv9ZKry&#10;UD7FeLDIkcnGwbipLflc76O0q899yrrT7xHo6k4QxM1yk/s+Hnq5pGqLFnvqtiQ4eV6jDxcixCvh&#10;sRZoHVY9XuLRhoA37SjOVuS//I2f9DGtkHLWYs1KbnEHODNvLaY4bWRP+J5Y9oS9bU4JTRjjhDiZ&#10;SRj4aHpSe2o+Yf8XKQZEwkpEKnnsydPYrTruh1SLRVbC3jkRL+y1k8l1AtXS4jaSrvOIJXA6JHag&#10;YfPy5O2uRFrt3/+z1sMtm/8C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salybawIAABMFAAAOAAAAAAAAAAAAAAAA&#10;AC4CAABkcnMvZTJvRG9jLnhtbFBLAQItABQABgAIAAAAIQA8SX4/4AAAAAoBAAAPAAAAAAAAAAAA&#10;AAAAAMUEAABkcnMvZG93bnJldi54bWxQSwUGAAAAAAQABADzAAAA0g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- 49 -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2" o:spid="_x0000_s2093" o:spt="202" type="#_x0000_t202" style="position:absolute;left:0pt;margin-left:209.65pt;margin-top:-12.95pt;height:14.3pt;width:30.6pt;mso-position-horizontal-relative:margin;z-index:25167769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- 25 -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76" o:spid="_x0000_s2105" o:spt="203" style="position:absolute;left:0pt;margin-top:29.75pt;height:32pt;width:157.5pt;mso-position-horizontal:left;mso-position-horizontal-relative:page;mso-position-vertical-relative:page;z-index:251660288;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ZvWawMAAAIKAAAOAAAAZHJzL2Uyb0RvYy54bWzcVstu1DAU3SPxD5b3NMlM+oqaqUpLK6SK&#10;VhTE2uM4MxGObWxPk7JGwJIVKyQEOyT+APE5Lb/BtfNoZxgkWlAXbDKO78P3Ht9zJlvbdcnRKdOm&#10;kCLF0UqIERNUZoWYpPjpk/17GxgZS0RGuBQsxWfM4O3R3TtblUrYQE4lz5hGkESYpFIpnlqrkiAw&#10;dMpKYlakYgKMudQlsfCqJ0GmSQXZSx4MwnAtqKTOlJaUGQO7e40Rj3z+PGfUHuW5YRbxFENt1j+1&#10;f47dMxhtkWSiiZoWtC2D3KCKkhQCDu1T7RFL0EwXv6QqC6qlkbldobIMZJ4XlPkeoJsoXOjmQMuZ&#10;8r1MkmqiepgA2gWcbpyWPjo91qjIUry+hpEgJdzRj2+vzt+9RbAB6FRqkoDTgVYn6li3G5PmzTVc&#10;57p0v9AKqj2uZz2urLaIwiZcVDhYBfgp2OJwLQ5b4OkUbseFRcPhOkZg3djoTQ/a6GHUhUKgKyno&#10;Tg1ccX0tlYIRMpcomb9D6WRKFPPgGwdAhxKU2aB08f7NxYevF59eoxYn7+ZAQra+L11TDX4mMbC5&#10;BKsoDqP5pjvAhuEGnOPQWot9lr5lkiht7AGTJXKLFGsYcT955PTQ2AadzsWdKeR+wTnsk4QLVEHG&#10;IcA5Z4HkXACsDsCmVL+yZ5w1YY9ZDiPib9dteHKyXa7RKQFaEUqZsF2ZXIC388rh2OsEtv4ulHni&#10;Xie4j/AnS2H74LIQUvt+F8rOnncl541/h0DTt4PA1uPaT7xJxjI7g5vVslEQo+h+AfgfEmOPiQbJ&#10;gOkGGbRH8Mi5BJxlu8JoKvXLZfvOH2YUrBhVIEEpNi9mRDOM+EMB07sZxTDwyPqXeHV9AC/6qmV8&#10;1SJm5a6E64CRgur80vlb3i1zLctnoJY77lQwEUHh7BTbbrlrG2EEtaVsZ8c7gUopYg/FiaIutYNX&#10;yJ2ZlXnhh83B1GDTwgcMdKJxG1SEv5ZWsD5+Of/+Ga13fAO69mLVjXSnGb1S9ZIThXHsImHuWsWJ&#10;os2GfcPhvOBcm31G8iJzBHTpFwbQ1t0Aznk5Kl6h7Z+Tc7Bsyjty+vOnJGMNZ1dBkbvW+rK8si7n&#10;b3Pzvecy4t82f3kvOb/l739MWmr1v6et/z+FDw0/CO1HkfuSufruaX756Tb6CQAA//8DAFBLAwQU&#10;AAYACAAAACEAa5c4ed0AAAAHAQAADwAAAGRycy9kb3ducmV2LnhtbEyPQUvDQBCF74L/YRnBm92k&#10;YUVjNqUU9VQEW0G8TbPTJDS7G7LbJP33jid7fPMe731TrGbbiZGG0HqnIV0kIMhV3rSu1vC1f3t4&#10;AhEiOoOdd6ThQgFW5e1Ngbnxk/ukcRdrwSUu5KihibHPpQxVQxbDwvfk2Dv6wWJkOdTSDDhxue3k&#10;MkkepcXW8UKDPW0aqk67s9XwPuG0ztLXcXs6bi4/e/XxvU1J6/u7ef0CItIc/8Pwh8/oUDLTwZ+d&#10;CaLTwI9EDepZgWA3SxUfDhxbZgpkWchr/vIXAAD//wMAUEsBAi0AFAAGAAgAAAAhALaDOJL+AAAA&#10;4QEAABMAAAAAAAAAAAAAAAAAAAAAAFtDb250ZW50X1R5cGVzXS54bWxQSwECLQAUAAYACAAAACEA&#10;OP0h/9YAAACUAQAACwAAAAAAAAAAAAAAAAAvAQAAX3JlbHMvLnJlbHNQSwECLQAUAAYACAAAACEA&#10;k7mb1msDAAACCgAADgAAAAAAAAAAAAAAAAAuAgAAZHJzL2Uyb0RvYy54bWxQSwECLQAUAAYACAAA&#10;ACEAa5c4ed0AAAAHAQAADwAAAAAAAAAAAAAAAADFBQAAZHJzL2Rvd25yZXYueG1sUEsFBgAAAAAE&#10;AAQA8wAAAM8GAAAAAA==&#10;">
          <o:lock v:ext="edit"/>
          <v:shape id="_x0000_s2107" o:spid="_x0000_s2107"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WdbxgAAANsAAAAPAAAAZHJzL2Rvd25yZXYueG1sRI9Pa8JA&#10;FMTvBb/D8gRvdWPAP6SuIgGpSHvQevH2zD6T0N23MbuNqZ++Wyj0OMzMb5jlurdGdNT62rGCyTgB&#10;QVw4XXOp4PSxfV6A8AFZo3FMCr7Jw3o1eFpipt2dD9QdQykihH2GCqoQmkxKX1Rk0Y9dQxy9q2st&#10;hijbUuoW7xFujUyTZCYt1hwXKmwor6j4PH5ZBft8+46HS2oXD5O/vl03ze10nio1GvabFxCB+vAf&#10;/mvvtIL5HH6/xB8gVz8AAAD//wMAUEsBAi0AFAAGAAgAAAAhANvh9svuAAAAhQEAABMAAAAAAAAA&#10;AAAAAAAAAAAAAFtDb250ZW50X1R5cGVzXS54bWxQSwECLQAUAAYACAAAACEAWvQsW78AAAAVAQAA&#10;CwAAAAAAAAAAAAAAAAAfAQAAX3JlbHMvLnJlbHNQSwECLQAUAAYACAAAACEAhiFnW8YAAADbAAAA&#10;DwAAAAAAAAAAAAAAAAAHAgAAZHJzL2Rvd25yZXYueG1sUEsFBgAAAAADAAMAtwAAAPoC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YMEwwAAANsAAAAPAAAAZHJzL2Rvd25yZXYueG1sRE/NasJA&#10;EL4X+g7LFLwUs2moqaTZiLEKxYtW+wBDdpqEZGdDdqvp27sHoceP7z9fTaYXFxpda1nBSxSDIK6s&#10;brlW8H3ezZcgnEfW2FsmBX/kYFU8PuSYaXvlL7qcfC1CCLsMFTTeD5mUrmrIoIvsQBy4Hzsa9AGO&#10;tdQjXkO46WUSx6k02HJoaHCgTUNVd/o1Cs6HY7rdtQtOhu5j/VotyuftvlRq9jSt30F4mvy/+O7+&#10;1ArewtjwJfwAWdwAAAD//wMAUEsBAi0AFAAGAAgAAAAhANvh9svuAAAAhQEAABMAAAAAAAAAAAAA&#10;AAAAAAAAAFtDb250ZW50X1R5cGVzXS54bWxQSwECLQAUAAYACAAAACEAWvQsW78AAAAVAQAACwAA&#10;AAAAAAAAAAAAAAAfAQAAX3JlbHMvLnJlbHNQSwECLQAUAAYACAAAACEA0SGDBMMAAADbAAAADwAA&#10;AAAAAAAAAAAAAAAHAgAAZHJzL2Rvd25yZXYueG1sUEsFBgAAAAADAAMAtwAAAPcCAAAAAA==&#10;">
            <v:path/>
            <v:fill on="t" focussize="0,0"/>
            <v:stroke on="f" weight="1pt"/>
            <v:imagedata o:title=""/>
            <o:lock v:ext="edit"/>
          </v:rect>
        </v:group>
      </w:pict>
    </w:r>
    <w:r>
      <w:pict>
        <v:group id="组合 79" o:spid="_x0000_s2101" o:spt="203" style="position:absolute;left:0pt;margin-left:0pt;margin-top:0pt;height:58.95pt;width:596.5pt;mso-position-horizontal-relative:page;mso-position-vertical-relative:page;z-index:251659264;mso-width-relative:page;mso-height-relative:page;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BGKKwUAAAoXAAAOAAAAZHJzL2Uyb0RvYy54bWzsWE9vIzUUvyPxHaw5IrHJpJkkjZquqi6t&#10;kLpsRRexHN0ZTzLSjD3YTpNy3gM3OHNBQlz4CKiCT0OBj8HP9njqZkOnXRAC1BwyY/u95/d+z+/P&#10;eO/puirJBZOqEHwWxU/6EWE8FVnB57Pok5dH708iojTlGS0FZ7Pokqno6f677+yt6ikbiIUoMyYJ&#10;hHA1XdWzaKF1Pe31VLpgFVVPRM04FnMhK6oxlPNeJukK0quyN+j3R72VkFktRcqUwuwztxjtW/l5&#10;zlL9Is8V06ScRdBN239p/8/Nf29/j07nktaLIm3UoG+hRUULjk1bUc+opmQpizdEVUUqhRK5fpKK&#10;qifyvEiZtQHWxP0Na46lWNbWlvl0Na9bmADtBk5vLTb96OJUkiKbRePdiHBawUe/Xb2+/vpLggmg&#10;s6rnUxAdy/qsPpXNxNyNjMHrXFbmCVPI2uJ62eLK1pqkmBwn4yRJAH+KtfFwMholDvh0Ae8Ytskk&#10;jggWk3678kHDHMe7Ow1rHDuden7bntGuVWZV4wypG5jUX4PpbEFrZtFXBoEGpgl0aWD69ofrn74j&#10;A4eSpWkhUlMFtLbg4w2Nk52Jw8CDBDsHiYMoHo7MWmsmndZS6WMmKmJeZpHEubbHjV6cKO1IPYnZ&#10;VImyyI6KsrQDE0vssJTkgiIKaJoyroeWvVxWz0Xm5kd9/JxKmDZ+seRDPw1tbFQaSVa3W5uU3GzF&#10;hdnU6WNm4B+PhH3TlyUzdCX/mOU4dfD8wCrSSg51jN3SgmbMTSd/qosVaCTn2L+V3QjYZn/cANzQ&#10;G1Zm00XL3L9LMWdiy2F3Fly3zFXBhdwmoNTtzo7eg+SgMSidi+wSh00Kl6xUnR4V8PoJVfqUSmQn&#10;nEBkXP0Cf3kpVrNING8RWQj5xbZ5Q49owGpEVsh2s0h9vqSSRaT8kCNOduPhEGK1HQyT8QADGa6c&#10;hyt8WR0KHCXELLSzr4Zel/41l6L6FIn5wOyKJcpT7D2LUi394FC7LIzUnrKDA0uGlFhTfcLP6tQI&#10;N6hycbDUIi/sIb9Bp0EN0W4y1D8R9rDVhf0vV1e/vv7q+vtvfv/5RxP/O+YkGR2QI7rjP+7H47FN&#10;daOJDXKcuybRDUYxUrBJkZORTSpB/KdLF/8GEh/zKDYZot9MzbNGuVRwrgrNXgH0vCpxWN7rkWQ3&#10;IStixUPVLdSfhdQxWZBGgS2kr4BDK9iI7JAckvfvljx4mOSQHPreLXsnkN3vUDmk7RQ8DAR34xxS&#10;BzjD0a0r6cJldDpN17xxL94QQqj6LifVQpmaGfoah8YP4UyXncBlvN3BDAeFzD473Y8ZPgiZ/am9&#10;HzNwDpltHAGJ+zEDyZB5GNrshDTYmVJpmr/SNn8aaQrlMyJo/s4ND0or1QZy/0qQT10kLlwgmoUK&#10;GfalsCTaQA9P2/09WjfrJQ/pnCAo6n3il/2ztuJaspvA9wT+6QgRpxDWRbWpnZeRlkIxdzaM0baI&#10;t9Yb0IIkc6u4b1RnvfZ236J6bAHyxxbg/9wCINttbwFs9nlACzAcuRag/dppW4Cdof8EiPv2+wBh&#10;6b+wwvB8cA8wGk06yl7YA5hKHQ/8V9qb3UVY1R/YBMRdssO6fg/ZIblRuUPzsLg/pBG4h+iwuHfD&#10;HVKHkMDhj73Av7EXsPGwrRmAr21Z9jW+sxmIPaUvzP650Q34CMSR8BT+GbYDnWSbCnohf1c/8Hij&#10;YG5UfE/0eKMQ3hv8J28U7LUiLlxth9xcDpsb3XBsbyBurrD3/wAAAP//AwBQSwMEFAAGAAgAAAAh&#10;AMF5e4LcAAAABgEAAA8AAABkcnMvZG93bnJldi54bWxMj8FOwzAQRO9I/QdrK3GjTguibYhTAYIb&#10;qGpJC0c3XuKIeB1sNw1/j8OlXFY7mtXsm2zVm4Z16HxtScB0kgBDKq2qqRJQvD1fLYD5IEnJxhIK&#10;+EEPq3x0kclU2RNtsNuGisUQ8qkUoENoU859qdFIP7EtUvQ+rTMyROkqrpw8xXDT8FmS3HIja4of&#10;tGzxUWP5tT0aAbP57sY/fbTrh9fd9757eS+0qwohLsf9/R2wgH04H8OAH9Ehj0wHeyTlWSMgFgl/&#10;c/Cmy+uoD8M2XwLPM/4fP/8FAAD//wMAUEsBAi0AFAAGAAgAAAAhALaDOJL+AAAA4QEAABMAAAAA&#10;AAAAAAAAAAAAAAAAAFtDb250ZW50X1R5cGVzXS54bWxQSwECLQAUAAYACAAAACEAOP0h/9YAAACU&#10;AQAACwAAAAAAAAAAAAAAAAAvAQAAX3JlbHMvLnJlbHNQSwECLQAUAAYACAAAACEAVYgRiisFAAAK&#10;FwAADgAAAAAAAAAAAAAAAAAuAgAAZHJzL2Uyb0RvYy54bWxQSwECLQAUAAYACAAAACEAwXl7gtwA&#10;AAAGAQAADwAAAAAAAAAAAAAAAACFBwAAZHJzL2Rvd25yZXYueG1sUEsFBgAAAAAEAAQA8wAAAI4I&#10;AAAAAA==&#10;">
          <o:lock v:ext="edit"/>
          <v:rect id="矩形 2" o:spid="_x0000_s2104"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p0DwQAAANsAAAAPAAAAZHJzL2Rvd25yZXYueG1sRE/dasIw&#10;FL4X9g7hDHan6RyU0hlFNwZuQsXOBzg0p02xOSlN1nZvv1wMvPz4/je72XZipMG3jhU8rxIQxJXT&#10;LTcKrt8fywyED8gaO8ek4Jc87LYPiw3m2k18obEMjYgh7HNUYELocyl9ZciiX7meOHK1GyyGCIdG&#10;6gGnGG47uU6SVFpsOTYY7OnNUHUrf6yCY7U/vTTrz+JQZ+f09l6wqb9YqafHef8KItAc7uJ/91Er&#10;yOL6+CX+ALn9AwAA//8DAFBLAQItABQABgAIAAAAIQDb4fbL7gAAAIUBAAATAAAAAAAAAAAAAAAA&#10;AAAAAABbQ29udGVudF9UeXBlc10ueG1sUEsBAi0AFAAGAAgAAAAhAFr0LFu/AAAAFQEAAAsAAAAA&#10;AAAAAAAAAAAAHwEAAF9yZWxzLy5yZWxzUEsBAi0AFAAGAAgAAAAhAJOmnQPBAAAA2wAAAA8AAAAA&#10;AAAAAAAAAAAABwIAAGRycy9kb3ducmV2LnhtbFBLBQYAAAAAAwADALcAAAD1AgAAAAA=&#10;">
            <v:path/>
            <v:fill on="t" focussize="0,0"/>
            <v:stroke on="f" weight="1pt"/>
            <v:imagedata o:title=""/>
            <o:lock v:ext="edit"/>
          </v:rect>
          <v:shape id="任意多边形 3" o:spid="_x0000_s2103"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RVswQAAANsAAAAPAAAAZHJzL2Rvd25yZXYueG1sRI9BawIx&#10;FITvQv9DeEJvmtWDLlujFKHgzXYVen1sXpNlNy9LEt3tv28KgsdhZr5hdofJ9eJOIbaeFayWBQji&#10;xuuWjYLr5WNRgogJWWPvmRT8UoTD/mW2w0r7kb/oXicjMoRjhQpsSkMlZWwsOYxLPxBn78cHhynL&#10;YKQOOGa46+W6KDbSYct5weJAR0tNV9+cAtx+j/U2mM9zVxpr9WnTrDtU6nU+vb+BSDSlZ/jRPmkF&#10;5Qr+v+QfIPd/AAAA//8DAFBLAQItABQABgAIAAAAIQDb4fbL7gAAAIUBAAATAAAAAAAAAAAAAAAA&#10;AAAAAABbQ29udGVudF9UeXBlc10ueG1sUEsBAi0AFAAGAAgAAAAhAFr0LFu/AAAAFQEAAAsAAAAA&#10;AAAAAAAAAAAAHwEAAF9yZWxzLy5yZWxzUEsBAi0AFAAGAAgAAAAhABS9FWzBAAAA2wAAAA8AAAAA&#10;AAAAAAAAAAAABwIAAGRycy9kb3ducmV2LnhtbFBLBQYAAAAAAwADALcAAAD1AgAAAAA=&#10;" path="m595,1l2619,0,2619,862,0,862,595,1xe">
            <v:path arrowok="t" o:connecttype="custom" o:connectlocs="595,1;2619,0;2619,862;0,862;595,1" o:connectangles="0,0,0,0,0"/>
            <v:fill on="t" focussize="0,0"/>
            <v:stroke on="f" weight="1pt" joinstyle="miter"/>
            <v:imagedata o:title=""/>
            <o:lock v:ext="edit"/>
          </v:shape>
          <v:shape id="任意多边形 4" o:spid="_x0000_s2102"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wD6xQAAANsAAAAPAAAAZHJzL2Rvd25yZXYueG1sRI8xa8Mw&#10;FIT3Qv6DeIUsJZHjIaRuZFNiClk62M3Q8cV6tU2sJyOpsZNfXxUKHY+7+47bF7MZxJWc7y0r2KwT&#10;EMSN1T23Ck4fb6sdCB+QNQ6WScGNPBT54mGPmbYTV3StQysihH2GCroQxkxK33Rk0K/tSBy9L+sM&#10;hihdK7XDKcLNINMk2UqDPceFDkc6dNRc6m+jYBpP1dOzSd63fD9fytLZelN+KrV8nF9fQASaw3/4&#10;r33UCnYp/H6JP0DmPwAAAP//AwBQSwECLQAUAAYACAAAACEA2+H2y+4AAACFAQAAEwAAAAAAAAAA&#10;AAAAAAAAAAAAW0NvbnRlbnRfVHlwZXNdLnhtbFBLAQItABQABgAIAAAAIQBa9CxbvwAAABUBAAAL&#10;AAAAAAAAAAAAAAAAAB8BAABfcmVscy8ucmVsc1BLAQItABQABgAIAAAAIQAmVwD6xQAAANsAAAAP&#10;AAAAAAAAAAAAAAAAAAcCAABkcnMvZG93bnJldi54bWxQSwUGAAAAAAMAAwC3AAAA+QIAAAAA&#10;" path="m668,0l2619,10,2619,1265,0,1265,668,0xe">
            <v:path arrowok="t" o:connecttype="custom" o:connectlocs="598,0;2345,9;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240" o:spid="_x0000_s2097" o:spt="203" style="position:absolute;left:0pt;margin-left:0pt;margin-top:53.75pt;height:31.5pt;width:594.8pt;mso-position-horizontal-relative:page;mso-position-vertical-relative:page;z-index:251675648;mso-width-relative:page;mso-height-relative:page;"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R7sMAUAAA8XAAAOAAAAZHJzL2Uyb0RvYy54bWzsWE9v5DQUvyPxHawckegk868zo05XVZdW&#10;SF22ootYjq7jTCIldrA9nSnnPXBjz3tBQlz4CKiCT0OBj8F7dpy6s0PTLggB6iWJ7fee3/s9vz/x&#10;3pN1VZILrnQhxTxKduKIcMFkWojFPPrsxdGHk4hoQ0VKSyn4PLrkOnqy//57e6t6xvsyl2XKFQEh&#10;Qs9W9TzKjalnvZ5mOa+o3pE1F7CYSVVRA0O16KWKrkB6Vfb6cTzuraRKayUZ1xpmn7rFaN/KzzLO&#10;zPMs09yQch6BbsY+lX2e47O3v0dnC0XrvGCNGvQdtKhoIWDTVtRTaihZquItUVXBlNQyMztMVj2Z&#10;ZQXj1gawJok3rDlWcllbWxaz1aJuYQJoN3B6Z7Hsk4tTRYp0HvWHgI+gFTjpt6tX16+/JjgD+Kzq&#10;xQzIjlV9Vp+qZmLhRmjyOlMVvsEYsrbIXrbI8rUhDCZ3R6PBdAwbMFgbxnE8aqBnOfgH2SaTJCKw&#10;OIpHziks/6hhTpLpoGFNkt0pLvf8tj3UrlVmVcMp0jdA6b8G1FlOa27x14hACxRo2gD17Q/XP31H&#10;+g4mS9RipGca4NoCkLc0GQ0mzlSPEhjaHzmMkuH4lp10VittjrmsCH7MIwVH2544enGijYPEk+Cm&#10;WpZFelSUpR1gOPHDUpELCoFAGePCDC17uayeydTNj8ExjV9gGh1jydFfdhpQt4GJkqwPbm1SCtxK&#10;SNzU6YMz4CCPhP0ylyVHulJ8yjM4eOD6vlWklRzqmLilnKbcTY/+VBcrECVnsH8ruxGwzf6kAbih&#10;R1ZuM0bLHN+lmDOx5bA7S2Fa5qoQUm0TUJp2Z0fvQXLQIErnMr2E06aky1e6ZkcFeP2EanNKFSQo&#10;CAdIuuY5PLJSruaRbL4ikkv11bZ5pIdwgNWIrCDhzSP95ZIqHpHyYwGBMk2GmAGMHQxHu30YqHDl&#10;PFwRy+pQwlGCUADt7CfSm9J/ZkpWn0NuPsBdYYkKBnvPI2aUHxwal4ghuzN+cGDJICvW1JyIs5qh&#10;cERVyIOlkVlhD/kNOg1qEO6Yov6RuO/7uP/l6urXV99cf//m959/xAQweFACSOJkd9cmu/HERjkc&#10;vCbV9cfJ1CWAydhmlTbR0RlbugSAmPigh4KTQvjj1CJtkhKTQujC8JeAelaVcFo+6JHRdERWxIqH&#10;g7uF+ouQOiE5aRTYQvoSnN4KRpEdkkPy+G7JgPBDJIfkoO/dsgeB7LhD5ZC2U/AwENyNc0gd4AyO&#10;bl1Jc5fSwedr0bgXviCGoPK7pFRLjVUz9DUUTz8EZ7r0BFzo7Q5mcFDI7NPT/ZjBByGzP7X3Ywac&#10;Q2YbR4DE/ZgByZB5GNrshDTYYa3EBrC0DaCBPAX1MyLQAJ4jD9RWahBy/0kgobpIzKExgUDEhQpS&#10;7AtpSQxCD562+3u0btZLEdI5QaCo94lf9u/aimvJmrgDAzyBfztCiFMQ1kW1qZ2XwUqpuTsbaLSt&#10;4q31CFqQZG5V943ybNbe7ltUjz1A9tgD/K97AMhYrvff7AFs+sFGBP4Uun8Ckng4dj1A+8PT9gCD&#10;of8JSGL7hwBx6X+ywvh8cBMwHk866l7YBGCpTvrj5nfs7fYiLOsP7AKSLtlhYb+H7JAcVe7QPKzu&#10;D+kE7iE6rO7dcIfUISTg8Mdm4N/YDNh42NYNgK9tXfZFvrMbSDylr8z+vdEO+Ajs6Ac6yTYV9Nv9&#10;XQ3B450C3qn4pujxTiG8OfhP3inYm0W4dbUtcnNDjNe64djeQdzcY+//AQAA//8DAFBLAwQUAAYA&#10;CAAAACEAAZm95eAAAAAJAQAADwAAAGRycy9kb3ducmV2LnhtbEyPQU/DMAyF70j8h8hI3FhSULdR&#10;mk7TBJwmJDYkxC1rvLZa41RN1nb/Hu8EN9vv6fl7+WpyrRiwD40nDclMgUAqvW2o0vC1f3tYggjR&#10;kDWtJ9RwwQCr4vYmN5n1I33isIuV4BAKmdFQx9hlUoayRmfCzHdIrB1970zkta+k7c3I4a6Vj0rN&#10;pTMN8YfadLipsTztzk7D+2jG9VPyOmxPx83lZ59+fG8T1Pr+blq/gIg4xT8zXPEZHQpmOvgz2SBa&#10;DVwk8lUtUhBXOVk+z0EceFqoFGSRy/8Nil8AAAD//wMAUEsBAi0AFAAGAAgAAAAhALaDOJL+AAAA&#10;4QEAABMAAAAAAAAAAAAAAAAAAAAAAFtDb250ZW50X1R5cGVzXS54bWxQSwECLQAUAAYACAAAACEA&#10;OP0h/9YAAACUAQAACwAAAAAAAAAAAAAAAAAvAQAAX3JlbHMvLnJlbHNQSwECLQAUAAYACAAAACEA&#10;KqEe7DAFAAAPFwAADgAAAAAAAAAAAAAAAAAuAgAAZHJzL2Uyb0RvYy54bWxQSwECLQAUAAYACAAA&#10;ACEAAZm95eAAAAAJAQAADwAAAAAAAAAAAAAAAACKBwAAZHJzL2Rvd25yZXYueG1sUEsFBgAAAAAE&#10;AAQA8wAAAJcIAAAAAA==&#10;">
          <o:lock v:ext="edit"/>
          <v:rect id="矩形 2" o:spid="_x0000_s2100"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xVixAAAANwAAAAPAAAAZHJzL2Rvd25yZXYueG1sRI/dasJA&#10;FITvC77DcgTv6sZYRKKraItgLSj+PMAhe5INZs+G7Krp23eFgpfDzHzDzJedrcWdWl85VjAaJiCI&#10;c6crLhVczpv3KQgfkDXWjknBL3lYLnpvc8y0e/CR7qdQighhn6ECE0KTSelzQxb90DXE0StcazFE&#10;2ZZSt/iIcFvLNEkm0mLFccFgQ5+G8uvpZhVs89XPuEy/9+tiephcv/Zsih0rNeh3qxmIQF14hf/b&#10;W60g/RjB80w8AnLxBwAA//8DAFBLAQItABQABgAIAAAAIQDb4fbL7gAAAIUBAAATAAAAAAAAAAAA&#10;AAAAAAAAAABbQ29udGVudF9UeXBlc10ueG1sUEsBAi0AFAAGAAgAAAAhAFr0LFu/AAAAFQEAAAsA&#10;AAAAAAAAAAAAAAAAHwEAAF9yZWxzLy5yZWxzUEsBAi0AFAAGAAgAAAAhAIk7FWLEAAAA3AAAAA8A&#10;AAAAAAAAAAAAAAAABwIAAGRycy9kb3ducmV2LnhtbFBLBQYAAAAAAwADALcAAAD4AgAAAAA=&#10;">
            <v:path/>
            <v:fill on="t" focussize="0,0"/>
            <v:stroke on="f" weight="1pt"/>
            <v:imagedata o:title=""/>
            <o:lock v:ext="edit"/>
          </v:rect>
          <v:shape id="任意多边形 3" o:spid="_x0000_s2099"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q67wgAAANwAAAAPAAAAZHJzL2Rvd25yZXYueG1sRI9BawIx&#10;FITvQv9DeIXeNOsiKlujSKHgTd0Wen1sXpNlNy9Lkrrbf98IQo/DzHzD7A6T68WNQmw9K1guChDE&#10;jdctGwWfH+/zLYiYkDX2nknBL0U47J9mO6y0H/lKtzoZkSEcK1RgUxoqKWNjyWFc+IE4e98+OExZ&#10;BiN1wDHDXS/LolhLhy3nBYsDvVlquvrHKcDN11hvgrmcu62xVp/WTdmhUi/P0/EVRKIp/Ycf7ZNW&#10;UK5KuJ/JR0Du/wAAAP//AwBQSwECLQAUAAYACAAAACEA2+H2y+4AAACFAQAAEwAAAAAAAAAAAAAA&#10;AAAAAAAAW0NvbnRlbnRfVHlwZXNdLnhtbFBLAQItABQABgAIAAAAIQBa9CxbvwAAABUBAAALAAAA&#10;AAAAAAAAAAAAAB8BAABfcmVscy8ucmVsc1BLAQItABQABgAIAAAAIQBkrq67wgAAANwAAAAPAAAA&#10;AAAAAAAAAAAAAAcCAABkcnMvZG93bnJldi54bWxQSwUGAAAAAAMAAwC3AAAA9gIAAAAA&#10;" path="m595,1l2619,0,2619,862,0,862,595,1xe">
            <v:path arrowok="t" o:connecttype="custom" o:connectlocs="595,1;2619,0;2619,862;0,862;595,1" o:connectangles="0,0,0,0,0"/>
            <v:fill on="t" focussize="0,0"/>
            <v:stroke on="f" weight="1pt" joinstyle="miter"/>
            <v:imagedata o:title=""/>
            <o:lock v:ext="edit"/>
          </v:shape>
          <v:shape id="任意多边形 4" o:spid="_x0000_s2098"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oBVxQAAANwAAAAPAAAAZHJzL2Rvd25yZXYueG1sRI9Ba8JA&#10;FITvhf6H5RW8FN2oRTS6ihiEXnow9dDjM/tMgtm3YXc1sb/eLRQ8DjPzDbPa9KYRN3K+tqxgPEpA&#10;EBdW11wqOH7vh3MQPiBrbCyTgjt52KxfX1aYatvxgW55KEWEsE9RQRVCm0rpi4oM+pFtiaN3ts5g&#10;iNKVUjvsItw0cpIkM2mw5rhQYUu7iopLfjUKuvZ4eF+Y5GvGv6dLljmbj7MfpQZv/XYJIlAfnuH/&#10;9qdWMPmYwt+ZeATk+gEAAP//AwBQSwECLQAUAAYACAAAACEA2+H2y+4AAACFAQAAEwAAAAAAAAAA&#10;AAAAAAAAAAAAW0NvbnRlbnRfVHlwZXNdLnhtbFBLAQItABQABgAIAAAAIQBa9CxbvwAAABUBAAAL&#10;AAAAAAAAAAAAAAAAAB8BAABfcmVscy8ucmVsc1BLAQItABQABgAIAAAAIQCvyoBVxQAAANwAAAAP&#10;AAAAAAAAAAAAAAAAAAcCAABkcnMvZG93bnJldi54bWxQSwUGAAAAAAMAAwC3AAAA+QIAAAAA&#10;" path="m668,0l2619,10,2619,1265,0,1265,668,0xe">
            <v:path arrowok="t" o:connecttype="custom" o:connectlocs="598,0;2345,9;2345,1108;0,1108;598,0" o:connectangles="0,0,0,0,0"/>
            <v:fill on="t" focussize="0,0"/>
            <v:stroke on="f" weight="1pt" joinstyle="miter"/>
            <v:imagedata o:title=""/>
            <o:lock v:ext="edit"/>
          </v:shape>
        </v:group>
      </w:pict>
    </w:r>
    <w:r>
      <w:pict>
        <v:group id="组合 237" o:spid="_x0000_s2094" o:spt="203" style="position:absolute;left:0pt;margin-left:-2.15pt;margin-top:47.15pt;height:32pt;width:235.7pt;mso-position-horizontal-relative:page;mso-position-vertical-relative:page;z-index:251676672;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so9bwMAAA0KAAAOAAAAZHJzL2Uyb0RvYy54bWzcVstuEzEU3SPxD5b3dGYyaUmiTqrQ0gqp&#10;ohUFsXY8nmSExza200lZI2DJihUSgh0Sf4D4nLa/wbXn0SQEiRbUBV1MPb4P33t8z8ls78wLjk6Z&#10;NrkUCY42QoyYoDLNxSTBz57u3+thZCwRKeFSsASfMYN3hnfvbJdqwDpyKnnKNIIkwgxKleCptWoQ&#10;BIZOWUHMhlRMgDGTuiAWXvUkSDUpIXvBg04YbgWl1KnSkjJjYHevMuKhz59ljNqjLDPMIp5gqM36&#10;p/bPsXsGw20ymGiipjmtyyA3qKIguYBD21R7xBI00/kvqYqcamlkZjeoLAKZZTllvgfoJgpXujnQ&#10;cqZ8L5NBOVEtTADtCk43Tksfnx5rlKcJ7sT3MRKkgEu6/P76/P075HYAn1JNBuB2oNWJOtb1xqR6&#10;cy3PM124/9AMmntkz1pk2dwiCpudfj+O+3ABFGzdcKsb1tDTKdyPC4tidz5Ye73W9LCOjqPNOhQC&#10;XUlBc2rgimtrKRUMkbnCyfwdTidTopiH3zgAWpxgpCucLj68vfj47eLzG7RVAeX9HErIzh9I11Wz&#10;b2BzDVhRN4yWu24Qi8Me4OHg2ur6LG3PZKC0sQdMFsgtEqxhyv3wkdNDYyt4Ghd3ppD7OeewTwZc&#10;oBIyxoDnkgWScwG4OgSrUv3KnnFWhT1hGUyJv1634fnJdrlGpwSYRShlwjZlcgHeziuDY68TWPu7&#10;UOa5e53gNsKfLIVtg4tcSO37XSk7fdGUnFX+DQJV3w4COx/PPT3amxzL9AwuWMtKS4yi+zlcwyEx&#10;9phoEA8YVRBEewSPjEuAW9YrjKZSv1q37/xhVsGKUQlilGDzckY0w4g/EjDF/agLg4+sf+lu3u/A&#10;i160jBctYlbsSrgVmCyozi+dv+XNMtOyeA66OXKngokICmcn2DbLXVtJJOguZaORdwK9UsQeihNF&#10;XWqHspCjmZVZ7mfOoVVhU6MITHTicSuU7DeUvPz09fzHF1QLV8tHr1rNaDfi0UpWqz1R2O06xsL8&#10;1dITRZDasTCOl5Xn2iw0kuepI6JLvzKIdt4M4pKXo+QCff+cpJ11096Q1J8/JSmruLsZwl8tqm1Z&#10;XmLX87i6+tZznQDcNo95Kz2/5fF/zFpq9b/nrf9hhW8OPwj195H7qFl89zy/+oob/gQAAP//AwBQ&#10;SwMEFAAGAAgAAAAhAPDkJvngAAAACQEAAA8AAABkcnMvZG93bnJldi54bWxMj8FqwkAQhu+FvsMy&#10;hd50k0atTbMRkbYnEaqF0tuYHZNgdjZk1yS+fddTexqG/+Ofb7LVaBrRU+dqywriaQSCuLC65lLB&#10;1+F9sgThPLLGxjIpuJKDVX5/l2Gq7cCf1O99KUIJuxQVVN63qZSuqMigm9qWOGQn2xn0Ye1KqTsc&#10;Qrlp5FMULaTBmsOFClvaVFSc9xej4GPAYZ3Eb/32fNpcfw7z3fc2JqUeH8b1KwhPo/+D4aYf1CEP&#10;Tkd7Ye1Eo2AySwKp4OU2Qz5bPMcgjgGcLxOQeSb/f5D/AgAA//8DAFBLAQItABQABgAIAAAAIQC2&#10;gziS/gAAAOEBAAATAAAAAAAAAAAAAAAAAAAAAABbQ29udGVudF9UeXBlc10ueG1sUEsBAi0AFAAG&#10;AAgAAAAhADj9If/WAAAAlAEAAAsAAAAAAAAAAAAAAAAALwEAAF9yZWxzLy5yZWxzUEsBAi0AFAAG&#10;AAgAAAAhAOayyj1vAwAADQoAAA4AAAAAAAAAAAAAAAAALgIAAGRycy9lMm9Eb2MueG1sUEsBAi0A&#10;FAAGAAgAAAAhAPDkJvngAAAACQEAAA8AAAAAAAAAAAAAAAAAyQUAAGRycy9kb3ducmV2LnhtbFBL&#10;BQYAAAAABAAEAPMAAADWBgAAAAA=&#10;">
          <o:lock v:ext="edit"/>
          <v:shape id="_x0000_s2096" o:spid="_x0000_s2096"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63EwwAAANwAAAAPAAAAZHJzL2Rvd25yZXYueG1sRE/LisIw&#10;FN0L8w/hDrjTdDoopWMUKYiD6MLHxt21ubZlmptOE7X69WYhuDyc92TWmVpcqXWVZQVfwwgEcW51&#10;xYWCw34xSEA4j6yxtkwK7uRgNv3oTTDV9sZbuu58IUIIuxQVlN43qZQuL8mgG9qGOHBn2xr0AbaF&#10;1C3eQripZRxFY2mw4tBQYkNZSfnf7mIUrLLFBren2CSPOluuz/Pm/3AcKdX/7OY/IDx1/i1+uX+1&#10;gvg7rA1nwhGQ0ycAAAD//wMAUEsBAi0AFAAGAAgAAAAhANvh9svuAAAAhQEAABMAAAAAAAAAAAAA&#10;AAAAAAAAAFtDb250ZW50X1R5cGVzXS54bWxQSwECLQAUAAYACAAAACEAWvQsW78AAAAVAQAACwAA&#10;AAAAAAAAAAAAAAAfAQAAX3JlbHMvLnJlbHNQSwECLQAUAAYACAAAACEAgqutxMMAAADcAAAADwAA&#10;AAAAAAAAAAAAAAAHAgAAZHJzL2Rvd25yZXYueG1sUEsFBgAAAAADAAMAtwAAAPcC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5"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iiNxwAAANwAAAAPAAAAZHJzL2Rvd25yZXYueG1sRI/dasJA&#10;FITvC77Dcgq9KboxrVKjqyT+gPSmVfsAh+xpEsyeDdltkr69KxR6OczMN8xqM5hadNS6yrKC6SQC&#10;QZxbXXGh4OtyGL+BcB5ZY22ZFPySg8169LDCRNueT9SdfSEChF2CCkrvm0RKl5dk0E1sQxy8b9sa&#10;9EG2hdQt9gFuahlH0VwarDgslNjQtqT8ev4xCi4fn/P9oZpx3Fx36Ws+y57375lST49DugThafD/&#10;4b/2USuIXxZwPxOOgFzfAAAA//8DAFBLAQItABQABgAIAAAAIQDb4fbL7gAAAIUBAAATAAAAAAAA&#10;AAAAAAAAAAAAAABbQ29udGVudF9UeXBlc10ueG1sUEsBAi0AFAAGAAgAAAAhAFr0LFu/AAAAFQEA&#10;AAsAAAAAAAAAAAAAAAAAHwEAAF9yZWxzLy5yZWxzUEsBAi0AFAAGAAgAAAAhAI8SKI3HAAAA3AAA&#10;AA8AAAAAAAAAAAAAAAAABwIAAGRycy9kb3ducmV2LnhtbFBLBQYAAAAAAwADALcAAAD7Ag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35" o:spid="_x0000_s2089" o:spt="203" style="position:absolute;left:0pt;margin-left:2.25pt;margin-top:45.75pt;height:32.05pt;width:239.85pt;mso-position-horizontal-relative:page;mso-position-vertical-relative:page;z-index:251669504;mso-width-relative:page;mso-height-relative:page;" coordorigin="1337,855" coordsize="3206,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RkTcgMAAA0KAAAOAAAAZHJzL2Uyb0RvYy54bWzcVk9v0zAUvyPxHSzfWZI2bbdo3TQGm5Am&#10;NjEQZ9dx2gjHNrbbdJwRcOTECQnBDYlvgPg4G1+DZ7vJSikSG2gHekhtvz9+7/fe7yXbu/OKoxnT&#10;ppRiiJONGCMmqMxLMR7iJ48P7mxiZCwROeFSsCE+Ywbv7ty+tV2rjHXkRPKcaQROhMlqNcQTa1UW&#10;RYZOWEXMhlRMgLCQuiIWtnoc5ZrU4L3iUSeO+1Etda60pMwYOL0XhHjH+y8KRu1xURhmER9iiM36&#10;p/bPkXtGO9skG2uiJiVdhEGuEUVFSgGXtq7uEUvQVJe/uKpKqqWRhd2gsopkUZSU+RwgmyReyeZQ&#10;y6nyuYyzeqxamADaFZyu7ZY+nJ1oVOZQu24PI0EqKNL3ry/P375B7gTwqdU4A7VDrU7ViV4cjMPO&#10;pTwvdOX+IRk098ietciyuUUUDrtx2k86CUYUZGk8iINrktEJ1MeZJd3uACOQbvb8rU50v7HuxP1g&#10;2k8TF1LU3Bq54NpYagVNZC5xMn+H0+mEKObhNw6AFieIJeB08e71xfsvFx9foX4Ayus5lJCd35Uu&#10;q+bcwOEasJK0B96Ws75EbBPwcHCt5kwypY09ZLJCbjHEGrrcNx+ZHRkb4GlU3J1CHpScwznJuEA1&#10;eOz2Ym/QSgBQLgBXh2AI1a/sGWfB7BEroEt8ed2B5yfb5xrNCDCLUMqEbUrDBWg7rQKuvYrhQt+Z&#10;Ms/dqxi3Fv5mKWxrXJVCap/vStj5sybkIug3CIS8HQR2Ppp7eqRNJUcyP4MCaxlmiVH0oIQyHBFj&#10;T4iG4QFjBgaiPYZHwSXALRcrjCZSv1h37vShV0GKUQ3DaIjN8ynRDCP+QEAXbyVp6qaX36S9QQc2&#10;elkyWpaIabUvoSpAN4jOL52+5c2y0LJ6CnNzz90KIiIo3D3Etlnu2zAiYe5StrfnlWBeKWKPxKmi&#10;zrVDWci9qZVF6XvOoRWwWaAITHTD40YoCVRZjK4Pn8+/fUKDplrA23ZqNa3dDI92ZLWzJ4lTX2fo&#10;v8XoSZKtwMJu178s2slzZRYaycvcEdEht9KIdt404k9ajpJL9P1zknbWdXtDUn//hOQscLcXw8/B&#10;Be7bsPxuPY9D6VvNdQPgpnnM29HzWx7/x6ylVv973voXK3xz+EZYfB+5j5rlPayXv+J2fgAAAP//&#10;AwBQSwMEFAAGAAgAAAAhAAyRgfPfAAAACAEAAA8AAABkcnMvZG93bnJldi54bWxMj8FKw0AQhu+C&#10;77CM4M1uUpPSxmxKKeqpCLaC9DbNTpPQ7G7IbpP07R1PehqG/+Ofb/L1ZFoxUO8bZxXEswgE2dLp&#10;xlYKvg5vT0sQPqDV2DpLCm7kYV3c3+WYaTfaTxr2oRJcYn2GCuoQukxKX9Zk0M9cR5azs+sNBl77&#10;SuoeRy43rZxH0UIabCxfqLGjbU3lZX81Ct5HHDfP8euwu5y3t+Mh/fjexaTU48O0eQERaAp/MPzq&#10;szoU7HRyV6u9aBUkKYMKVjFPjpNlMgdxYi5NFyCLXP5/oPgBAAD//wMAUEsBAi0AFAAGAAgAAAAh&#10;ALaDOJL+AAAA4QEAABMAAAAAAAAAAAAAAAAAAAAAAFtDb250ZW50X1R5cGVzXS54bWxQSwECLQAU&#10;AAYACAAAACEAOP0h/9YAAACUAQAACwAAAAAAAAAAAAAAAAAvAQAAX3JlbHMvLnJlbHNQSwECLQAU&#10;AAYACAAAACEAwt0ZE3IDAAANCgAADgAAAAAAAAAAAAAAAAAuAgAAZHJzL2Uyb0RvYy54bWxQSwEC&#10;LQAUAAYACAAAACEADJGB898AAAAIAQAADwAAAAAAAAAAAAAAAADMBQAAZHJzL2Rvd25yZXYueG1s&#10;UEsFBgAAAAAEAAQA8wAAANgGAAAAAA==&#10;">
          <o:lock v:ext="edit"/>
          <v:shape id="_x0000_s2091" o:spid="_x0000_s2091" o:spt="202" type="#_x0000_t202" style="position:absolute;left:1456;top:855;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f1RxQAAANwAAAAPAAAAZHJzL2Rvd25yZXYueG1sRE9La8JA&#10;EL4X/A/LFHqrm6YoIXUVCYil1IOPS2/T7JiE7s7G7BpTf71bKHibj+85s8Vgjeip841jBS/jBARx&#10;6XTDlYLDfvWcgfABWaNxTAp+ycNiPnqYYa7dhbfU70IlYgj7HBXUIbS5lL6syaIfu5Y4ckfXWQwR&#10;dpXUHV5iuDUyTZKptNhwbKixpaKm8md3tgo+itUGt9+pza6mWH8el+3p8DVR6ulxWL6BCDSEu/jf&#10;/a7j/Ncp/D0TL5DzGwAAAP//AwBQSwECLQAUAAYACAAAACEA2+H2y+4AAACFAQAAEwAAAAAAAAAA&#10;AAAAAAAAAAAAW0NvbnRlbnRfVHlwZXNdLnhtbFBLAQItABQABgAIAAAAIQBa9CxbvwAAABUBAAAL&#10;AAAAAAAAAAAAAAAAAB8BAABfcmVscy8ucmVsc1BLAQItABQABgAIAAAAIQBHXf1RxQAAANwAAAAP&#10;AAAAAAAAAAAAAAAAAAcCAABkcnMvZG93bnJldi54bWxQSwUGAAAAAAMAAwC3AAAA+QI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HgYwQAAANwAAAAPAAAAZHJzL2Rvd25yZXYueG1sRE/bisIw&#10;EH1f8B/CCL4sa+p1pRrFK4gvurofMDRjW2wmpYla/94Igm9zONeZzGpTiBtVLresoNOOQBAnVuec&#10;Kvg/bX5GIJxH1lhYJgUPcjCbNr4mGGt75z+6HX0qQgi7GBVk3pexlC7JyKBr25I4cGdbGfQBVqnU&#10;Fd5DuClkN4qG0mDOoSHDkpYZJZfj1Sg47Q/D9SYfcLe8rOb9ZLD4Xu8WSrWa9XwMwlPtP+K3e6vD&#10;/N4vvJ4JF8jpEwAA//8DAFBLAQItABQABgAIAAAAIQDb4fbL7gAAAIUBAAATAAAAAAAAAAAAAAAA&#10;AAAAAABbQ29udGVudF9UeXBlc10ueG1sUEsBAi0AFAAGAAgAAAAhAFr0LFu/AAAAFQEAAAsAAAAA&#10;AAAAAAAAAAAAHwEAAF9yZWxzLy5yZWxzUEsBAi0AFAAGAAgAAAAhAErkeBjBAAAA3AAAAA8AAAAA&#10;AAAAAAAAAAAABwIAAGRycy9kb3ducmV2LnhtbFBLBQYAAAAAAwADALcAAAD1AgAAAAA=&#10;">
            <v:path/>
            <v:fill on="t" focussize="0,0"/>
            <v:stroke on="f" weight="1pt"/>
            <v:imagedata o:title=""/>
            <o:lock v:ext="edit"/>
          </v:rect>
        </v:group>
      </w:pict>
    </w:r>
    <w:r>
      <w:pict>
        <v:group id="组合 138" o:spid="_x0000_s2085" o:spt="203" style="position:absolute;left:0pt;margin-left:2.75pt;margin-top:46.95pt;height:32.8pt;width:596.85pt;mso-position-horizontal-relative:page;mso-position-vertical-relative:page;z-index:251668480;mso-width-relative:page;mso-height-relative:page;" coordorigin="881,505" coordsize="11971,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AWHLQUAAA8XAAAOAAAAZHJzL2Uyb0RvYy54bWzsWM1uJDUQviPxDlYfkdjpnsy/MllFWRIh&#10;BTYii9g9Om73dEvddmN7MhPOe+AGZy5IiAuPgCJ4GgI8BlV2u8eZHdLJghCgzGG6bVeVq75y/bT3&#10;n66rklxypQsp5lHyJI4IF0ymhVjMo09fHL8/iYg2VKS0lILPoyuuo6cH776zv6pnvC9zWaZcERAi&#10;9GxVz6PcmHrW62mW84rqJ7LmAhYzqSpqYKgWvVTRFUivyl4/jke9lVRprSTjWsPsM7cYHVj5WcaZ&#10;eZ5lmhtSziPQzdh/Zf8v8L93sE9nC0XrvGCNGvQttKhoIWDTVtQzaihZquINUVXBlNQyM0+YrHoy&#10;ywrGrQ1gTRJvWXOi5LK2tixmq0XdwgTQbuH01mLZx5dnihQp+G4PXCVoBU767fr1zddfEpwBfFb1&#10;YgZkJ6o+r89UM7FwIzR5nakKn2AMWVtkr1pk+doQBpPj4Xg6nQ4jwmBtkIyGowZ6loN/kG0ySSIC&#10;i8N46JzC8g8a5iSZjmERWZNkPMXlnt+2h9q1yqxqOEV6A5T+a0Cd57TmFn+NCLRATVugvv3h5qfv&#10;SN/BZIlajPRMA1w7APKWJkOHL515lMDQfoNRMhjdspPOaqXNCZcVwZd5pOBo2xNHL0+1cZB4EtxU&#10;y7JIj4uytAMMJ35UKnJJIRAoY1yYgWUvl9VHMnXzoxh+Dn2YRsdY8oGfBtRtYKIk64Nbm5QCtxIS&#10;N3X64Aw4yCNh38xVyZGuFJ/wDA4euL5vFWklhzombimnKXfTwz/VxQpEyRns38puBOyyP2kAbuiR&#10;lduM0TLHdynmTGw57M5SmJa5KoRUuwSUpt3Z0XuQHDSI0oVMr+C0Kenyla7ZcQFeP6XanFEFCQpS&#10;GSRd8xz+slKu5pFs3iKSS/XFrnmkh3CA1YisIOHNI/35kioekfJDAYEyTQYDzJB2MBiO+zBQ4cpF&#10;uCKW1ZGEowRxCdrZV6Q3pX/NlKw+g9x8iLvCEhUM9p5HzCg/ODIuEUN2Z/zw0JJBVqypORXnNUPh&#10;iKqQh0sjs8Ie8g06DWoQ7pii/om4R3hcgvzl+vrX11/dfP/N7z//iAlg70EJIImT8dgmu9HERvkm&#10;A/RHCSQXzHSTkc0qbaKjM7Z0CQAx8UEPBSeF8MepRdoox6QQujD8JaibVSWclvd6ZDgdkhWx4uHg&#10;7qB+FVInJCeNAjtIX4LTW8EoskNySB7fLbn/MMkhOeh7t+y9QHbcoXJI2yl4EAjuxjmkDnAGR7eu&#10;pLlL6eDztWjcC28QQ1D5XVKqpcaqGfoaDo0fgjNdegIu9HYHMzgoZPbp6X7M4IOQ2Z/a+zEDziGz&#10;jSNA4n7MgGTIPAhtdkIa7LBWYgNY2gbQQJ6C+hkRaAAvkAdqKzUIuX8lkFBdJOYuEHGhghT7QloS&#10;g9CDp+3+Hq3NeilCOicIFPU+8cv+WVtxLdkm8D2BfzpCiFMQ1kW1rZ2XwUqpuTsbaLSt4q31CFqQ&#10;ZG5V963ybNbe7ltUjz1A9tgD/K97AMiVu3sAm36wEYEvhe6PgCQejFwP0H7w+K+A/t7EfwQk8bhJ&#10;av4jK4zPBzcBo9Gko+6FTQCW6qQ/aj7H3mwvwrL+wC4g6ZIdFvZ7yA7JUeUOzcPq/pBO4B6iw+re&#10;DXdIHULy2AwY/urf2AzYeNjVDYCvbV32Rb6zG0g8pa/M/rnVDvgIhCPhKfwz7Ac6ybYV9EL+robg&#10;8U4B71R8U/R4pxDeHPwn7xTszSLcutoWubkhxmvdcGzvIDb32Ad/AAAA//8DAFBLAwQUAAYACAAA&#10;ACEAZPeC7d8AAAAJAQAADwAAAGRycy9kb3ducmV2LnhtbEyPwWrDMBBE74X+g9hAb43sBJXKsRxC&#10;aHsKhSaF0tvG2tgmlmQsxXb+vsqpuc0yw8zbfD2Zlg3U+8ZZBek8AUa2dLqxlYLvw/vzKzAf0Gps&#10;nSUFV/KwLh4fcsy0G+0XDftQsVhifYYK6hC6jHNf1mTQz11HNnon1xsM8ewrrnscY7lp+SJJXrjB&#10;xsaFGjva1lSe9xej4GPEcbNM34bd+bS9/h7E588uJaWeZtNmBSzQFP7DcMOP6FBEpqO7WO1Zq0CI&#10;GFQglxLYzU6lXAA7RiWkAF7k/P6D4g8AAP//AwBQSwECLQAUAAYACAAAACEAtoM4kv4AAADhAQAA&#10;EwAAAAAAAAAAAAAAAAAAAAAAW0NvbnRlbnRfVHlwZXNdLnhtbFBLAQItABQABgAIAAAAIQA4/SH/&#10;1gAAAJQBAAALAAAAAAAAAAAAAAAAAC8BAABfcmVscy8ucmVsc1BLAQItABQABgAIAAAAIQAkpAWH&#10;LQUAAA8XAAAOAAAAAAAAAAAAAAAAAC4CAABkcnMvZTJvRG9jLnhtbFBLAQItABQABgAIAAAAIQBk&#10;94Lt3wAAAAkBAAAPAAAAAAAAAAAAAAAAAIcHAABkcnMvZG93bnJldi54bWxQSwUGAAAAAAQABADz&#10;AAAAkwgAAAAA&#10;">
          <o:lock v:ext="edit"/>
          <v:rect id="矩形 2" o:spid="_x0000_s2088"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gtlwQAAANwAAAAPAAAAZHJzL2Rvd25yZXYueG1sRE/bisIw&#10;EH0X/Icwwr5pqoJo1yheEFwFZd39gKGZNsVmUpqo3b/fCIJvczjXmS9bW4k7Nb50rGA4SEAQZ06X&#10;XCj4/dn1pyB8QNZYOSYFf+Rhueh25phq9+Bvul9CIWII+xQVmBDqVEqfGbLoB64mjlzuGoshwqaQ&#10;usFHDLeVHCXJRFosOTYYrGljKLteblbBPlsdx8Xo67TOp+fJdXtikx9YqY9eu/oEEagNb/HLvddx&#10;/ngGz2fiBXLxDwAA//8DAFBLAQItABQABgAIAAAAIQDb4fbL7gAAAIUBAAATAAAAAAAAAAAAAAAA&#10;AAAAAABbQ29udGVudF9UeXBlc10ueG1sUEsBAi0AFAAGAAgAAAAhAFr0LFu/AAAAFQEAAAsAAAAA&#10;AAAAAAAAAAAAHwEAAF9yZWxzLy5yZWxzUEsBAi0AFAAGAAgAAAAhAPRuC2XBAAAA3AAAAA8AAAAA&#10;AAAAAAAAAAAABwIAAGRycy9kb3ducmV2LnhtbFBLBQYAAAAAAwADALcAAAD1AgAAAAA=&#10;">
            <v:path/>
            <v:fill on="t" focussize="0,0"/>
            <v:stroke on="f" weight="1pt"/>
            <v:imagedata o:title=""/>
            <o:lock v:ext="edit"/>
          </v:rect>
          <v:shape id="任意多边形 3" o:spid="_x0000_s2087"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fQrwgAAANwAAAAPAAAAZHJzL2Rvd25yZXYueG1sRI9Ba8Mw&#10;DIXvg/4Ho8Fuq7My2pLWLaMw6G1bVuhVxJodEsvB9prs30+HwW4S7+m9T/vjHAZ1o5S7yAaelhUo&#10;4jbajp2By+fr4xZULsgWh8hk4IcyHA+Luz3WNk78QbemOCUhnGs04EsZa61z6ylgXsaRWLSvmAIW&#10;WZPTNuEk4WHQq6pa64AdS4PHkU6e2r75DgZwc52aTXLvb/3WeW/P63bVozEP9/PLDlShufyb/67P&#10;VvCfBV+ekQn04RcAAP//AwBQSwECLQAUAAYACAAAACEA2+H2y+4AAACFAQAAEwAAAAAAAAAAAAAA&#10;AAAAAAAAW0NvbnRlbnRfVHlwZXNdLnhtbFBLAQItABQABgAIAAAAIQBa9CxbvwAAABUBAAALAAAA&#10;AAAAAAAAAAAAAB8BAABfcmVscy8ucmVsc1BLAQItABQABgAIAAAAIQAgFfQrwgAAANwAAAAPAAAA&#10;AAAAAAAAAAAAAAcCAABkcnMvZG93bnJldi54bWxQSwUGAAAAAAMAAwC3AAAA9gIAAAAA&#10;" path="m595,1l2619,0,2619,862,0,862,595,1xe">
            <v:path arrowok="t" o:connecttype="custom" o:connectlocs="595,1;2619,0;2619,862;0,862;595,1" o:connectangles="0,0,0,0,0"/>
            <v:fill on="t" focussize="0,0"/>
            <v:stroke on="f" weight="1pt" joinstyle="miter"/>
            <v:imagedata o:title=""/>
            <o:lock v:ext="edit"/>
          </v:shape>
          <v:shape id="任意多边形 4" o:spid="_x0000_s2086" style="position:absolute;left:10467;top:505;height:1107;width:238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drFwwAAANwAAAAPAAAAZHJzL2Rvd25yZXYueG1sRE9Na8JA&#10;EL0X/A/LCL0U3USKaHQVaRC89GD04HHMjkkwOxt2tyb113cLhd7m8T5nvR1MKx7kfGNZQTpNQBCX&#10;VjdcKTif9pMFCB+QNbaWScE3edhuRi9rzLTt+UiPIlQihrDPUEEdQpdJ6cuaDPqp7Ygjd7POYIjQ&#10;VVI77GO4aeUsSebSYMOxocaOPmoq78WXUdB35+Pb0iSfc35e73nubJHmF6Vex8NuBSLQEP7Ff+6D&#10;jvPfU/h9Jl4gNz8AAAD//wMAUEsBAi0AFAAGAAgAAAAhANvh9svuAAAAhQEAABMAAAAAAAAAAAAA&#10;AAAAAAAAAFtDb250ZW50X1R5cGVzXS54bWxQSwECLQAUAAYACAAAACEAWvQsW78AAAAVAQAACwAA&#10;AAAAAAAAAAAAAAAfAQAAX3JlbHMvLnJlbHNQSwECLQAUAAYACAAAACEA63HaxcMAAADcAAAADwAA&#10;AAAAAAAAAAAAAAAHAgAAZHJzL2Rvd25yZXYueG1sUEsFBgAAAAADAAMAtwAAAPcCAAAAAA==&#10;" path="m668,0l2619,10,2619,1265,0,1265,668,0xe">
            <v:path arrowok="t" o:connecttype="custom" o:connectlocs="608,0;2385,9;2385,1107;0,1107;60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83" o:spid="_x0000_s2081" o:spt="203" style="position:absolute;left:0pt;margin-left:0pt;margin-top:0pt;height:37.85pt;width:594.8pt;mso-position-horizontal-relative:page;mso-position-vertical-relative:page;z-index:251670528;mso-width-relative:page;mso-height-relative:page;"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sKpMQUAAA8XAAAOAAAAZHJzL2Uyb0RvYy54bWzsWE9vIzUUvyPxHaw5ItHMpMk0iZquqi6t&#10;kApb0UUsR3fGk4w0Yw+206Sc98ANzntZCXHhI6AKPg0FPgbv2WPXzWY76YIQoOYwGdvvPb/3e35/&#10;xvtPVnVFLplUpeDTKNmJI8J4JvKSz6bR58+PPxxFRGnKc1oJzqbRFVPRk4P339tfNhPWF3NR5UwS&#10;EMLVZNlMo7nWzaTXU9mc1VTtiIZxWCyErKmGoZz1ckmXIL2uev04TntLIfNGiowpBbNP7WJ0YOQX&#10;Bcv0s6JQTJNqGoFu2jyleV7gs3ewTyczSZt5mbVq0HfQoqYlh029qKdUU7KQ5Rui6jKTQolC72Si&#10;7omiKDNmbABrknjNmhMpFo2xZTZZzhoPE0C7htM7i80+vTyTpMzBd6PdiHBag5N+v3558903BGcA&#10;n2UzmwDZiWzOmzPZTszsCE1eFbLGfzCGrAyyVx5ZttIkg8m94XB3nIIDMlgbjOJ0PLTQZ3PwD7KN&#10;RklEYHEY+5WPWuYkGe+2rEmyN0bGntu2h9p5ZZYNnCJ1C5T6a0Cdz2nDDP4KEfBADTxQr3+8+fl7&#10;0rcwGSKPkZoogGsDQM7SZLg7siA4lMDQ/tBilAzSO3bSSSOVPmGiJvgyjSQcbXPi6OWp0hYSR4Kb&#10;KlGV+XFZVWaA4cSOKkkuKQQCzTLG9cCwV4v6E5Hb+TSGn1UJptExhnzgpgF1E5goyfjgziYVx624&#10;wE2tPjgDDnJImDd9VTGkq/hnrICDB67vG0W85FDHxC7Nac7s9PCtuhiBKLmA/b3sVsAm+5MW4JYe&#10;WZnJGJ45vk8xa6LnMDsLrj1zXXIhNwmotN/Z0juQLDSI0oXIr+C0SWHzlWqy4xK8fkqVPqMSEhSE&#10;AyRd/QweRSWW00i0bxGZC/n1pnmkh3CA1YgsIeFNI/XVgkoWkepjDoEyTgYDzJBmMBju9WEgw5WL&#10;cIUv6iMBRwmCFrQzr0ivK/daSFF/Abn5EHeFJcoz2HsaZVq6wZG2iRiye8YODw0ZZMWG6lN+3mQo&#10;HFHl4nChRVGaQ36LTosahDumqH8k7iE2bYL89fr6t5ff3vzw6o9ffsIE0ObJLRNAEid7eybZpSMT&#10;5XDw2lTXT5OxTQCj1GQVn+joJFvYBICYuKCHgpND+OPULG+VywTnqtTsBaBe1BWclg96ZDgekiUx&#10;4uHgbqD+MqROyJy0CmwgfQFO94JRZIfkkDy+X3L/YZJDctD3ftlQ3rzWcYfKIW2nYCgHXnA3ziF1&#10;gDM42ruSzm1KB5+veOteeIMYgspvk1IjFFbN0NdQPN0QnGnTE3ChtzuYbeX1zC49bccMPgh3dqd2&#10;O2bAOWQ2cQRIbMcMSIbMg9BmK6TFDmslNoCVaQA15CmonxGBBvDCVjtIOQg5QoWvBBKqjcQ5NCYQ&#10;iLhQQ4p9LgyJRujB02Z/h9btesVDOisIFHU+ccvuvzHiPFkbd2CAI3D/lhDiFIR1Ua1r52RklVDM&#10;ng201FRxbz2CFiSZO9V9rTzrlbP7DtVjD1A89gD/6x4gfVsPYNIPNiLwpdD9EZDEg9T2AP6Dx/cA&#10;uwP3EZDE5gsB4tJ9ZIXx+eAmIE1HHXUvbAKwVCf9tP0ce7O9CMv6A7uApEt2WNi3kB2So8odmofV&#10;/SGdwBaiw+reDXdIHUICDn9sBv6NzYCJh03dAPja1GVX5Du7gcRRusrs/tfaAReBHf1AJ9m6gm67&#10;v6sheLxTwDsV1xQ93imENwf/yTsFc7MIt66mRW5viPFaNxybO4jbe+yDPwEAAP//AwBQSwMEFAAG&#10;AAgAAAAhAHt68WvfAAAACAEAAA8AAABkcnMvZG93bnJldi54bWxMj0FLw0AQhe+C/2EZwZvdpGpM&#10;YzalFPVUBFtBeptmp0lodjZkt0n6792e9PaGN7z3vXw5mVYM1LvGsoJ4FoEgLq1uuFLwvXt/SEE4&#10;j6yxtUwKLuRgWdze5JhpO/IXDVtfiRDCLkMFtfddJqUrazLoZrYjDt7R9gZ9OPtK6h7HEG5aOY+i&#10;RBpsODTU2NG6pvK0PRsFHyOOq8f4bdicjuvLfvf8+bOJSan7u2n1CsLT5P+e4Yof0KEITAd7Zu1E&#10;qyAM8QrS5AXE1Y3TRQLiEFQyfwJZ5PL/gOIXAAD//wMAUEsBAi0AFAAGAAgAAAAhALaDOJL+AAAA&#10;4QEAABMAAAAAAAAAAAAAAAAAAAAAAFtDb250ZW50X1R5cGVzXS54bWxQSwECLQAUAAYACAAAACEA&#10;OP0h/9YAAACUAQAACwAAAAAAAAAAAAAAAAAvAQAAX3JlbHMvLnJlbHNQSwECLQAUAAYACAAAACEA&#10;riLCqTEFAAAPFwAADgAAAAAAAAAAAAAAAAAuAgAAZHJzL2Uyb0RvYy54bWxQSwECLQAUAAYACAAA&#10;ACEAe3rxa98AAAAIAQAADwAAAAAAAAAAAAAAAACLBwAAZHJzL2Rvd25yZXYueG1sUEsFBgAAAAAE&#10;AAQA8wAAAJcIAAAAAA==&#10;">
          <o:lock v:ext="edit"/>
          <v:rect id="矩形 2" o:spid="_x0000_s2084"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G0cwgAAANwAAAAPAAAAZHJzL2Rvd25yZXYueG1sRE/dasIw&#10;FL4X9g7hDLzTdDqkVKM4ZaAOlHU+wKE5bYrNSWkyrW+/CAPvzsf3exar3jbiSp2vHSt4GycgiAun&#10;a64UnH8+RykIH5A1No5JwZ08rJYvgwVm2t34m655qEQMYZ+hAhNCm0npC0MW/di1xJErXWcxRNhV&#10;Und4i+G2kZMkmUmLNccGgy1tDBWX/Ncq2BXrr2k12R8/yvQ0u2yPbMoDKzV87ddzEIH68BT/u3c6&#10;zk/f4fFMvEAu/wAAAP//AwBQSwECLQAUAAYACAAAACEA2+H2y+4AAACFAQAAEwAAAAAAAAAAAAAA&#10;AAAAAAAAW0NvbnRlbnRfVHlwZXNdLnhtbFBLAQItABQABgAIAAAAIQBa9CxbvwAAABUBAAALAAAA&#10;AAAAAAAAAAAAAB8BAABfcmVscy8ucmVsc1BLAQItABQABgAIAAAAIQC50G0cwgAAANwAAAAPAAAA&#10;AAAAAAAAAAAAAAcCAABkcnMvZG93bnJldi54bWxQSwUGAAAAAAMAAwC3AAAA9gIAAAAA&#10;">
            <v:path/>
            <v:fill on="t" focussize="0,0"/>
            <v:stroke on="f" weight="1pt"/>
            <v:imagedata o:title=""/>
            <o:lock v:ext="edit"/>
          </v:rect>
          <v:shape id="任意多边形 3" o:spid="_x0000_s2083"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0pwAAAANwAAAAPAAAAZHJzL2Rvd25yZXYueG1sRE9Na8Mw&#10;DL0P9h+MBrstTgtrQ1a3lEGht21poVcRa3ZILAfba9J/Pw8GvenxPrXZzW4QVwqx86xgUZQgiFuv&#10;OzYKzqfDSwUiJmSNg2dScKMIu+3jwwZr7Sf+omuTjMghHGtUYFMaaylja8lhLPxInLlvHxymDIOR&#10;OuCUw90gl2W5kg47zg0WR3q31PbNj1OA68vUrIP5/OgrY60+rtplj0o9P837NxCJ5nQX/7uPOs+v&#10;XuHvmXyB3P4CAAD//wMAUEsBAi0AFAAGAAgAAAAhANvh9svuAAAAhQEAABMAAAAAAAAAAAAAAAAA&#10;AAAAAFtDb250ZW50X1R5cGVzXS54bWxQSwECLQAUAAYACAAAACEAWvQsW78AAAAVAQAACwAAAAAA&#10;AAAAAAAAAAAfAQAAX3JlbHMvLnJlbHNQSwECLQAUAAYACAAAACEAy9vtKcAAAADcAAAADwAAAAAA&#10;AAAAAAAAAAAHAgAAZHJzL2Rvd25yZXYueG1sUEsFBgAAAAADAAMAtwAAAPQCAAAAAA==&#10;" path="m595,1l2619,0,2619,862,0,862,595,1xe">
            <v:path arrowok="t" o:connecttype="custom" o:connectlocs="595,1;2619,0;2619,862;0,862;595,1" o:connectangles="0,0,0,0,0"/>
            <v:fill on="t" focussize="0,0"/>
            <v:stroke on="f" weight="1pt" joinstyle="miter"/>
            <v:imagedata o:title=""/>
            <o:lock v:ext="edit"/>
          </v:shape>
          <v:shape id="任意多边形 4" o:spid="_x0000_s2082"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fgrwgAAANwAAAAPAAAAZHJzL2Rvd25yZXYueG1sRE9Ni8Iw&#10;EL0v+B/CCF6WNdVD0a5RFovgZQ9WDx7HZrYtNpOSRFv99ZuFBW/zeJ+z2gymFXdyvrGsYDZNQBCX&#10;VjdcKTgddx8LED4ga2wtk4IHedisR28rzLTt+UD3IlQihrDPUEEdQpdJ6cuaDPqp7Ygj92OdwRCh&#10;q6R22Mdw08p5kqTSYMOxocaOtjWV1+JmFPTd6fC+NMl3ys/LNc+dLWb5WanJePj6BBFoCC/xv3uv&#10;4/xFCn/PxAvk+hcAAP//AwBQSwECLQAUAAYACAAAACEA2+H2y+4AAACFAQAAEwAAAAAAAAAAAAAA&#10;AAAAAAAAW0NvbnRlbnRfVHlwZXNdLnhtbFBLAQItABQABgAIAAAAIQBa9CxbvwAAABUBAAALAAAA&#10;AAAAAAAAAAAAAB8BAABfcmVscy8ucmVsc1BLAQItABQABgAIAAAAIQCfIfgrwgAAANwAAAAPAAAA&#10;AAAAAAAAAAAAAAcCAABkcnMvZG93bnJldi54bWxQSwUGAAAAAAMAAwC3AAAA9gIAAAAA&#10;" path="m668,0l2619,10,2619,1265,0,1265,668,0xe">
            <v:path arrowok="t" o:connecttype="custom" o:connectlocs="598,0;2345,9;2345,1108;0,1108;598,0" o:connectangles="0,0,0,0,0"/>
            <v:fill on="t" focussize="0,0"/>
            <v:stroke on="f" weight="1pt" joinstyle="miter"/>
            <v:imagedata o:title=""/>
            <o:lock v:ext="edit"/>
          </v:shape>
        </v:group>
      </w:pict>
    </w:r>
    <w:r>
      <w:pict>
        <v:group id="组合 180" o:spid="_x0000_s2078" o:spt="203" style="position:absolute;left:0pt;margin-left:-2.15pt;margin-top:47.15pt;height:32pt;width:235.7pt;mso-position-horizontal-relative:page;mso-position-vertical-relative:page;z-index:251671552;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by8cAMAAA0KAAAOAAAAZHJzL2Uyb0RvYy54bWzcVk9v0zAUvyPxHazcWZKm3dZo7VQ2NiFN&#10;bGIgzp7jNBGObWx36Tgj4MiJExKCGxLfAPFxtn0Nnp04dKVIbKAd2MHzn/f3997vNVvb84qhU6p0&#10;KfgoiNeiAFFORFby6Sh4+mTv3maAtME8w0xwOgrOqA62x3fvbNUypT1RCJZRhcAI12ktR0FhjEzD&#10;UJOCVlivCUk5POZCVdjAUU3DTOEarFcs7EXRelgLlUklCNUabnebx2Ds7Oc5JeYwzzU1iI0CiM24&#10;Vbn1xK7heAunU4VlUZI2DHyDKCpccnDamdrFBqOZKn8xVZVECS1ys0ZEFYo8Lwl1OUA2cbSUzb4S&#10;M+lymab1VHYwAbRLON3YLHl0eqRQmUHtNgEfjiso0uW3V+fv3iJ7A/jUcpqC2L6Sx/JItRfT5mRT&#10;nueqsv8hGTR3yJ51yNK5QQQue8NhkgzBAYG3frTej1roSQH1sWpxkmwECF43G684JcWDVjuJB60q&#10;KNqQQu81tMF1sdQSmkj/xEn/HU7HBZbUwa8tAB1Oscfp4v2biw9fLz69RusNUE7OooTM/L6wWfl7&#10;DZcrwIr7EVhbzNojlkSbgIeFa73vrHQ541QqbfapqJDdjAIFXe6aD58eaNPA40WsTy72SsbgHqeM&#10;oxosJoDnlRcwzjjgahFsQnU7c8Zoo/aY5tAlrrz2wvGT7jCFTjEwCxNCufFhMg7SVioHt9dRbOWt&#10;KnXcvY5yp+E8C2465arkQrl8l8LOnvuQ80beI9DkbSEw85O5o8fAV/JEZGdQYCWaWaIl2SuhDAdY&#10;myOsYHhAq8JANIew5EwA3KLdBagQ6uWqeysPvQqvAaphGI0C/WKGFQ0Qe8ihi4dxHxofGXfoDzZ6&#10;cFCLLyeLL3xW7QioCnQWROe2Vt4wv82VqJ7B3JxYr/CEOQHfo8D47Y5pRiTMXUInEycE80pic8CP&#10;JbGmLcpcTGZG5KXrOYtWg02LIjDRDo9boWTPU/Ly45fz75/Rhq8W8LabWr61/fDoRlY3e+Ko37ea&#10;0H/t6InjYcPCJLk6ea7NQi1YmVkiWvNLjWjmvhGvSFlKLtD3z0naW9XtnqTOf4Ez2nB3EMGfTRrM&#10;d2G502oeN6XvJFcNgNvmMetGz295/B+zlhj173nrfljhm8M1Qvt9ZD9qFs+wX/yKG/8AAAD//wMA&#10;UEsDBBQABgAIAAAAIQDw5Cb54AAAAAkBAAAPAAAAZHJzL2Rvd25yZXYueG1sTI/BasJAEIbvhb7D&#10;MoXedJNGrU2zEZG2JxGqhdLbmB2TYHY2ZNckvn3XU3sahv/jn2+y1Wga0VPnassK4mkEgriwuuZS&#10;wdfhfbIE4TyyxsYyKbiSg1V+f5dhqu3An9TvfSlCCbsUFVTet6mUrqjIoJvaljhkJ9sZ9GHtSqk7&#10;HEK5aeRTFC2kwZrDhQpb2lRUnPcXo+BjwGGdxG/99nzaXH8O8933NialHh/G9SsIT6P/g+GmH9Qh&#10;D05He2HtRKNgMksCqeDlNkM+WzzHII4BnC8TkHkm/3+Q/wIAAP//AwBQSwECLQAUAAYACAAAACEA&#10;toM4kv4AAADhAQAAEwAAAAAAAAAAAAAAAAAAAAAAW0NvbnRlbnRfVHlwZXNdLnhtbFBLAQItABQA&#10;BgAIAAAAIQA4/SH/1gAAAJQBAAALAAAAAAAAAAAAAAAAAC8BAABfcmVscy8ucmVsc1BLAQItABQA&#10;BgAIAAAAIQBoeby8cAMAAA0KAAAOAAAAAAAAAAAAAAAAAC4CAABkcnMvZTJvRG9jLnhtbFBLAQIt&#10;ABQABgAIAAAAIQDw5Cb54AAAAAkBAAAPAAAAAAAAAAAAAAAAAMoFAABkcnMvZG93bnJldi54bWxQ&#10;SwUGAAAAAAQABADzAAAA1wYAAAAA&#10;">
          <o:lock v:ext="edit"/>
          <v:shape id="_x0000_s2080" o:spid="_x0000_s2080"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6zCxAAAANwAAAAPAAAAZHJzL2Rvd25yZXYueG1sRE9Na8JA&#10;EL0X/A/LCL01G4WWELOKBKRF2kPUi7cxOybB7GzMribtr+8WCt7m8T4nW42mFXfqXWNZwSyKQRCX&#10;VjdcKTjsNy8JCOeRNbaWScE3OVgtJ08ZptoOXNB95ysRQtilqKD2vkuldGVNBl1kO+LAnW1v0AfY&#10;V1L3OIRw08p5HL9Jgw2Hhho7ymsqL7ubUbDNN19YnOYm+Wnz98/zursejq9KPU/H9QKEp9E/xP/u&#10;Dx3mJzP4eyZcIJe/AAAA//8DAFBLAQItABQABgAIAAAAIQDb4fbL7gAAAIUBAAATAAAAAAAAAAAA&#10;AAAAAAAAAABbQ29udGVudF9UeXBlc10ueG1sUEsBAi0AFAAGAAgAAAAhAFr0LFu/AAAAFQEAAAsA&#10;AAAAAAAAAAAAAAAAHwEAAF9yZWxzLy5yZWxzUEsBAi0AFAAGAAgAAAAhAGsLrMLEAAAA3AAAAA8A&#10;AAAAAAAAAAAAAAAABwIAAGRycy9kb3ducmV2LnhtbFBLBQYAAAAAAwADALcAAAD4Ag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9"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BJnwgAAANwAAAAPAAAAZHJzL2Rvd25yZXYueG1sRE/bisIw&#10;EH0X/IcwC74sNrWoSNcoXmHZF2/7AUMz2xabSWlirX+/EQTf5nCuM192phItNa60rGAUxSCIM6tL&#10;zhX8XvbDGQjnkTVWlknBgxwsF/3eHFNt73yi9uxzEULYpaig8L5OpXRZQQZdZGviwP3ZxqAPsMml&#10;bvAewk0lkzieSoMlh4YCa9oUlF3PN6PgcjhOd/tywkl93a7G2WT9uftZKzX46FZfIDx1/i1+ub91&#10;mD9L4PlMuEAu/gEAAP//AwBQSwECLQAUAAYACAAAACEA2+H2y+4AAACFAQAAEwAAAAAAAAAAAAAA&#10;AAAAAAAAW0NvbnRlbnRfVHlwZXNdLnhtbFBLAQItABQABgAIAAAAIQBa9CxbvwAAABUBAAALAAAA&#10;AAAAAAAAAAAAAB8BAABfcmVscy8ucmVsc1BLAQItABQABgAIAAAAIQD5LBJnwgAAANwAAAAPAAAA&#10;AAAAAAAAAAAAAAcCAABkcnMvZG93bnJldi54bWxQSwUGAAAAAAMAAwC3AAAA9gIAAAAA&#10;">
            <v:path/>
            <v:fill on="t" focussize="0,0"/>
            <v:stroke on="f" weight="1pt"/>
            <v:imagedata o:title=""/>
            <o:lock v:ext="edit"/>
          </v:rect>
        </v:group>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89" o:spid="_x0000_s2074" o:spt="203" style="position:absolute;left:0pt;margin-top:29.75pt;height:32pt;width:157.5pt;mso-position-horizontal:left;mso-position-horizontal-relative:page;mso-position-vertical-relative:page;z-index:251673600;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6XEbwMAAA0KAAAOAAAAZHJzL2Uyb0RvYy54bWzcVsFuEzEQvSPxD5bvdHeTNE2jJlVoaYVU&#10;0YqCODteb7LCaxvb6aacEXDkxAkJwQ2JP0B8TstvMPaut0kIEi2oBy4brz0znnkz72V3ducFR2dM&#10;m1yKAU42YoyYoDLNxWSAnz45uNfDyFgiUsKlYAN8zgzeHd69s1OqPmvJqeQp0wiCCNMv1QBPrVX9&#10;KDJ0ygpiNqRiAg4zqQti4VVPolSTEqIXPGrFcTcqpU6VlpQZA7v71SEe+vhZxqg9zjLDLOIDDLlZ&#10;/9T+OXbPaLhD+hNN1DSndRrkBlkUJBdwaRNqn1iCZjr/JVSRUy2NzOwGlUUksyynzNcA1STxSjWH&#10;Ws6Ur2XSLyeqgQmgXcHpxmHpo7MTjfIUetfbxkiQApr049uri3dvkdsBfEo16YPZoVan6kTXG5Pq&#10;zZU8z3ThfqEYNPfInjfIsrlFFDahVXFrExpA4awTdztxDT2dQn+cW9Jub2EEp71ec/Sg9m4nwRUc&#10;XUpRuDVyyTW5lAqGyFzhZP4Op9MpUczDbxwAAadtKKPC6fL9m8sPXy8/vUbdCihv51BCdn5fuqrC&#10;voHNNWAlnThZrjog1o57gIeDq9vxUZqaSV9pYw+ZLJBbDLCGKffDR86OjK3gCSbuTiEPcs5hn/S5&#10;QCVEbAOeSycQnAvA1SFYpepX9pyzyu0xy2BKfHvdhucn2+ManRFgFqGUCRvS5AKsnVUG117HsbZ3&#10;rsxz9zrOjYe/WQrbOBe5kNrXu5J2+jyknFX2AYGqbgeBnY/nnh5boZNjmZ5Dg7WstMQoepBDG46I&#10;sSdEg3jAeIAg2mN4ZFwC3LJeYTSV+uW6fWcPswqnGJUgRgNsXsyIZhjxhwKmeDvpwOAj6186m1st&#10;eNGLJ+PFEzEr9iR0BSYLsvNLZ295WGZaFs9AN0fuVjgigsLdA2zDcs9WEgm6S9lo5I1ArxSxR+JU&#10;URfaoSzkaGZllvuZc2hV2NQoAhOdeNwKJaHUWro+frn4/hk13QLeNqoVRjuIRyNZjfYkcafj+gzz&#10;V0tPkoAqOha228vKc20WGsnz1BHRhV8ZRDsPg7hk5Si5QN8/J2lr3bQHkvr7pyRlFXc3QZpDaU1a&#10;XmLX87hqfWO5TgBum8e8kZ7f8vg/Zi21+t/z1v+xwjeHH4T6+8h91Cy+e55ffcUNfwIAAP//AwBQ&#10;SwMEFAAGAAgAAAAhAGuXOHndAAAABwEAAA8AAABkcnMvZG93bnJldi54bWxMj0FLw0AQhe+C/2EZ&#10;wZvdpGFFYzalFPVUBFtBvE2z0yQ0uxuy2yT9944ne3zzHu99U6xm24mRhtB6pyFdJCDIVd60rtbw&#10;tX97eAIRIjqDnXek4UIBVuXtTYG58ZP7pHEXa8ElLuSooYmxz6UMVUMWw8L35Ng7+sFiZDnU0gw4&#10;cbnt5DJJHqXF1vFCgz1tGqpOu7PV8D7htM7S13F7Om4uP3v18b1NSev7u3n9AiLSHP/D8IfP6FAy&#10;08GfnQmi08CPRA3qWYFgN0sVHw4cW2YKZFnIa/7yFwAA//8DAFBLAQItABQABgAIAAAAIQC2gziS&#10;/gAAAOEBAAATAAAAAAAAAAAAAAAAAAAAAABbQ29udGVudF9UeXBlc10ueG1sUEsBAi0AFAAGAAgA&#10;AAAhADj9If/WAAAAlAEAAAsAAAAAAAAAAAAAAAAALwEAAF9yZWxzLy5yZWxzUEsBAi0AFAAGAAgA&#10;AAAhANK3pcRvAwAADQoAAA4AAAAAAAAAAAAAAAAALgIAAGRycy9lMm9Eb2MueG1sUEsBAi0AFAAG&#10;AAgAAAAhAGuXOHndAAAABwEAAA8AAAAAAAAAAAAAAAAAyQUAAGRycy9kb3ducmV2LnhtbFBLBQYA&#10;AAAABAAEAPMAAADTBgAAAAA=&#10;">
          <o:lock v:ext="edit"/>
          <v:shape id="_x0000_s2076" o:spid="_x0000_s2076"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p+ExgAAANwAAAAPAAAAZHJzL2Rvd25yZXYueG1sRI9Pa8JA&#10;EMXvhX6HZQq91Y1CRVNXkYBYih78c/E2zY5JMDsbs1tN/fTOQfA2w3vz3m8ms87V6kJtqDwb6PcS&#10;UMS5txUXBva7xccIVIjIFmvPZOCfAsymry8TTK2/8oYu21goCeGQooEyxibVOuQlOQw93xCLdvSt&#10;wyhrW2jb4lXCXa0HSTLUDiuWhhIbykrKT9s/Z+AnW6xx8ztwo1udLVfHeXPeHz6NeX/r5l+gInXx&#10;aX5cf1vBHwu+PCMT6OkdAAD//wMAUEsBAi0AFAAGAAgAAAAhANvh9svuAAAAhQEAABMAAAAAAAAA&#10;AAAAAAAAAAAAAFtDb250ZW50X1R5cGVzXS54bWxQSwECLQAUAAYACAAAACEAWvQsW78AAAAVAQAA&#10;CwAAAAAAAAAAAAAAAAAfAQAAX3JlbHMvLnJlbHNQSwECLQAUAAYACAAAACEAgZ6fhMYAAADcAAAA&#10;DwAAAAAAAAAAAAAAAAAHAgAAZHJzL2Rvd25yZXYueG1sUEsFBgAAAAADAAMAtwAAAPoC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75"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xrNwwAAANwAAAAPAAAAZHJzL2Rvd25yZXYueG1sRE/bisIw&#10;EH1f8B/CCL6IpsoqWk2Lugriy66XDxiasS02k9JE7f79RhD2bQ7nOsu0NZV4UONKywpGwwgEcWZ1&#10;ybmCy3k3mIFwHlljZZkU/JKDNOl8LDHW9slHepx8LkIIuxgVFN7XsZQuK8igG9qaOHBX2xj0ATa5&#10;1A0+Q7ip5DiKptJgyaGhwJo2BWW3090oOH//TLe7csLj+va1+swm6/72sFaq121XCxCeWv8vfrv3&#10;Osyfj+D1TLhAJn8AAAD//wMAUEsBAi0AFAAGAAgAAAAhANvh9svuAAAAhQEAABMAAAAAAAAAAAAA&#10;AAAAAAAAAFtDb250ZW50X1R5cGVzXS54bWxQSwECLQAUAAYACAAAACEAWvQsW78AAAAVAQAACwAA&#10;AAAAAAAAAAAAAAAfAQAAX3JlbHMvLnJlbHNQSwECLQAUAAYACAAAACEAjCcazcMAAADcAAAADwAA&#10;AAAAAAAAAAAAAAAHAgAAZHJzL2Rvd25yZXYueG1sUEsFBgAAAAADAAMAtwAAAPcCAAAAAA==&#10;">
            <v:path/>
            <v:fill on="t" focussize="0,0"/>
            <v:stroke on="f" weight="1pt"/>
            <v:imagedata o:title=""/>
            <o:lock v:ext="edit"/>
          </v:rect>
        </v:group>
      </w:pict>
    </w:r>
    <w:r>
      <w:pict>
        <v:group id="组合 192" o:spid="_x0000_s2070" o:spt="203" style="position:absolute;left:0pt;margin-left:0pt;margin-top:0pt;height:58.95pt;width:596.5pt;mso-position-horizontal-relative:page;mso-position-vertical-relative:page;z-index:251672576;mso-width-relative:page;mso-height-relative:page;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msILwUAAA8XAAAOAAAAZHJzL2Uyb0RvYy54bWzsWM1uJDUQviPxDlYfkchMT7rnT5msoiyJ&#10;kLJsRBaxHJ1u90xL3XZjezITznvgxp73goS48AgogqchwGNQZbcdZ3ZIJwtCgDKHnrZdVa76yvXT&#10;3nuyritywaQqBZ9F8U4/IoxnIi/5fBZ99uLow3FElKY8p5XgbBZdMhU92X//vb1VM2UDsRBVziQB&#10;IVxNV80sWmjdTHs9lS1YTdWOaBiHxULImmoYynkvl3QF0uuqN+j3h72VkHkjRcaUgtmndjHaN/KL&#10;gmX6eVEopkk1i0A3bZ7SPM/x2dvfo9O5pM2izFo16DtoUdOSw6Ze1FOqKVnK8i1RdZlJoUShdzJR&#10;90RRlBkzNoA1cX/DmmMplo2xZT5dzRsPE0C7gdM7i80+uTiVpMzBd5NBRDitwUm/Xb26fv01wRnA&#10;Z9XMp0B2LJuz5lS2E3M7QpPXhazxH4wha4PspUeWrTXJYHKUjtI0BQdksDZKxsNhaqHPFuAfZBuP&#10;44jAYtr3Kx+1zHE82W1Z43g0Qcae27aH2nllVg2cInUDlPprQJ0taMMM/goR8EDteqC+/eH6p+9I&#10;C5Mh8hipqQK4tgDkLI3T3bEFwaEEhg5Si1GcDG/ZSaeNVPqYiZrgyyyScLTNiaMXJ0pbSBwJbqpE&#10;VeZHZVWZAYYTO6wkuaAQCDTLGNeJYa+W9TOR2/lhH35WJZhGxxjyxE0D6iYwUZLxwa1NKo5bcYGb&#10;Wn1wBhzkkDBv+rJiSFfxT1kBBw9cPzCKeMmhjrFdWtCc2en0T3UxAlFyAft72a2AbfbHLcAtPbIy&#10;kzE8c/8uxayJnsPsLLj2zHXJhdwmoNJ+Z0vvQLLQIErnIr+E0yaFzVeqyY5K8PoJVfqUSkhQEA6Q&#10;dPVzeBSVWM0i0b5FZCHkV9vmkR7CAVYjsoKEN4vUl0sqWUSqjzkEyiROEsyQZpCkowEMZLhyHq7w&#10;ZX0o4ChB0IJ25hXpdeVeCynqzyE3H+CusER5BnvPokxLNzjUNhFDds/YwYEhg6zYUH3Cz5oMhSOq&#10;XBwstShKc8hv0GlRg3DHFPWPxH3i4v6Xq6tfX31z/f2b33/+ERPALh4lVAKyRHcCiPvxaGSS3XBs&#10;ohwOXpvqBsN4YhPAeGiyik90dJotbQJATFzQQ8HJIfxxap632TsTnKtSs5eAelFXcFo+6JF0kpIV&#10;MeJB1S3UX4TUMVmQVoEtpC/B6V4wiuyQHJL375YMJeghkkNy0Pdu2ZC1vex+h8ohbadgOBZecDfO&#10;IXWAMzjau5IubEoHn6956154gxiCym+TUiMUVs3Q11A83RCcadMTcKG3O5ht5fXMLj3djxl8EO7s&#10;Tu39mAHnkNnEESBxP2ZAMmROQputkBY7rJXYAFamAdSQp6B+RgQawHPkgdpKNULuXgkkVBuJC2hM&#10;IBBxoYYU+0IYEo3Qg6fN/g6tm/WKh3RWECjqfOKW3X9jxHmyNu7AAEfg/i0hxCkI66La1M7JyCqh&#10;mD0baLSp4t56BC1IMreq+0Z51mtn9y2qxx6geOwB/tc9AAS9/Uja7AFM+nlAD5AMbQ/gP3h8D7Cb&#10;uI+AuG++ECAu3UdWGJ8PbgKGw3FH3QubACzV8cB9qL3dXoRl/YFdQNwlOyzs95AdkqPKHZqH1f0h&#10;ncA9RIfVvRvukDqEBBz+2Az8G5sBEw/bugHwtanLrsh3dgOxo3SV2f1vtAMuAjv6gU6yTQXddn9X&#10;Q/B4p4B3Kq4perxTCG8O/pN3CuZmEW5dTYvc3hDjtW44NncQN/fY+38AAAD//wMAUEsDBBQABgAI&#10;AAAAIQDBeXuC3AAAAAYBAAAPAAAAZHJzL2Rvd25yZXYueG1sTI/BTsMwEETvSP0Haytxo04Lom2I&#10;UwGCG6hqSQtHN17iiHgdbDcNf4/DpVxWO5rV7Jts1ZuGdeh8bUnAdJIAQyqtqqkSULw9Xy2A+SBJ&#10;ycYSCvhBD6t8dJHJVNkTbbDbhorFEPKpFKBDaFPOfanRSD+xLVL0Pq0zMkTpKq6cPMVw0/BZktxy&#10;I2uKH7Rs8VFj+bU9GgGz+e7GP32064fX3fe+e3kvtKsKIS7H/f0dsIB9OB/DgB/RIY9MB3sk5Vkj&#10;IBYJf3PwpsvrqA/DNl8CzzP+Hz//BQAA//8DAFBLAQItABQABgAIAAAAIQC2gziS/gAAAOEBAAAT&#10;AAAAAAAAAAAAAAAAAAAAAABbQ29udGVudF9UeXBlc10ueG1sUEsBAi0AFAAGAAgAAAAhADj9If/W&#10;AAAAlAEAAAsAAAAAAAAAAAAAAAAALwEAAF9yZWxzLy5yZWxzUEsBAi0AFAAGAAgAAAAhAOpKawgv&#10;BQAADxcAAA4AAAAAAAAAAAAAAAAALgIAAGRycy9lMm9Eb2MueG1sUEsBAi0AFAAGAAgAAAAhAMF5&#10;e4LcAAAABgEAAA8AAAAAAAAAAAAAAAAAiQcAAGRycy9kb3ducmV2LnhtbFBLBQYAAAAABAAEAPMA&#10;AACSCAAAAAA=&#10;">
          <o:lock v:ext="edit"/>
          <v:rect id="矩形 2" o:spid="_x0000_s2073"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GO1wQAAANwAAAAPAAAAZHJzL2Rvd25yZXYueG1sRE/bisIw&#10;EH0X/Icwwr5pqoJo1yheEFwFZd39gKGZNsVmUpqo3b/fCIJvczjXmS9bW4k7Nb50rGA4SEAQZ06X&#10;XCj4/dn1pyB8QNZYOSYFf+Rhueh25phq9+Bvul9CIWII+xQVmBDqVEqfGbLoB64mjlzuGoshwqaQ&#10;usFHDLeVHCXJRFosOTYYrGljKLteblbBPlsdx8Xo67TOp+fJdXtikx9YqY9eu/oEEagNb/HLvddx&#10;/mwMz2fiBXLxDwAA//8DAFBLAQItABQABgAIAAAAIQDb4fbL7gAAAIUBAAATAAAAAAAAAAAAAAAA&#10;AAAAAABbQ29udGVudF9UeXBlc10ueG1sUEsBAi0AFAAGAAgAAAAhAFr0LFu/AAAAFQEAAAsAAAAA&#10;AAAAAAAAAAAAHwEAAF9yZWxzLy5yZWxzUEsBAi0AFAAGAAgAAAAhALPgY7XBAAAA3AAAAA8AAAAA&#10;AAAAAAAAAAAABwIAAGRycy9kb3ducmV2LnhtbFBLBQYAAAAAAwADALcAAAD1AgAAAAA=&#10;">
            <v:path/>
            <v:fill on="t" focussize="0,0"/>
            <v:stroke on="f" weight="1pt"/>
            <v:imagedata o:title=""/>
            <o:lock v:ext="edit"/>
          </v:rect>
          <v:shape id="任意多边形 3" o:spid="_x0000_s2072"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t5vwAAAANwAAAAPAAAAZHJzL2Rvd25yZXYueG1sRE9LawIx&#10;EL4X+h/CFLzVrCI+VqOUguCtdS30OmzGZNnNZEmiu/33TaHgbT6+5+wOo+vEnUJsPCuYTQsQxLXX&#10;DRsFX5fj6xpETMgaO8+k4IciHPbPTzsstR/4TPcqGZFDOJaowKbUl1LG2pLDOPU9ceauPjhMGQYj&#10;dcAhh7tOzotiKR02nBss9vRuqW6rm1OAq++hWgXz+dGujbX6tKznLSo1eRnftiASjekh/nefdJ6/&#10;WcDfM/kCuf8FAAD//wMAUEsBAi0AFAAGAAgAAAAhANvh9svuAAAAhQEAABMAAAAAAAAAAAAAAAAA&#10;AAAAAFtDb250ZW50X1R5cGVzXS54bWxQSwECLQAUAAYACAAAACEAWvQsW78AAAAVAQAACwAAAAAA&#10;AAAAAAAAAAAfAQAAX3JlbHMvLnJlbHNQSwECLQAUAAYACAAAACEAIU7eb8AAAADcAAAADwAAAAAA&#10;AAAAAAAAAAAHAgAAZHJzL2Rvd25yZXYueG1sUEsFBgAAAAADAAMAtwAAAPQCAAAAAA==&#10;" path="m595,1l2619,0,2619,862,0,862,595,1xe">
            <v:path arrowok="t" o:connecttype="custom" o:connectlocs="595,1;2619,0;2619,862;0,862;595,1" o:connectangles="0,0,0,0,0"/>
            <v:fill on="t" focussize="0,0"/>
            <v:stroke on="f" weight="1pt" joinstyle="miter"/>
            <v:imagedata o:title=""/>
            <o:lock v:ext="edit"/>
          </v:shape>
          <v:shape id="任意多边形 4" o:spid="_x0000_s2071"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vCBwwAAANwAAAAPAAAAZHJzL2Rvd25yZXYueG1sRE9Na8JA&#10;EL0X/A/LFLwU3SgomrqKNAheejDm4HGanSbB7GzY3Zror+8Khd7m8T5nsxtMK27kfGNZwWyagCAu&#10;rW64UlCcD5MVCB+QNbaWScGdPOy2o5cNptr2fKJbHioRQ9inqKAOoUul9GVNBv3UdsSR+7bOYIjQ&#10;VVI77GO4aeU8SZbSYMOxocaOPmoqr/mPUdB3xeltbZLPJT++rlnmbD7LLkqNX4f9O4hAQ/gX/7mP&#10;Os5fL+D5TLxAbn8BAAD//wMAUEsBAi0AFAAGAAgAAAAhANvh9svuAAAAhQEAABMAAAAAAAAAAAAA&#10;AAAAAAAAAFtDb250ZW50X1R5cGVzXS54bWxQSwECLQAUAAYACAAAACEAWvQsW78AAAAVAQAACwAA&#10;AAAAAAAAAAAAAAAfAQAAX3JlbHMvLnJlbHNQSwECLQAUAAYACAAAACEA6irwgcMAAADcAAAADwAA&#10;AAAAAAAAAAAAAAAHAgAAZHJzL2Rvd25yZXYueG1sUEsFBgAAAAADAAMAtwAAAPcCAAAAAA==&#10;" path="m668,0l2619,10,2619,1265,0,1265,668,0xe">
            <v:path arrowok="t" o:connecttype="custom" o:connectlocs="598,0;2345,9;2345,1108;0,1108;598,0" o:connectangles="0,0,0,0,0"/>
            <v:fill on="t" focussize="0,0"/>
            <v:stroke on="f" weight="1pt" joinstyle="miter"/>
            <v:imagedata o:title=""/>
            <o:lock v:ext="edit"/>
          </v:shape>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23" o:spid="_x0000_s2065" o:spt="203" style="position:absolute;left:0pt;margin-left:-2.15pt;margin-top:59pt;height:32.8pt;width:596.85pt;mso-position-horizontal-relative:page;mso-position-vertical-relative:page;z-index:251686912;mso-width-relative:page;mso-height-relative:page;" coordorigin="881,505" coordsize="11971,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0aVMQUAAAoXAAAOAAAAZHJzL2Uyb0RvYy54bWzsWM1uJDUQviPxDlYfkdiZnsz0/CiTVZQl&#10;EVJgI7KI5ei43dMtdduN7clMOO+BG5y5ICEuPAKK4GkI8BhU2e2OMzubniwIAcocetp2VbnqK9dP&#10;e//puirJJVe6kGIexU/6EeGCybQQi3n06Yvj9ycR0YaKlJZS8Hl0xXX09ODdd/ZX9YwPZC7LlCsC&#10;QoSerep5lBtTz3o9zXJeUf1E1lzAYiZVRQ0M1aKXKroC6VXZG/T7SW8lVVorybjWMPvMLUYHVn6W&#10;cWaeZ5nmhpTzCHQz9qns8wKfvYN9OlsoWucFa9Sgb6FFRQsBm7ainlFDyVIVr4mqCqaklpl5wmTV&#10;k1lWMG5tAGvi/oY1J0oua2vLYrZa1C1MAO0GTm8tln18eaZIkc6jwV5EBK3AR79fv7r55isCE4DO&#10;ql7MgOhE1ef1mWomFm6EBq8zVeE/mELWFterFle+NoTB5Hg0nk6no4gwWBvGyShpgGc5eAfZJpM4&#10;IrA46o+cS1j+QcMcx9MxLCJrHI+nuNzz2/ZQu1aZVQ1nSN/CpP8aTOc5rblFXyMCHqZhC9N3P978&#10;/D0ZOJQsTQuRnmlAaws+3tB4tDdxlnqQwM5BA1E8TO6YSWe10uaEy4rgyzxScK7tcaOXp9o4RDwJ&#10;bqplWaTHRVnaAcYSPyoVuaQQBZQxLszQspfL6iOZuvmkDz+nEkyjXyz50E8D6DYqUZJ1wZ1NSoFb&#10;CYmbOn1wBvzjkbBv5qrkSFeKT3gGpw48P7CKtJJDHWO3lNOUu+nRG3WxAlFyBvu3shsB2+yPG4Ab&#10;emTlNl20zP37FHMmthx2ZylMy1wVQqptAkrT7uzoPUgOGkTpQqZXcNiUdMlK1+y4AK+fUm3OqILs&#10;BHkMMq55Do+slKt5JJu3iORSfbltHukhGmA1IivIdvNIf7Gkikek/FBAnEzj4RDTox0MR+MBDFS4&#10;chGuiGV1JOEoQViCdvYV6U3pXzMlq88gMR/irrBEBYO95xEzyg+OjMvCkNoZPzy0ZJASa2pOxXnN&#10;UDiiKuTh0sissIf8Fp0GNYh2zFD/RNhDaLrs+Ov19W+vvr754ds/fvkJ47/JkjvGf9yPx2Ob6pKJ&#10;DXI4d02iGyTx1OW5SWKTSpvm6IwtXfwjJD7modikEP04tUgb5ZgUQheGvwTQs6qEw/Jej4ymI7Ii&#10;Vjyc2y3Un4fUMclJo8AW0pfg81YwiuyQHJL375c8eJjkkBz0vV821LZW636HyiFtp2CoBq3gbpxD&#10;6gBncHTrSpq7jA4+X4vGvfAGIQRV3+WkWmqsmaGvoTj6ITjTZSfgQm93MIODQmafnXZjBh+EzP7U&#10;7sYMOIfMNo4Aid2YAcmQeRja7IQ02GGpxOavtM2fgTQF5TMi0PxduGIHGQchR6jwlUA+dZGYQ1sC&#10;gYgLFWTYF9KSGIQePG3392jdrpcipHOCQFHvE7/s/2srriVr4g4M8AT+3xFCnIKwLqpN7bwMVkrN&#10;3dlAS20Rb61H0IIkc6e4b1Rns/Z236F6bAGyxxbg/9wCJG9qAWz2wTYEPhO6PwHi/jBxLUD7tdO2&#10;AHsT/wkQ98dNTvNfWGF4PrgHSJJJR9kLewCs1PEgab7FXu8uwqr+wCYg7pId1vUdZIfkqHKH5mFx&#10;f0gjsIPosLh3wx1Sh5BAHn7sBf6NvYCNh23NAPjalmVf4zubgdhT+sLs/ze6AR+BHe1AJ9mmgn67&#10;v6sfeLxRwBsV3xM93iiE9wb/yRsFe60IF662Q24uh/FGNxzbG4jbK+yDPwEAAP//AwBQSwMEFAAG&#10;AAgAAAAhAFBcgfThAAAACwEAAA8AAABkcnMvZG93bnJldi54bWxMj0FLw0AQhe+C/2EZwVu7WVNL&#10;jNmUUtRTEWwF8bZNpklodjZkt0n6752e7G1m3uPN97LVZFsxYO8bRxrUPAKBVLiyoUrD9/59loDw&#10;wVBpWkeo4YIeVvn9XWbS0o30hcMuVIJDyKdGQx1Cl0rpixqt8XPXIbF2dL01gde+kmVvRg63rXyK&#10;oqW0piH+UJsONzUWp93ZavgYzbiO1duwPR03l9/98+fPVqHWjw/T+hVEwCn8m+GKz+iQM9PBnan0&#10;otUwW8Ts5LtKuNPVoJKXBYgDT0m8BJln8rZD/gcAAP//AwBQSwECLQAUAAYACAAAACEAtoM4kv4A&#10;AADhAQAAEwAAAAAAAAAAAAAAAAAAAAAAW0NvbnRlbnRfVHlwZXNdLnhtbFBLAQItABQABgAIAAAA&#10;IQA4/SH/1gAAAJQBAAALAAAAAAAAAAAAAAAAAC8BAABfcmVscy8ucmVsc1BLAQItABQABgAIAAAA&#10;IQD2u0aVMQUAAAoXAAAOAAAAAAAAAAAAAAAAAC4CAABkcnMvZTJvRG9jLnhtbFBLAQItABQABgAI&#10;AAAAIQBQXIH04QAAAAsBAAAPAAAAAAAAAAAAAAAAAIsHAABkcnMvZG93bnJldi54bWxQSwUGAAAA&#10;AAQABADzAAAAmQgAAAAA&#10;">
          <o:lock v:ext="edit"/>
          <v:rect id="矩形 2" o:spid="_x0000_s2068"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Q6xAAAANsAAAAPAAAAZHJzL2Rvd25yZXYueG1sRI/RasJA&#10;FETfC/2H5Qq+1Y1RRGI2YlsKWsFS6wdcsjfZYPZuyG41/r1bEPo4zMwZJl8PthUX6n3jWMF0koAg&#10;Lp1uuFZw+vl4WYLwAVlj65gU3MjDunh+yjHT7srfdDmGWkQI+wwVmBC6TEpfGrLoJ64jjl7leosh&#10;yr6WusdrhNtWpkmykBYbjgsGO3ozVJ6Pv1bBttzsZ3W6O7xWy6/F+f3ApvpkpcajYbMCEWgI/+FH&#10;e6sVpHP4+xJ/gCzuAAAA//8DAFBLAQItABQABgAIAAAAIQDb4fbL7gAAAIUBAAATAAAAAAAAAAAA&#10;AAAAAAAAAABbQ29udGVudF9UeXBlc10ueG1sUEsBAi0AFAAGAAgAAAAhAFr0LFu/AAAAFQEAAAsA&#10;AAAAAAAAAAAAAAAAHwEAAF9yZWxzLy5yZWxzUEsBAi0AFAAGAAgAAAAhAMr7xDrEAAAA2wAAAA8A&#10;AAAAAAAAAAAAAAAABwIAAGRycy9kb3ducmV2LnhtbFBLBQYAAAAAAwADALcAAAD4AgAAAAA=&#10;">
            <v:path/>
            <v:fill on="t" focussize="0,0"/>
            <v:stroke on="f" weight="1pt"/>
            <v:imagedata o:title=""/>
            <o:lock v:ext="edit"/>
          </v:rect>
          <v:shape id="任意多边形 3" o:spid="_x0000_s2067"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ExVwQAAANsAAAAPAAAAZHJzL2Rvd25yZXYueG1sRI/NasMw&#10;EITvgb6D2EJviRxDfnCjhFAo5JbELfS6WFvJ2FoZSY3dt68CgR6HmfmG2R0m14sbhdh6VrBcFCCI&#10;G69bNgo+P97nWxAxIWvsPZOCX4pw2D/NdlhpP/KVbnUyIkM4VqjApjRUUsbGksO48ANx9r59cJiy&#10;DEbqgGOGu16WRbGWDlvOCxYHerPUdPWPU4Cbr7HeBHM5d1tjrT6tm7JDpV6ep+MriERT+g8/2iet&#10;oFzB/Uv+AXL/BwAA//8DAFBLAQItABQABgAIAAAAIQDb4fbL7gAAAIUBAAATAAAAAAAAAAAAAAAA&#10;AAAAAABbQ29udGVudF9UeXBlc10ueG1sUEsBAi0AFAAGAAgAAAAhAFr0LFu/AAAAFQEAAAsAAAAA&#10;AAAAAAAAAAAAHwEAAF9yZWxzLy5yZWxzUEsBAi0AFAAGAAgAAAAhAE3gTFXBAAAA2wAAAA8AAAAA&#10;AAAAAAAAAAAABwIAAGRycy9kb3ducmV2LnhtbFBLBQYAAAAAAwADALcAAAD1AgAAAAA=&#10;" path="m595,1l2619,0,2619,862,0,862,595,1xe">
            <v:path arrowok="t" o:connecttype="custom" o:connectlocs="595,1;2619,0;2619,862;0,862;595,1" o:connectangles="0,0,0,0,0"/>
            <v:fill on="t" focussize="0,0"/>
            <v:stroke on="f" weight="1pt" joinstyle="miter"/>
            <v:imagedata o:title=""/>
            <o:lock v:ext="edit"/>
          </v:shape>
          <v:shape id="任意多边形 4" o:spid="_x0000_s2066" style="position:absolute;left:10467;top:505;height:1107;width:238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nDxAAAANsAAAAPAAAAZHJzL2Rvd25yZXYueG1sRI9Ba8JA&#10;FITvBf/D8oReim70EGp0FTEIXjyYevD4zD6TYPZt2F1N6q/vFgo9DjPzDbPaDKYVT3K+saxgNk1A&#10;EJdWN1wpOH/tJ58gfEDW2FomBd/kYbMeva0w07bnEz2LUIkIYZ+hgjqELpPSlzUZ9FPbEUfvZp3B&#10;EKWrpHbYR7hp5TxJUmmw4bhQY0e7msp78TAK+u58+liY5Jjy63rPc2eLWX5R6n08bJcgAg3hP/zX&#10;PmgF8xR+v8QfINc/AAAA//8DAFBLAQItABQABgAIAAAAIQDb4fbL7gAAAIUBAAATAAAAAAAAAAAA&#10;AAAAAAAAAABbQ29udGVudF9UeXBlc10ueG1sUEsBAi0AFAAGAAgAAAAhAFr0LFu/AAAAFQEAAAsA&#10;AAAAAAAAAAAAAAAAHwEAAF9yZWxzLy5yZWxzUEsBAi0AFAAGAAgAAAAhAH8KWcPEAAAA2wAAAA8A&#10;AAAAAAAAAAAAAAAABwIAAGRycy9kb3ducmV2LnhtbFBLBQYAAAAAAwADALcAAAD4AgAAAAA=&#10;" path="m668,0l2619,10,2619,1265,0,1265,668,0xe">
            <v:path arrowok="t" o:connecttype="custom" o:connectlocs="608,0;2385,9;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793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UAUeQIAACMFAAAOAAAAZHJzL2Uyb0RvYy54bWysVM1uEzEQviPxDpbvZDebn9Komyq0CkKK&#10;aEVBnB2v3aywPcZ2shseAN6AExfuPFefg7E3m1aFSxGXXXvmm79vZnx23mpFdsL5GkxJh4OcEmE4&#10;VLW5LemH98sXLynxgZmKKTCipHvh6fn8+bOzxs5EARtQlXAEnRg/a2xJNyHYWZZ5vhGa+QFYYVAp&#10;wWkW8Opus8qxBr1rlRV5Ps0acJV1wIX3KL3slHSe/EspeLiS0otAVEkxt5C+Ln3X8ZvNz9js1jG7&#10;qfkhDfYPWWhWGwx6dHXJAiNbV//hStfcgQcZBhx0BlLWXKQasJph/qiamw2zItWC5Hh7pMn/P7f8&#10;7e7akboqaXFCiWEae3T3/dvdj193P7+SaeSnsX6GsBuLwNC+ghb73Ms9CmPZrXQ6/rEggnpken9k&#10;V7SBcBQWp6PRpCgo4agb5yf5aBLdZPfW1vnwWoAm8VBSh91LpLLdyocO2kNiMAPLWqnUQWVIU9Lp&#10;aJIng6MGnSuDMWINXa7pFPZKRA/KvBMSq08pR0GaO3GhHNkxnBjGuTAhVZs8ITqiJIZ9iuEBH01F&#10;msmnGB8tUmQw4WisawMu1fso7epTn7Ls8D0DXd2RgtCu29T2076Va6j22GEH3Y54y5c1tmHFfLhm&#10;DpcCm4qLHq7wIxUg3XA4UbIB9+Vv8ojHWUUtJQ0uWUn95y1zghL1xuAUnw7H47iV6TKenBR4cQ81&#10;64cas9UXgF0Z4pNieTpGfFD9UTrQH/E9WMSoqGKGY+yShv54EbrVx/eEi8UigXAPLQsrc2N5dB1Z&#10;NrDYBpB1mrnIVsfNgUXcxDS1h1cjrvrDe0Ldv23z3wAAAP//AwBQSwMEFAAGAAgAAAAhAM4fZk3i&#10;AAAACgEAAA8AAABkcnMvZG93bnJldi54bWxMj01rwkAURfcF/8PwhO50koiSpJmIBKRQ2oXWTXeT&#10;zDMJnY80M2raX9/XVV0+3uHec4vtZDS74uh7ZwXEywgY2sap3rYCTu/7RQrMB2mV1M6igG/0sC1n&#10;D4XMlbvZA16PoWUUYn0uBXQhDDnnvunQSL90A1r6nd1oZKBzbLka5Y3CjeZJFG24kb2lhk4OWHXY&#10;fB4vRsBLtX+Thzox6Y+unl/Pu+Hr9LEW4nE+7Z6ABZzCPwx/+qQOJTnV7mKVZ1rAIt6kCbECVusY&#10;GBFJtqIxtYAsS4CXBb+fUP4CAAD//wMAUEsBAi0AFAAGAAgAAAAhALaDOJL+AAAA4QEAABMAAAAA&#10;AAAAAAAAAAAAAAAAAFtDb250ZW50X1R5cGVzXS54bWxQSwECLQAUAAYACAAAACEAOP0h/9YAAACU&#10;AQAACwAAAAAAAAAAAAAAAAAvAQAAX3JlbHMvLnJlbHNQSwECLQAUAAYACAAAACEAhjlAFHkCAAAj&#10;BQAADgAAAAAAAAAAAAAAAAAuAgAAZHJzL2Uyb0RvYy54bWxQSwECLQAUAAYACAAAACEAzh9mTeIA&#10;AAAKAQAADwAAAAAAAAAAAAAAAADTBAAAZHJzL2Rvd25yZXYueG1sUEsFBgAAAAAEAAQA8wAAAOIF&#10;A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49" o:spid="_x0000_s2060" o:spt="203" style="position:absolute;left:0pt;margin-left:2.5pt;margin-top:28.75pt;height:35.25pt;width:594.8pt;mso-position-horizontal-relative:page;mso-position-vertical-relative:page;z-index:251684864;mso-width-relative:page;mso-height-relative:page;"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o0kLgUAAAoXAAAOAAAAZHJzL2Uyb0RvYy54bWzsWE9vIzUUvyPxHaw5ItFkkskkjZquqi6t&#10;kLpsRRexHF2PJxlpxh5sp0k574Ebe94LEuLCR0AVfBoKfAzes8dTNxs67YIQoOaQGdvvPb/3e35/&#10;xntP1lVJLrjShRSzKN7pR4QLJrNCzGfRZy+OPpxERBsqMlpKwWfRJdfRk/3339tb1VM+kAtZZlwR&#10;ECL0dFXPooUx9bTX02zBK6p3ZM0FLOZSVdTAUM17maIrkF6VvUG/n/ZWUmW1koxrDbNP3WK0b+Xn&#10;OWfmeZ5rbkg5i0A3Y/+V/T/H/97+Hp3OFa0XBWvUoO+gRUULAZu2op5SQ8lSFW+JqgqmpJa52WGy&#10;6sk8Lxi3NoA1cX/DmmMll7W1ZT5dzesWJoB2A6d3Fss+uThVpMhmUbIbEUEr8NFvV6+uX39NYALQ&#10;WdXzKRAdq/qsPlXNxNyN0OB1rip8gilkbXG9bHHla0MYTI5Ho+FuCvAzWEuScToeOeDZAryDbJNJ&#10;HBFYHPXblY8a5jjeHTascTy2OvX8tj3UrlVmVcMZ0jcw6b8G09mC1tyirxGBBqYR6NLA9O0P1z99&#10;RwYOJUvTQqSnGtDago83NB4NJw4DDxLYORg5iOIkxbXWTDqtlTbHXFYEX2aRgnNtjxu9ONHGkXoS&#10;3FTLssiOirK0A4wlflgqckEhCihjXJjEspfL6pnM3Hzah59TCabRL5Y88dOgjY1KlGR1u7VJKXAr&#10;IXFTpw/OgH88EvbNXJYc6UrxKc/h1IHnB1aRVnKoY+yWFjTjbnr0p7pYgSg5h/1b2Y2AbfbHDcAN&#10;PbJymy5a5v5dijkTWw67sxSmZa4KIdU2AaVpd3b0HiQHDaJ0LrNLOGxKumSla3ZUgNdPqDanVEF2&#10;ghMIGdc8h7+8lKtZJJu3iCyk+mrbPNJDNMBqRFaQ7WaR/nJJFY9I+bGAONmNkwTEGjtIRuMBDFS4&#10;ch6uiGV1KOEoQcyCdvYV6U3pX3Mlq88hMR/grrBEBYO9ZxEzyg8OjcvCkNoZPziwZJASa2pOxFnN&#10;UDiiKuTB0si8sIf8Bp0GNYh2zFD/RNiDrS7sf7m6+vXVN9ffv/n95x8x/od4klAHyBHd8R/34/HY&#10;prp0YoMczl2T6AZpDCkYU+QktUkliH+2dPGPkPiYh2KTQfTj1DxrlGNSCF0Y/hJAz6sSDssHPTLa&#10;HZEVseJB1S3UX4TUMVmQRoEtpC8Bh1YwiuyQHJL375Y8eJjkkBz0vVv2MJDd71A5pO0UnASCu3EO&#10;qQOcwdGtK+nCZXQ6ZWvRuBfeIISg6rucVEuNNTP0NRwaPwRnuuwEXOjtDmZwUMjss9P9mMEHIbM/&#10;tfdjBpxDZhtHgMT9mAHJkDkJbXZCGuywVGLzV9rmz0CagvIZEWj+zpEHSis1CLl/JZBPXSQuXCDi&#10;QgUZ9oW0JAahB0/b/T1aN+ulCOmcIFDU+8Qv+2dtxbVkN4HvCfzTEUKcgrAuqk3tvAxWSs3d2UCj&#10;bRFvrUfQgiRzq7hvVGez9nbfonpsAfLHFuD/3AJAttveAtjs84AWIEldC9B+7bQtwDDxnwBx334f&#10;QFj6L6wwPB/cA6TppKPshT0AVup4kDbfYm93F2FVf2ATEHfJDuv6PWSH5Khyh+ZhcX9II3AP0WFx&#10;74Y7pA4hAYc/9gL/xl7AxsO2ZgB8bcuyr/GdzUDsKX1h9s+NbsBHIBwJT+GfYTvQSbapoBfyd/UD&#10;jzcKeKPie6LHG4Xw3uA/eaNgrxXhwtV2yM3lMN7ohmN7A3Fzhb3/BwAAAP//AwBQSwMEFAAGAAgA&#10;AAAhAGVTAr/gAAAACQEAAA8AAABkcnMvZG93bnJldi54bWxMj0FPwkAQhe8m/ofNmHiTbdEi1m4J&#10;IeqJkAgmhNvQHdqG7mzTXdry711OepqZvJc338sWo2lET52rLSuIJxEI4sLqmksFP7vPpzkI55E1&#10;NpZJwZUcLPL7uwxTbQf+pn7rSxFC2KWooPK+TaV0RUUG3cS2xEE72c6gD2dXSt3hEMJNI6dRNJMG&#10;aw4fKmxpVVFx3l6Mgq8Bh+Vz/NGvz6fV9bBLNvt1TEo9PozLdxCeRv9nhht+QIc8MB3thbUTjYIk&#10;NPFhvCYgbnL89jIDcQzbdB6BzDP5v0H+CwAA//8DAFBLAQItABQABgAIAAAAIQC2gziS/gAAAOEB&#10;AAATAAAAAAAAAAAAAAAAAAAAAABbQ29udGVudF9UeXBlc10ueG1sUEsBAi0AFAAGAAgAAAAhADj9&#10;If/WAAAAlAEAAAsAAAAAAAAAAAAAAAAALwEAAF9yZWxzLy5yZWxzUEsBAi0AFAAGAAgAAAAhAAQS&#10;jSQuBQAAChcAAA4AAAAAAAAAAAAAAAAALgIAAGRycy9lMm9Eb2MueG1sUEsBAi0AFAAGAAgAAAAh&#10;AGVTAr/gAAAACQEAAA8AAAAAAAAAAAAAAAAAiAcAAGRycy9kb3ducmV2LnhtbFBLBQYAAAAABAAE&#10;APMAAACVCAAAAAA=&#10;">
          <o:lock v:ext="edit"/>
          <v:rect id="矩形 2" o:spid="_x0000_s2063"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rFEwQAAANsAAAAPAAAAZHJzL2Rvd25yZXYueG1sRE/dasIw&#10;FL4f+A7hCLtbUx0TqY2iG0K3geLPAxya06bYnJQm2u7tl4vBLj++/3wz2lY8qPeNYwWzJAVBXDrd&#10;cK3getm/LEH4gKyxdUwKfsjDZj15yjHTbuATPc6hFjGEfYYKTAhdJqUvDVn0ieuII1e53mKIsK+l&#10;7nGI4baV8zRdSIsNxwaDHb0bKm/nu1VQlNvv13r+edhVy+Pi9nFgU32xUs/TcbsCEWgM/+I/d6EV&#10;vMX18Uv8AXL9CwAA//8DAFBLAQItABQABgAIAAAAIQDb4fbL7gAAAIUBAAATAAAAAAAAAAAAAAAA&#10;AAAAAABbQ29udGVudF9UeXBlc10ueG1sUEsBAi0AFAAGAAgAAAAhAFr0LFu/AAAAFQEAAAsAAAAA&#10;AAAAAAAAAAAAHwEAAF9yZWxzLy5yZWxzUEsBAi0AFAAGAAgAAAAhAO3GsUTBAAAA2wAAAA8AAAAA&#10;AAAAAAAAAAAABwIAAGRycy9kb3ducmV2LnhtbFBLBQYAAAAAAwADALcAAAD1AgAAAAA=&#10;">
            <v:path/>
            <v:fill on="t" focussize="0,0"/>
            <v:stroke on="f" weight="1pt"/>
            <v:imagedata o:title=""/>
            <o:lock v:ext="edit"/>
          </v:rect>
          <v:shape id="任意多边形 3" o:spid="_x0000_s2062"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TkrwQAAANsAAAAPAAAAZHJzL2Rvd25yZXYueG1sRI9PawIx&#10;FMTvQr9DeIXeNKvgH7ZGkULBm7oVen1snsmym5clSd3tt28EocdhZn7DbPej68SdQmw8K5jPChDE&#10;tdcNGwXXr8/pBkRMyBo7z6TglyLsdy+TLZbaD3yhe5WMyBCOJSqwKfWllLG25DDOfE+cvZsPDlOW&#10;wUgdcMhw18lFUaykw4bzgsWePizVbfXjFOD6e6jWwZxP7cZYq4+retGiUm+v4+EdRKIx/Yef7aNW&#10;sJzD40v+AXL3BwAA//8DAFBLAQItABQABgAIAAAAIQDb4fbL7gAAAIUBAAATAAAAAAAAAAAAAAAA&#10;AAAAAABbQ29udGVudF9UeXBlc10ueG1sUEsBAi0AFAAGAAgAAAAhAFr0LFu/AAAAFQEAAAsAAAAA&#10;AAAAAAAAAAAAHwEAAF9yZWxzLy5yZWxzUEsBAi0AFAAGAAgAAAAhAGrdOSvBAAAA2wAAAA8AAAAA&#10;AAAAAAAAAAAABwIAAGRycy9kb3ducmV2LnhtbFBLBQYAAAAAAwADALcAAAD1AgAAAAA=&#10;" path="m595,1l2619,0,2619,862,0,862,595,1xe">
            <v:path arrowok="t" o:connecttype="custom" o:connectlocs="595,1;2619,0;2619,862;0,862;595,1" o:connectangles="0,0,0,0,0"/>
            <v:fill on="t" focussize="0,0"/>
            <v:stroke on="f" weight="1pt" joinstyle="miter"/>
            <v:imagedata o:title=""/>
            <o:lock v:ext="edit"/>
          </v:shape>
          <v:shape id="任意多边形 4" o:spid="_x0000_s2061"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yy9xQAAANsAAAAPAAAAZHJzL2Rvd25yZXYueG1sRI9Ba8JA&#10;FITvBf/D8gQvpW4UKjV1I2IQvPRg6sHja/Y1Ccm+Dburif76bqHQ4zAz3zCb7Wg6cSPnG8sKFvME&#10;BHFpdcOVgvPn4eUNhA/IGjvLpOBOHrbZ5GmDqbYDn+hWhEpECPsUFdQh9KmUvqzJoJ/bnjh639YZ&#10;DFG6SmqHQ4SbTi6TZCUNNhwXauxpX1PZFlejYOjPp+e1ST5W/Phq89zZYpFflJpNx907iEBj+A//&#10;tY9awesSfr/EHyCzHwAAAP//AwBQSwECLQAUAAYACAAAACEA2+H2y+4AAACFAQAAEwAAAAAAAAAA&#10;AAAAAAAAAAAAW0NvbnRlbnRfVHlwZXNdLnhtbFBLAQItABQABgAIAAAAIQBa9CxbvwAAABUBAAAL&#10;AAAAAAAAAAAAAAAAAB8BAABfcmVscy8ucmVsc1BLAQItABQABgAIAAAAIQBYNyy9xQAAANsAAAAP&#10;AAAAAAAAAAAAAAAAAAcCAABkcnMvZG93bnJldi54bWxQSwUGAAAAAAMAAwC3AAAA+QIAAAAA&#10;" path="m668,0l2619,10,2619,1265,0,1265,668,0xe">
            <v:path arrowok="t" o:connecttype="custom" o:connectlocs="598,0;2345,9;2345,1108;0,1108;598,0" o:connectangles="0,0,0,0,0"/>
            <v:fill on="t" focussize="0,0"/>
            <v:stroke on="f" weight="1pt" joinstyle="miter"/>
            <v:imagedata o:title=""/>
            <o:lock v:ext="edit"/>
          </v:shape>
        </v:group>
      </w:pict>
    </w:r>
    <w:r>
      <w:pict>
        <v:group id="组合 46" o:spid="_x0000_s2057" o:spt="203" style="position:absolute;left:0pt;margin-left:0pt;margin-top:29.75pt;height:32pt;width:280pt;mso-position-horizontal-relative:page;mso-position-vertical-relative:page;z-index:251685888;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mzyawMAAAoKAAAOAAAAZHJzL2Uyb0RvYy54bWzcVstuEzEU3SPxD5b3dGaSSZpGnVShpRVS&#10;RSsKYu14PMkIj21sJ5OyRsCSFSskBDsk/gDxOS2/wbXn0TYEiRbUBZuJx/fhe4/vOZntnWXB0YJp&#10;k0uR4GgjxIgJKtNcTBP89Mn+vQFGxhKREi4FS/ApM3hndPfOdqmGrCNnkqdMI0gizLBUCZ5Zq4ZB&#10;YOiMFcRsSMUEGDOpC2LhVU+DVJMSshc86IRhPyilTpWWlBkDu3uVEY98/ixj1B5lmWEW8QRDbdY/&#10;tX9O3DMYbZPhVBM1y2ldBrlBFQXJBRzaptojlqC5zn9JVeRUSyMzu0FlEcgsyynzPUA3UbjSzYGW&#10;c+V7mQ7LqWphAmhXcLpxWvpocaxRniY47mMkSAF39OPbq7N3bxFsADqlmg7B6UCrE3Ws641p9eYa&#10;Xma6cL/QClp6XE9bXNnSIgqb3V6vH4YAPwVbHPZjWHvg6Qxux4VF3e4mRmAdDFrTgyY66tWhEOji&#10;gubUwBXX1lIqGCFzgZL5O5ROZkQxD75xADQoQZkVSufv35x/+Hr+6TWqcfJuDiRkl/ela6rCzwwN&#10;bK7BKorD6GrTLWDhAM5xaPVjn6VtmQyVNvaAyQK5RYI1jLifPLI4NLZCp3FxZwq5n3Pu0eYClZCx&#10;C3BesUByLgBWB2BVql/ZU86cHxePWQYj4m/XbXhysl2u0YIArQilTNimTO/tvDI49jqBtb8LZZ64&#10;1wluI/zJUtg2uMiF1L7flbLT503JWeXfIFD17SCwy8nScyPyc+e2JjI9hRvWslISo+h+DvdwSIw9&#10;JhqkA0YV5NAewSPjEvCW9QqjmdQv1+07f5hVsGJUghQl2LyYE80w4g8FTPFWFMPgI+tf4t5mB170&#10;ZcvkskXMi10J1wKjBdX5pfO3vFlmWhbPQDXH7lQwEUHh7ATbZrlrK4EE1aVsPPZOoFaK2ENxoqhL&#10;7WAWcjy3Msv90F1gU8MITHTicRuUhL+YWrg+fjn7/hltNrwD2rai1Yx2ox2tYrXSE4VxXMlSQ8Mo&#10;2qpY2O1eFZ5rs9BInqeOiA64lUG0y2YQr3g5Sl6i75+TtLNu2huS+vNnJGUVd3sgy01rbVleYdfz&#10;uLr51nOdANw2j3krPb/l8X9MWmr1v6et/1+FDw4/CPXHkfuiufzuaX7xCTf6CQAA//8DAFBLAwQU&#10;AAYACAAAACEAQPcj3t4AAAAHAQAADwAAAGRycy9kb3ducmV2LnhtbEyPwWrDMBBE74X+g9hCb43s&#10;BIXGtRxCaHsKhSaFkptibWwTa2UsxXb+vttTe5ydYeZtvp5cKwbsQ+NJQzpLQCCV3jZUafg6vD09&#10;gwjRkDWtJ9RwwwDr4v4uN5n1I33isI+V4BIKmdFQx9hlUoayRmfCzHdI7J1970xk2VfS9mbkctfK&#10;eZIspTMN8UJtOtzWWF72V6fhfTTjZpG+DrvLeXs7HtTH9y5FrR8fps0LiIhT/AvDLz6jQ8FMJ38l&#10;G0SrgR+JGtRKgWBXLRM+nDg2XyiQRS7/8xc/AAAA//8DAFBLAQItABQABgAIAAAAIQC2gziS/gAA&#10;AOEBAAATAAAAAAAAAAAAAAAAAAAAAABbQ29udGVudF9UeXBlc10ueG1sUEsBAi0AFAAGAAgAAAAh&#10;ADj9If/WAAAAlAEAAAsAAAAAAAAAAAAAAAAALwEAAF9yZWxzLy5yZWxzUEsBAi0AFAAGAAgAAAAh&#10;AFxObPJrAwAACgoAAA4AAAAAAAAAAAAAAAAALgIAAGRycy9lMm9Eb2MueG1sUEsBAi0AFAAGAAgA&#10;AAAhAED3I97eAAAABwEAAA8AAAAAAAAAAAAAAAAAxQUAAGRycy9kb3ducmV2LnhtbFBLBQYAAAAA&#10;BAAEAPMAAADQBgAAAAA=&#10;">
          <o:lock v:ext="edit"/>
          <v:shape id="_x0000_s2059" o:spid="_x0000_s2059"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3mxQAAANsAAAAPAAAAZHJzL2Rvd25yZXYueG1sRI9Pi8Iw&#10;FMTvC36H8ARva6qs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BITa3mxQAAANsAAAAP&#10;AAAAAAAAAAAAAAAAAAcCAABkcnMvZG93bnJldi54bWxQSwUGAAAAAAMAAwC3AAAA+QI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8"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Um5vQAAANsAAAAPAAAAZHJzL2Rvd25yZXYueG1sRE9LCsIw&#10;EN0L3iGM4EY0VVSkGsUviBu/BxiasS02k9JErbc3C8Hl4/1ni9oU4kWVyy0r6PciEMSJ1TmnCm7X&#10;XXcCwnlkjYVlUvAhB4t5szHDWNs3n+l18akIIexiVJB5X8ZSuiQjg65nS+LA3W1l0AdYpVJX+A7h&#10;ppCDKBpLgzmHhgxLWmeUPC5Po+B6PI23u3zEg/KxWQ6T0aqzPayUarfq5RSEp9r/xT/3XisYhrHh&#10;S/gBcv4FAAD//wMAUEsBAi0AFAAGAAgAAAAhANvh9svuAAAAhQEAABMAAAAAAAAAAAAAAAAAAAAA&#10;AFtDb250ZW50X1R5cGVzXS54bWxQSwECLQAUAAYACAAAACEAWvQsW78AAAAVAQAACwAAAAAAAAAA&#10;AAAAAAAfAQAAX3JlbHMvLnJlbHNQSwECLQAUAAYACAAAACEAH01Jub0AAADbAAAADwAAAAAAAAAA&#10;AAAAAAAHAgAAZHJzL2Rvd25yZXYueG1sUEsFBgAAAAADAAMAtwAAAPECAAAAAA==&#10;">
            <v:path/>
            <v:fill on="t" focussize="0,0"/>
            <v:stroke on="f" weight="1pt"/>
            <v:imagedata o:title=""/>
            <o:lock v:ext="edit"/>
          </v:rect>
        </v:group>
      </w:pic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9" o:spid="_x0000_s2052" o:spt="203" style="position:absolute;left:0pt;margin-left:0pt;margin-top:0pt;height:38.05pt;width:596.5pt;mso-position-horizontal-relative:page;mso-position-vertical-relative:page;z-index:251681792;mso-width-relative:page;mso-height-relative:page;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CdLAUAAAoXAAAOAAAAZHJzL2Uyb0RvYy54bWzsWE9vIzUUvyPxHaw5ItHMJJkkjZquqi6t&#10;kLpsRRexHF2PJxlpxh5sp0k574Ebe94LEuLCR0AVfBoKfAzes8dTNxs67YIQoOaQzNjv/fz8e35/&#10;4r0n66okF1zpQopZlOzEEeGCyawQ81n02YujDycR0YaKjJZS8Fl0yXX0ZP/99/ZW9ZT35UKWGVcE&#10;QISerupZtDCmnvZ6mi14RfWOrLmAyVyqihp4VfNepugK0Kuy14/jUW8lVVYrybjWMPrUTUb7Fj/P&#10;OTPP81xzQ8pZBLYZ+63s9zl+9/b36HSuaL0oWGMGfQcrKloIWLSFekoNJUtVvAVVFUxJLXOzw2TV&#10;k3leMG73ALtJ4o3dHCu5rO1e5tPVvG5pAmo3eHpnWPbJxakiRQa+242IoBX46LerV9evvyYwAOys&#10;6vkUhI5VfVafqmZg7t5ww+tcVfgLWyFry+tlyytfG8JgcJyO0zQF+hnMDSeD/iB1xLMFeAfVJpMk&#10;IjCZxu3MR41ykuwOGtUkGVuben7ZHlrXGrOq4QzpG5r0X6PpbEFrbtnXyEBDUx9saWj69ofrn74j&#10;fceSlWkp0lMNbG3hx280SQcTx4EnCfbZTx1FyXCEc+026bRW2hxzWRF8mEUKzrU9bvTiRBsn6kVw&#10;US3LIjsqytK+YCzxw1KRCwpRQBnjwgytermsnsnMjY9i+DiTYBj9YsWHfhissVGJSNa2W4uUApcS&#10;Ehd19uAI+MczYZ/MZclRrhSf8hxOHXi+bw1pkUMbEze1oBl3w+mf2mIBETmH9VvsBmDb/pOG4EYe&#10;VblNF61yfJdhbouthl1ZCtMqV4WQahtAadqVnbwnyVGDLJ3L7BIOm5IuWemaHRXg9ROqzSlVkJ3g&#10;BELGNc/hKy/lahbJ5ikiC6m+2jaO8hANMBuRFWS7WaS/XFLFI1J+LCBOdpPhEGCNfRmmYzzlKpw5&#10;D2fEsjqUcJQgZsE6+4jypvSPuZLV55CYD3BVmKKCwdqziBnlXw6Ny8KQ2hk/OLBikBJrak7EWc0Q&#10;HFkV8mBpZF7YQ37DTsMaRDtmqH8i7GGvLux/ubr69dU319+/+f3nHzH+B3iS0AbIEd3xn8TJeGxT&#10;3WhigxzOXZPo+iNMwZgiJyObVIL4Z0sX/0iJj3koNhlEPw7Ns8Y4JoXQheEvgfS8KuGwfNAj6W5K&#10;VsTCg6lbpL8IpROyII0BW0RfAg8tMEJ2IIfi8d3I/Ychh+Jg793YgwA77jA5lO0EHgbA3TyH0gHP&#10;4OjWlXThMjqdsrVo3AtPEEJQ9V1OqqXGmhn6Gg6NfwVnuuwEWujtDmVwUKjss9P9lMEHobI/tfdT&#10;Bp5DZRtHwMT9lIHJUHkY7tmBNNxhqcTmr7TNn4E0BeUzItD8naMOlFZqkHL/SCCfukhcuEDEiQoy&#10;7AtpRQxSD56263u2buZLEco5IDDU+8RP+9/awrViN4HvBfyvE4Q4BbAuqU3rPAYrpebubOCmbRFv&#10;d4+kBUnmVnHfqM5m7fd9S+qxBcgfW4D/cwsA2W57C2CzzwNagOHItQDtv522BRgM/V+AJLb/DyAs&#10;/T+sMDwf3AOMRpOOshf2AFipk/6o+S/2dncRVvUHNgFJF3ZY1++BHYqjyR2Wh8X9IY3APaDD4t5N&#10;dygdUgIOf+wF/o29gI2Hbc0A+NqWZV/jO5uBxEv6wux/N7oBH4FwJLyE/w3bgU6xTQM9yN/VDzze&#10;KOCNiu+JHm8UwnuD/+SNgr1WhAtX2yE3l8N4oxu+2xuImyvs/T8AAAD//wMAUEsDBBQABgAIAAAA&#10;IQCQPbSs3AAAAAkBAAAPAAAAZHJzL2Rvd25yZXYueG1sTE9BTsMwELwj8QdrkbhRp1GANsSpAMEN&#10;hChp4ejGSxIRr4PtpuH3bE9wm9kZzc4Uq8n2YkQfOkcK5rMEBFLtTEeNgurt8WIBIkRNRveOUMEP&#10;BliVpyeFzo070CuO69gIDqGQawVtjEMuZahbtDrM3IDE2qfzVkemvpHG6wOH216mSXIlre6IP7R6&#10;wPsW66/13ipIrzdZePgYXu6eN9/b8em9an1TKXV+Nt3egIg4xT8zHOtzdSi5087tyQTRM79ko4Js&#10;kYE4yvNlxpcdo5SBLAv5f0H5CwAA//8DAFBLAQItABQABgAIAAAAIQC2gziS/gAAAOEBAAATAAAA&#10;AAAAAAAAAAAAAAAAAABbQ29udGVudF9UeXBlc10ueG1sUEsBAi0AFAAGAAgAAAAhADj9If/WAAAA&#10;lAEAAAsAAAAAAAAAAAAAAAAALwEAAF9yZWxzLy5yZWxzUEsBAi0AFAAGAAgAAAAhALaH8J0sBQAA&#10;ChcAAA4AAAAAAAAAAAAAAAAALgIAAGRycy9lMm9Eb2MueG1sUEsBAi0AFAAGAAgAAAAhAJA9tKzc&#10;AAAACQEAAA8AAAAAAAAAAAAAAAAAhgcAAGRycy9kb3ducmV2LnhtbFBLBQYAAAAABAAEAPMAAACP&#10;CAAAAAA=&#10;">
          <o:lock v:ext="edit"/>
          <v:rect id="矩形 2" o:spid="_x0000_s2055"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MI5wQAAANsAAAAPAAAAZHJzL2Rvd25yZXYueG1sRE/dasIw&#10;FL4f+A7hDLyb6SqU0hlFHQPdoGPOBzg0p02xOSlNtPXtzcVglx/f/2oz2U7caPCtYwWviwQEceV0&#10;y42C8+/HSw7CB2SNnWNScCcPm/XsaYWFdiP/0O0UGhFD2BeowITQF1L6ypBFv3A9ceRqN1gMEQ6N&#10;1AOOMdx2Mk2STFpsOTYY7GlvqLqcrlbBodp+LZv0WO7q/Du7vJds6k9Wav48bd9ABJrCv/jPfdAK&#10;0rg+fok/QK4fAAAA//8DAFBLAQItABQABgAIAAAAIQDb4fbL7gAAAIUBAAATAAAAAAAAAAAAAAAA&#10;AAAAAABbQ29udGVudF9UeXBlc10ueG1sUEsBAi0AFAAGAAgAAAAhAFr0LFu/AAAAFQEAAAsAAAAA&#10;AAAAAAAAAAAAHwEAAF9yZWxzLy5yZWxzUEsBAi0AFAAGAAgAAAAhALXAwjnBAAAA2wAAAA8AAAAA&#10;AAAAAAAAAAAABwIAAGRycy9kb3ducmV2LnhtbFBLBQYAAAAAAwADALcAAAD1AgAAAAA=&#10;">
            <v:path/>
            <v:fill on="t" focussize="0,0"/>
            <v:stroke on="f" weight="1pt"/>
            <v:imagedata o:title=""/>
            <o:lock v:ext="edit"/>
          </v:rect>
          <v:shape id="任意多边形 3" o:spid="_x0000_s2054"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0pWwQAAANsAAAAPAAAAZHJzL2Rvd25yZXYueG1sRI9BawIx&#10;FITvQv9DeEJvmnUPKqtRilDwZrsteH1sXpNlNy9LEt3tv28KgsdhZr5h9sfJ9eJOIbaeFayWBQji&#10;xuuWjYLvr/fFFkRMyBp7z6TglyIcDy+zPVbaj/xJ9zoZkSEcK1RgUxoqKWNjyWFc+oE4ez8+OExZ&#10;BiN1wDHDXS/LolhLhy3nBYsDnSw1XX1zCnBzHetNMB+Xbmus1ed1U3ao1Ot8etuBSDSlZ/jRPmsF&#10;5Qr+v+QfIA9/AAAA//8DAFBLAQItABQABgAIAAAAIQDb4fbL7gAAAIUBAAATAAAAAAAAAAAAAAAA&#10;AAAAAABbQ29udGVudF9UeXBlc10ueG1sUEsBAi0AFAAGAAgAAAAhAFr0LFu/AAAAFQEAAAsAAAAA&#10;AAAAAAAAAAAAHwEAAF9yZWxzLy5yZWxzUEsBAi0AFAAGAAgAAAAhADLbSlbBAAAA2wAAAA8AAAAA&#10;AAAAAAAAAAAABwIAAGRycy9kb3ducmV2LnhtbFBLBQYAAAAAAwADALcAAAD1AgAAAAA=&#10;" path="m595,1l2619,0,2619,862,0,862,595,1xe">
            <v:path arrowok="t" o:connecttype="custom" o:connectlocs="595,1;2619,0;2619,862;0,862;595,1" o:connectangles="0,0,0,0,0"/>
            <v:fill on="t" focussize="0,0"/>
            <v:stroke on="f" weight="1pt" joinstyle="miter"/>
            <v:imagedata o:title=""/>
            <o:lock v:ext="edit"/>
          </v:shape>
          <v:shape id="任意多边形 4" o:spid="_x0000_s2053"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V/AxAAAANsAAAAPAAAAZHJzL2Rvd25yZXYueG1sRI9Ba8JA&#10;FITvQv/D8gpepG7MQWzqKsVQ6MWDMQePr9nXJJh9G3ZXE/31rlDocZiZb5j1djSduJLzrWUFi3kC&#10;griyuuVaQXn8eluB8AFZY2eZFNzIw3bzMlljpu3AB7oWoRYRwj5DBU0IfSalrxoy6Oe2J47er3UG&#10;Q5SultrhEOGmk2mSLKXBluNCgz3tGqrOxcUoGPryMHs3yX7J959znjtbLPKTUtPX8fMDRKAx/If/&#10;2t9aQZrC80v8AXLzAAAA//8DAFBLAQItABQABgAIAAAAIQDb4fbL7gAAAIUBAAATAAAAAAAAAAAA&#10;AAAAAAAAAABbQ29udGVudF9UeXBlc10ueG1sUEsBAi0AFAAGAAgAAAAhAFr0LFu/AAAAFQEAAAsA&#10;AAAAAAAAAAAAAAAAHwEAAF9yZWxzLy5yZWxzUEsBAi0AFAAGAAgAAAAhAAAxX8DEAAAA2wAAAA8A&#10;AAAAAAAAAAAAAAAABwIAAGRycy9kb3ducmV2LnhtbFBLBQYAAAAAAwADALcAAAD4AgAAAAA=&#10;" path="m668,0l2619,10,2619,1265,0,1265,668,0xe">
            <v:path arrowok="t" o:connecttype="custom" o:connectlocs="598,0;2345,9;2345,1108;0,1108;598,0" o:connectangles="0,0,0,0,0"/>
            <v:fill on="t" focussize="0,0"/>
            <v:stroke on="f" weight="1pt" joinstyle="miter"/>
            <v:imagedata o:title=""/>
            <o:lock v:ext="edit"/>
          </v:shape>
        </v:group>
      </w:pict>
    </w:r>
    <w:r>
      <w:pict>
        <v:group id="组合 16" o:spid="_x0000_s2049" o:spt="203" style="position:absolute;left:0pt;margin-top:29.75pt;height:32pt;width:254.25pt;mso-position-horizontal:left;mso-position-horizontal-relative:page;mso-position-vertical-relative:page;z-index:251682816;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nP7bwMAAAoKAAAOAAAAZHJzL2Uyb0RvYy54bWzcVs1u1DAQviPxDpbvNMn+tNuou1UptEKq&#10;aEVBnL2Osxvh2Mb2bracEXDkxAkJwQ2JN0A8TstrMLaTsFsWiRbUA3vI2p4fz3wz3yQ7u4uSoznT&#10;ppBiiJONGCMmqMwKMRniJ48P7gwwMpaIjHAp2BCfMYN3R7dv7VQqZR05lTxjGoETYdJKDfHUWpVG&#10;kaFTVhKzIRUTIMylLomFrZ5EmSYVeC951InjzaiSOlNaUmYMnN4LQjzy/vOcUXuc54ZZxIcYYrP+&#10;qf1z7J7RaIekE03UtKB1GOQaUZSkEHBp6+oesQTNdPGLq7KgWhqZ2w0qy0jmeUGZzwGySeJL2Rxq&#10;OVM+l0laTVQLE0B7Cadru6UP5ycaFRnUbhMjQUqo0fevL8/fvkFwAOhUapKC0qFWp+pE1weTsHMJ&#10;L3Jdun9IBS08rmctrmxhEYXDbqcz2N7qY0RB1os3e3ENPJ1CdZxZ0u1uYQTSwaAV3W+skz5UzpmC&#10;oQspam6NXHBtLJWCFjI/UTJ/h9LplCjmwTcOgAYlCDOgdPHu9cX7LxcfX6EaJ6/mQEJ2cVe6pAJ+&#10;JjVwuAarpBcnq0m3gMUDuCek7L20KZNUaWMPmSyRWwyxhhb3nUfmR8YGdBoVd6eQBwXncE5SLlAF&#10;IHYBzhUJOOcCYHUAhlD9yp5xFswesRxaxFfXHXhysn2u0ZwArQilTNgmTC5A22nlcO1VDGt9Z8o8&#10;ca9i3Fr4m6WwrXFZCKl9vpfCzp41IedBv0Eg5O0gsIvxInCj05RyLLMzqLCWYZIYRQ8KqMMRMfaE&#10;aBgd0KowDu0xPHIuAW9ZrzCaSv1i3bnTh14FKUYVjKIhNs9nRDOM+AMBXbyd9KDxkfWbXn+rAxu9&#10;LBkvS8Ss3JdQFmgtiM4vnb7lzTLXsnwKU3PP3QoiIijcPcS2We7bMCBh6lK2t+eVYFopYo/EqaLO&#10;tYNZyL2ZlXnhm87BFbCpYQQmuuFxE5SEV0w9uD58Pv/2CW01xQLatkOrae1mdrQTqx09SdzrOUvo&#10;v3ryJMl2YGG3uzp4rsxCI3mROSI695ca0S6aRlzRcpRcou+fk7Szrtsbkvr7pyRjgbv9GH4uaXDf&#10;huV363kcKt9qrhsAN81j3o6e3/L4PyYttfrf09a/V+GDwzdC/XHkvmiW97Be/oQb/QAAAP//AwBQ&#10;SwMEFAAGAAgAAAAhALtx3/7eAAAABwEAAA8AAABkcnMvZG93bnJldi54bWxMj8FqwzAQRO+F/oPY&#10;Qm+N7ASV1LEcQmh7CoUmhZLbxtrYJpZkLMV2/r7bU3ubZYaZt/l6sq0YqA+NdxrSWQKCXOlN4yoN&#10;X4e3pyWIENEZbL0jDTcKsC7u73LMjB/dJw37WAkucSFDDXWMXSZlKGuyGGa+I8fe2fcWI599JU2P&#10;I5fbVs6T5FlabBwv1NjRtqbysr9aDe8jjptF+jrsLuft7XhQH9+7lLR+fJg2KxCRpvgXhl98RoeC&#10;mU7+6kwQrQZ+JGpQLwoEuypZsjhxbL5QIItc/ucvfgAAAP//AwBQSwECLQAUAAYACAAAACEAtoM4&#10;kv4AAADhAQAAEwAAAAAAAAAAAAAAAAAAAAAAW0NvbnRlbnRfVHlwZXNdLnhtbFBLAQItABQABgAI&#10;AAAAIQA4/SH/1gAAAJQBAAALAAAAAAAAAAAAAAAAAC8BAABfcmVscy8ucmVsc1BLAQItABQABgAI&#10;AAAAIQDlLnP7bwMAAAoKAAAOAAAAAAAAAAAAAAAAAC4CAABkcnMvZTJvRG9jLnhtbFBLAQItABQA&#10;BgAIAAAAIQC7cd/+3gAAAAcBAAAPAAAAAAAAAAAAAAAAAMkFAABkcnMvZG93bnJldi54bWxQSwUG&#10;AAAAAAQABADzAAAA1AYAAAAA&#10;">
          <o:lock v:ext="edit"/>
          <v:shape id="_x0000_s2051" o:spid="_x0000_s2051"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L7xAAAANsAAAAPAAAAZHJzL2Rvd25yZXYueG1sRE9Na8JA&#10;EL0X/A/LCN7qpoI1pK4SAqFF2oOpl96m2TEJzc6m2a2J/nq3IHibx/uc9XY0rThR7xrLCp7mEQji&#10;0uqGKwWHz/wxBuE8ssbWMik4k4PtZvKwxkTbgfd0KnwlQgi7BBXU3neJlK6syaCb2444cEfbG/QB&#10;9pXUPQ4h3LRyEUXP0mDDoaHGjrKayp/izyjYZfkH7r8XJr602ev7Me1+D19LpWbTMX0B4Wn0d/HN&#10;/abD/BX8/xIOkJsrAAAA//8DAFBLAQItABQABgAIAAAAIQDb4fbL7gAAAIUBAAATAAAAAAAAAAAA&#10;AAAAAAAAAABbQ29udGVudF9UeXBlc10ueG1sUEsBAi0AFAAGAAgAAAAhAFr0LFu/AAAAFQEAAAsA&#10;AAAAAAAAAAAAAAAAHwEAAF9yZWxzLy5yZWxzUEsBAi0AFAAGAAgAAAAhAFv+gvvEAAAA2wAAAA8A&#10;AAAAAAAAAAAAAAAABwIAAGRycy9kb3ducmV2LnhtbFBLBQYAAAAAAwADALcAAAD4Ag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0"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akxAAAANsAAAAPAAAAZHJzL2Rvd25yZXYueG1sRI9Bi8JA&#10;DIXvgv9hiLAX0amisnQdRV0F8aKr/oDQybbFTqZ0ZrX7781B8JbwXt77Ml+2rlJ3akLp2cBomIAi&#10;zrwtOTdwvewGn6BCRLZYeSYD/xRgueh25pha/+Afup9jriSEQ4oGihjrVOuQFeQwDH1NLNqvbxxG&#10;WZtc2wYfEu4qPU6SmXZYsjQUWNOmoOx2/nMGLsfTbLsrpzyub9+rSTZd97eHtTEfvXb1BSpSG9/m&#10;1/XeCr7Ayi8ygF48AQAA//8DAFBLAQItABQABgAIAAAAIQDb4fbL7gAAAIUBAAATAAAAAAAAAAAA&#10;AAAAAAAAAABbQ29udGVudF9UeXBlc10ueG1sUEsBAi0AFAAGAAgAAAAhAFr0LFu/AAAAFQEAAAsA&#10;AAAAAAAAAAAAAAAAHwEAAF9yZWxzLy5yZWxzUEsBAi0AFAAGAAgAAAAhAAz+ZqTEAAAA2wAAAA8A&#10;AAAAAAAAAAAAAAAABwIAAGRycy9kb3ducmV2LnhtbFBLBQYAAAAAAwADALcAAAD4Ag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ABC949"/>
    <w:multiLevelType w:val="singleLevel"/>
    <w:tmpl w:val="3CABC949"/>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022DA"/>
    <w:rsid w:val="00054229"/>
    <w:rsid w:val="0007063E"/>
    <w:rsid w:val="00073392"/>
    <w:rsid w:val="00073F4E"/>
    <w:rsid w:val="000815DD"/>
    <w:rsid w:val="0008687E"/>
    <w:rsid w:val="00086C89"/>
    <w:rsid w:val="000A39FB"/>
    <w:rsid w:val="000C07C7"/>
    <w:rsid w:val="000C1EDC"/>
    <w:rsid w:val="000E129F"/>
    <w:rsid w:val="000F3607"/>
    <w:rsid w:val="000F614F"/>
    <w:rsid w:val="00112FED"/>
    <w:rsid w:val="001147E6"/>
    <w:rsid w:val="001153A0"/>
    <w:rsid w:val="00117746"/>
    <w:rsid w:val="00163F95"/>
    <w:rsid w:val="00180A9A"/>
    <w:rsid w:val="001829C0"/>
    <w:rsid w:val="00184809"/>
    <w:rsid w:val="00186521"/>
    <w:rsid w:val="001865D7"/>
    <w:rsid w:val="00192112"/>
    <w:rsid w:val="00196A10"/>
    <w:rsid w:val="001B0127"/>
    <w:rsid w:val="001C05D4"/>
    <w:rsid w:val="001C12D5"/>
    <w:rsid w:val="001C69F7"/>
    <w:rsid w:val="001D5D03"/>
    <w:rsid w:val="001D6F97"/>
    <w:rsid w:val="001E7138"/>
    <w:rsid w:val="002460E4"/>
    <w:rsid w:val="0026252D"/>
    <w:rsid w:val="002630CD"/>
    <w:rsid w:val="002650EC"/>
    <w:rsid w:val="0027067A"/>
    <w:rsid w:val="00296BB4"/>
    <w:rsid w:val="002A6C46"/>
    <w:rsid w:val="002C19B5"/>
    <w:rsid w:val="002C631D"/>
    <w:rsid w:val="002D15D8"/>
    <w:rsid w:val="00347E54"/>
    <w:rsid w:val="003617AA"/>
    <w:rsid w:val="00391156"/>
    <w:rsid w:val="003A4EE8"/>
    <w:rsid w:val="003B7DEC"/>
    <w:rsid w:val="003C51F8"/>
    <w:rsid w:val="003E6879"/>
    <w:rsid w:val="003F4196"/>
    <w:rsid w:val="003F515B"/>
    <w:rsid w:val="003F7876"/>
    <w:rsid w:val="00441127"/>
    <w:rsid w:val="00442CC2"/>
    <w:rsid w:val="004455D0"/>
    <w:rsid w:val="00446244"/>
    <w:rsid w:val="00464B5E"/>
    <w:rsid w:val="004654EF"/>
    <w:rsid w:val="00473C20"/>
    <w:rsid w:val="004965C0"/>
    <w:rsid w:val="004A6B7C"/>
    <w:rsid w:val="004C0007"/>
    <w:rsid w:val="004D2A9E"/>
    <w:rsid w:val="004D61CB"/>
    <w:rsid w:val="004F0904"/>
    <w:rsid w:val="004F6772"/>
    <w:rsid w:val="005011D6"/>
    <w:rsid w:val="00503F2E"/>
    <w:rsid w:val="0050427A"/>
    <w:rsid w:val="00552226"/>
    <w:rsid w:val="0056571A"/>
    <w:rsid w:val="00566120"/>
    <w:rsid w:val="00582E6D"/>
    <w:rsid w:val="005954D5"/>
    <w:rsid w:val="005A26EC"/>
    <w:rsid w:val="005A53FA"/>
    <w:rsid w:val="005D1293"/>
    <w:rsid w:val="005D7203"/>
    <w:rsid w:val="005E7081"/>
    <w:rsid w:val="005F5203"/>
    <w:rsid w:val="0060472C"/>
    <w:rsid w:val="006151A7"/>
    <w:rsid w:val="00634002"/>
    <w:rsid w:val="00644D5F"/>
    <w:rsid w:val="00657F86"/>
    <w:rsid w:val="006727AD"/>
    <w:rsid w:val="00691425"/>
    <w:rsid w:val="006A516E"/>
    <w:rsid w:val="006B0830"/>
    <w:rsid w:val="006B5430"/>
    <w:rsid w:val="00703C08"/>
    <w:rsid w:val="00716E2B"/>
    <w:rsid w:val="00770F18"/>
    <w:rsid w:val="00773B74"/>
    <w:rsid w:val="0078290C"/>
    <w:rsid w:val="00794B97"/>
    <w:rsid w:val="007C06CA"/>
    <w:rsid w:val="008163FB"/>
    <w:rsid w:val="0082605B"/>
    <w:rsid w:val="008328E4"/>
    <w:rsid w:val="00855C36"/>
    <w:rsid w:val="00857DBE"/>
    <w:rsid w:val="008701BC"/>
    <w:rsid w:val="008728F6"/>
    <w:rsid w:val="00883D92"/>
    <w:rsid w:val="008A5362"/>
    <w:rsid w:val="008E5BF3"/>
    <w:rsid w:val="008F21F1"/>
    <w:rsid w:val="008F221B"/>
    <w:rsid w:val="008F5A2D"/>
    <w:rsid w:val="00921602"/>
    <w:rsid w:val="00924F6C"/>
    <w:rsid w:val="00942A4C"/>
    <w:rsid w:val="00957EA1"/>
    <w:rsid w:val="0096065F"/>
    <w:rsid w:val="00966E5B"/>
    <w:rsid w:val="00974DFD"/>
    <w:rsid w:val="00983442"/>
    <w:rsid w:val="009B4EF0"/>
    <w:rsid w:val="009D271F"/>
    <w:rsid w:val="009E2831"/>
    <w:rsid w:val="00A573BD"/>
    <w:rsid w:val="00A929C2"/>
    <w:rsid w:val="00A94F87"/>
    <w:rsid w:val="00AD097F"/>
    <w:rsid w:val="00B379BF"/>
    <w:rsid w:val="00B466D0"/>
    <w:rsid w:val="00B66D4C"/>
    <w:rsid w:val="00B844F4"/>
    <w:rsid w:val="00B86779"/>
    <w:rsid w:val="00B96B1B"/>
    <w:rsid w:val="00BA06A1"/>
    <w:rsid w:val="00BA770A"/>
    <w:rsid w:val="00BE2F7C"/>
    <w:rsid w:val="00C054DE"/>
    <w:rsid w:val="00C15397"/>
    <w:rsid w:val="00C4054E"/>
    <w:rsid w:val="00C427AD"/>
    <w:rsid w:val="00C463AB"/>
    <w:rsid w:val="00C679A9"/>
    <w:rsid w:val="00C7541C"/>
    <w:rsid w:val="00C878EF"/>
    <w:rsid w:val="00CC0FAA"/>
    <w:rsid w:val="00CC2097"/>
    <w:rsid w:val="00CC519F"/>
    <w:rsid w:val="00CD0736"/>
    <w:rsid w:val="00D01945"/>
    <w:rsid w:val="00D1570F"/>
    <w:rsid w:val="00D32830"/>
    <w:rsid w:val="00D4592D"/>
    <w:rsid w:val="00D53728"/>
    <w:rsid w:val="00D64A26"/>
    <w:rsid w:val="00D76B8D"/>
    <w:rsid w:val="00DB57FB"/>
    <w:rsid w:val="00DB7153"/>
    <w:rsid w:val="00DB7F05"/>
    <w:rsid w:val="00DE2332"/>
    <w:rsid w:val="00E028C3"/>
    <w:rsid w:val="00E14F77"/>
    <w:rsid w:val="00E2539A"/>
    <w:rsid w:val="00E3076B"/>
    <w:rsid w:val="00E35E78"/>
    <w:rsid w:val="00E36978"/>
    <w:rsid w:val="00E36CD0"/>
    <w:rsid w:val="00E62157"/>
    <w:rsid w:val="00E665C8"/>
    <w:rsid w:val="00E82A1E"/>
    <w:rsid w:val="00EA05EC"/>
    <w:rsid w:val="00EA14FD"/>
    <w:rsid w:val="00EC06F4"/>
    <w:rsid w:val="00EE4E36"/>
    <w:rsid w:val="00EF58A6"/>
    <w:rsid w:val="00EF7D39"/>
    <w:rsid w:val="00F118F8"/>
    <w:rsid w:val="00F24543"/>
    <w:rsid w:val="00F61A63"/>
    <w:rsid w:val="00F63F5B"/>
    <w:rsid w:val="00F665F4"/>
    <w:rsid w:val="00FB1422"/>
    <w:rsid w:val="00FD225F"/>
    <w:rsid w:val="00FD507E"/>
    <w:rsid w:val="00FE7A00"/>
    <w:rsid w:val="05B00A30"/>
    <w:rsid w:val="0B011416"/>
    <w:rsid w:val="0F45588B"/>
    <w:rsid w:val="114255DF"/>
    <w:rsid w:val="1E2E6E1C"/>
    <w:rsid w:val="27D407E5"/>
    <w:rsid w:val="2A4C3917"/>
    <w:rsid w:val="31C2036A"/>
    <w:rsid w:val="320D02A5"/>
    <w:rsid w:val="348E566F"/>
    <w:rsid w:val="38B63D20"/>
    <w:rsid w:val="3A226944"/>
    <w:rsid w:val="3AEE6A48"/>
    <w:rsid w:val="3C1620AA"/>
    <w:rsid w:val="3D8F080F"/>
    <w:rsid w:val="44CE1FA4"/>
    <w:rsid w:val="487F73ED"/>
    <w:rsid w:val="4A347EAE"/>
    <w:rsid w:val="4D785E79"/>
    <w:rsid w:val="52600405"/>
    <w:rsid w:val="529B4319"/>
    <w:rsid w:val="57773DD6"/>
    <w:rsid w:val="578B79AB"/>
    <w:rsid w:val="5CCD3FD5"/>
    <w:rsid w:val="5E516A7E"/>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5"/>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3">
    <w:name w:val="列出段落2"/>
    <w:basedOn w:val="1"/>
    <w:qFormat/>
    <w:uiPriority w:val="34"/>
    <w:pPr>
      <w:ind w:firstLine="420" w:firstLineChars="200"/>
    </w:pPr>
    <w:rPr>
      <w:rFonts w:ascii="Calibri" w:hAnsi="Calibri" w:eastAsia="宋体" w:cs="Times New Roman"/>
      <w:szCs w:val="24"/>
    </w:rPr>
  </w:style>
  <w:style w:type="paragraph" w:styleId="14">
    <w:name w:val="List Paragraph"/>
    <w:basedOn w:val="1"/>
    <w:qFormat/>
    <w:uiPriority w:val="99"/>
    <w:pPr>
      <w:ind w:firstLine="420" w:firstLineChars="200"/>
    </w:pPr>
  </w:style>
  <w:style w:type="character" w:customStyle="1" w:styleId="15">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2" Type="http://schemas.openxmlformats.org/officeDocument/2006/relationships/fontTable" Target="fontTable.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header" Target="header2.xml"/><Relationship Id="rId39" Type="http://schemas.openxmlformats.org/officeDocument/2006/relationships/customXml" Target="../customXml/item1.xml"/><Relationship Id="rId38" Type="http://schemas.openxmlformats.org/officeDocument/2006/relationships/chart" Target="charts/chart3.xml"/><Relationship Id="rId37" Type="http://schemas.openxmlformats.org/officeDocument/2006/relationships/chart" Target="charts/chart2.xml"/><Relationship Id="rId36" Type="http://schemas.openxmlformats.org/officeDocument/2006/relationships/chart" Target="charts/chart1.xml"/><Relationship Id="rId35" Type="http://schemas.openxmlformats.org/officeDocument/2006/relationships/image" Target="media/image2.GIF"/><Relationship Id="rId34" Type="http://schemas.openxmlformats.org/officeDocument/2006/relationships/theme" Target="theme/theme1.xml"/><Relationship Id="rId33" Type="http://schemas.openxmlformats.org/officeDocument/2006/relationships/footer" Target="footer13.xml"/><Relationship Id="rId32" Type="http://schemas.openxmlformats.org/officeDocument/2006/relationships/header" Target="header18.xml"/><Relationship Id="rId31" Type="http://schemas.openxmlformats.org/officeDocument/2006/relationships/header" Target="header17.xml"/><Relationship Id="rId30" Type="http://schemas.openxmlformats.org/officeDocument/2006/relationships/header" Target="header16.xml"/><Relationship Id="rId3" Type="http://schemas.openxmlformats.org/officeDocument/2006/relationships/header" Target="header1.xml"/><Relationship Id="rId29" Type="http://schemas.openxmlformats.org/officeDocument/2006/relationships/header" Target="header15.xml"/><Relationship Id="rId28" Type="http://schemas.openxmlformats.org/officeDocument/2006/relationships/header" Target="header14.xml"/><Relationship Id="rId27" Type="http://schemas.openxmlformats.org/officeDocument/2006/relationships/footer" Target="footer12.xml"/><Relationship Id="rId26" Type="http://schemas.openxmlformats.org/officeDocument/2006/relationships/footer" Target="footer11.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5.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收入</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收入</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elete val="1"/>
          </c:dLbls>
          <c:cat>
            <c:strRef>
              <c:f>Sheet1!$A$2:$A$4</c:f>
              <c:strCache>
                <c:ptCount val="3"/>
                <c:pt idx="0">
                  <c:v>财政拨款收入</c:v>
                </c:pt>
                <c:pt idx="1">
                  <c:v>政府性基金收入</c:v>
                </c:pt>
                <c:pt idx="2">
                  <c:v>其他收入</c:v>
                </c:pt>
              </c:strCache>
            </c:strRef>
          </c:cat>
          <c:val>
            <c:numRef>
              <c:f>Sheet1!$B$2:$B$4</c:f>
              <c:numCache>
                <c:formatCode>0.00%</c:formatCode>
                <c:ptCount val="3"/>
                <c:pt idx="0">
                  <c:v>0.916</c:v>
                </c:pt>
                <c:pt idx="1">
                  <c:v>0.0656</c:v>
                </c:pt>
                <c:pt idx="2">
                  <c:v>0.0184</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Sheet1!$A$2:$A$3</c:f>
              <c:strCache>
                <c:ptCount val="2"/>
                <c:pt idx="0">
                  <c:v>基本支出</c:v>
                </c:pt>
                <c:pt idx="1">
                  <c:v>项目支出</c:v>
                </c:pt>
              </c:strCache>
            </c:strRef>
          </c:cat>
          <c:val>
            <c:numRef>
              <c:f>Sheet1!$B$2:$B$3</c:f>
              <c:numCache>
                <c:formatCode>0.00%</c:formatCode>
                <c:ptCount val="2"/>
                <c:pt idx="0">
                  <c:v>0.1459</c:v>
                </c:pt>
                <c:pt idx="1">
                  <c:v>0.854100000000001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c:v>
                </c:pt>
              </c:strCache>
            </c:strRef>
          </c:tx>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Pt>
            <c:idx val="6"/>
            <c:bubble3D val="0"/>
            <c:spPr>
              <a:solidFill>
                <a:schemeClr val="accent1">
                  <a:lumMod val="60000"/>
                </a:schemeClr>
              </a:solidFill>
              <a:ln>
                <a:noFill/>
              </a:ln>
              <a:effectLst>
                <a:outerShdw blurRad="254000" sx="102000" sy="102000" algn="ctr" rotWithShape="0">
                  <a:prstClr val="black">
                    <a:alpha val="20000"/>
                  </a:prstClr>
                </a:outerShdw>
              </a:effectLst>
            </c:spPr>
          </c:dPt>
          <c:dLbls>
            <c:delete val="1"/>
          </c:dLbls>
          <c:cat>
            <c:strRef>
              <c:f>Sheet1!$A$2:$A$8</c:f>
              <c:strCache>
                <c:ptCount val="7"/>
                <c:pt idx="0">
                  <c:v>一般公共服务（类）支出</c:v>
                </c:pt>
                <c:pt idx="1">
                  <c:v>医疗卫生与计划生育（类）支出</c:v>
                </c:pt>
                <c:pt idx="2">
                  <c:v>农林水（类）支出</c:v>
                </c:pt>
                <c:pt idx="3">
                  <c:v>教育（类）支出</c:v>
                </c:pt>
                <c:pt idx="4">
                  <c:v>社会保障和就业（类）支出</c:v>
                </c:pt>
                <c:pt idx="5">
                  <c:v>住房保障（类）支出</c:v>
                </c:pt>
                <c:pt idx="6">
                  <c:v>其他支出</c:v>
                </c:pt>
              </c:strCache>
            </c:strRef>
          </c:cat>
          <c:val>
            <c:numRef>
              <c:f>Sheet1!$B$2:$B$8</c:f>
              <c:numCache>
                <c:formatCode>0.00%</c:formatCode>
                <c:ptCount val="7"/>
                <c:pt idx="0">
                  <c:v>0.0002</c:v>
                </c:pt>
                <c:pt idx="1">
                  <c:v>0.0061</c:v>
                </c:pt>
                <c:pt idx="2">
                  <c:v>0.0085</c:v>
                </c:pt>
                <c:pt idx="3">
                  <c:v>0.00800000000000001</c:v>
                </c:pt>
                <c:pt idx="4">
                  <c:v>0.851700000000001</c:v>
                </c:pt>
                <c:pt idx="5">
                  <c:v>0.0051</c:v>
                </c:pt>
                <c:pt idx="6">
                  <c:v>0.1275</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100"/>
    <customShpInfo spid="_x0000_s2099"/>
    <customShpInfo spid="_x0000_s2098"/>
    <customShpInfo spid="_x0000_s2097"/>
    <customShpInfo spid="_x0000_s2096"/>
    <customShpInfo spid="_x0000_s2095"/>
    <customShpInfo spid="_x0000_s2094"/>
    <customShpInfo spid="_x0000_s2093"/>
    <customShpInfo spid="_x0000_s2092"/>
    <customShpInfo spid="_x0000_s2091"/>
    <customShpInfo spid="_x0000_s2090"/>
    <customShpInfo spid="_x0000_s2089"/>
    <customShpInfo spid="_x0000_s2088"/>
    <customShpInfo spid="_x0000_s2087"/>
    <customShpInfo spid="_x0000_s2086"/>
    <customShpInfo spid="_x0000_s2085"/>
    <customShpInfo spid="_x0000_s2084"/>
    <customShpInfo spid="_x0000_s2083"/>
    <customShpInfo spid="_x0000_s2082"/>
    <customShpInfo spid="_x0000_s2081"/>
    <customShpInfo spid="_x0000_s2080"/>
    <customShpInfo spid="_x0000_s2079"/>
    <customShpInfo spid="_x0000_s2078"/>
    <customShpInfo spid="_x0000_s2076"/>
    <customShpInfo spid="_x0000_s2075"/>
    <customShpInfo spid="_x0000_s2074"/>
    <customShpInfo spid="_x0000_s2073"/>
    <customShpInfo spid="_x0000_s2072"/>
    <customShpInfo spid="_x0000_s2071"/>
    <customShpInfo spid="_x0000_s2070"/>
    <customShpInfo spid="_x0000_s2077"/>
    <customShpInfo spid="_x0000_s2069"/>
    <customShpInfo spid="_x0000_s2068"/>
    <customShpInfo spid="_x0000_s2067"/>
    <customShpInfo spid="_x0000_s2066"/>
    <customShpInfo spid="_x0000_s2065"/>
    <customShpInfo spid="_x0000_s2064"/>
    <customShpInfo spid="_x0000_s2063"/>
    <customShpInfo spid="_x0000_s2062"/>
    <customShpInfo spid="_x0000_s2061"/>
    <customShpInfo spid="_x0000_s2060"/>
    <customShpInfo spid="_x0000_s2059"/>
    <customShpInfo spid="_x0000_s2058"/>
    <customShpInfo spid="_x0000_s2057"/>
    <customShpInfo spid="_x0000_s2055"/>
    <customShpInfo spid="_x0000_s2054"/>
    <customShpInfo spid="_x0000_s2053"/>
    <customShpInfo spid="_x0000_s2052"/>
    <customShpInfo spid="_x0000_s2051"/>
    <customShpInfo spid="_x0000_s2050"/>
    <customShpInfo spid="_x0000_s2049"/>
    <customShpInfo spid="_x0000_s2056"/>
    <customShpInfo spid="_x0000_s1026"/>
    <customShpInfo spid="_x0000_s1027"/>
    <customShpInfo spid="_x0000_s1028"/>
    <customShpInfo spid="_x0000_s1029"/>
    <customShpInfo spid="_x0000_s1042"/>
    <customShpInfo spid="_x0000_s1041"/>
    <customShpInfo spid="_x0000_s1040"/>
    <customShpInfo spid="_x0000_s1031"/>
    <customShpInfo spid="_x0000_s1032"/>
    <customShpInfo spid="_x0000_s1030"/>
    <customShpInfo spid="_x0000_s1033"/>
    <customShpInfo spid="_x0000_s1034"/>
    <customShpInfo spid="_x0000_s1035"/>
    <customShpInfo spid="_x0000_s1036"/>
    <customShpInfo spid="_x0000_s1037"/>
    <customShpInfo spid="_x0000_s1038"/>
    <customShpInfo spid="_x0000_s1039"/>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DFBB08-EE4D-4A0C-AFA1-8B007DFACA66}">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52</Pages>
  <Words>4001</Words>
  <Characters>22806</Characters>
  <Lines>190</Lines>
  <Paragraphs>53</Paragraphs>
  <TotalTime>3</TotalTime>
  <ScaleCrop>false</ScaleCrop>
  <LinksUpToDate>false</LinksUpToDate>
  <CharactersWithSpaces>26754</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2024-07-04T08:01:15Z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