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山前大道拓宽改造工程</w:t>
      </w:r>
      <w:r>
        <w:rPr>
          <w:rFonts w:hint="eastAsia" w:ascii="宋体" w:hAnsi="宋体" w:eastAsia="宋体" w:cs="宋体"/>
          <w:b/>
          <w:bCs/>
          <w:sz w:val="44"/>
          <w:szCs w:val="44"/>
          <w:lang w:val="en-US" w:eastAsia="zh-CN"/>
        </w:rPr>
        <w:t>PPP</w:t>
      </w:r>
      <w:r>
        <w:rPr>
          <w:rFonts w:hint="eastAsia" w:ascii="宋体" w:hAnsi="宋体" w:eastAsia="宋体" w:cs="宋体"/>
          <w:b/>
          <w:bCs/>
          <w:sz w:val="44"/>
          <w:szCs w:val="44"/>
          <w:lang w:eastAsia="zh-CN"/>
        </w:rPr>
        <w:t>项目服务费及</w:t>
      </w:r>
    </w:p>
    <w:p>
      <w:pPr>
        <w:spacing w:line="360" w:lineRule="auto"/>
        <w:ind w:left="0" w:leftChars="0" w:right="0" w:rightChars="0" w:firstLine="0" w:firstLineChars="0"/>
        <w:jc w:val="center"/>
        <w:rPr>
          <w:rFonts w:hint="eastAsia" w:ascii="宋体" w:hAnsi="宋体" w:eastAsia="宋体" w:cs="宋体"/>
          <w:b/>
          <w:bCs/>
          <w:sz w:val="44"/>
          <w:szCs w:val="44"/>
        </w:rPr>
      </w:pPr>
      <w:r>
        <w:rPr>
          <w:rFonts w:hint="eastAsia" w:ascii="宋体" w:hAnsi="宋体" w:eastAsia="宋体" w:cs="宋体"/>
          <w:b/>
          <w:bCs/>
          <w:sz w:val="44"/>
          <w:szCs w:val="44"/>
          <w:lang w:eastAsia="zh-CN"/>
        </w:rPr>
        <w:t>可行性缺口补助</w:t>
      </w:r>
      <w:r>
        <w:rPr>
          <w:rFonts w:hint="eastAsia" w:ascii="宋体" w:hAnsi="宋体" w:cs="宋体"/>
          <w:b/>
          <w:bCs/>
          <w:sz w:val="44"/>
          <w:szCs w:val="44"/>
          <w:lang w:eastAsia="zh-CN"/>
        </w:rPr>
        <w:t>资金</w:t>
      </w:r>
      <w:r>
        <w:rPr>
          <w:rFonts w:hint="eastAsia" w:ascii="宋体" w:hAnsi="宋体" w:eastAsia="宋体" w:cs="宋体"/>
          <w:b/>
          <w:bCs/>
          <w:sz w:val="44"/>
          <w:szCs w:val="44"/>
        </w:rPr>
        <w:t>绩效评价报告</w:t>
      </w:r>
    </w:p>
    <w:p>
      <w:pPr>
        <w:spacing w:line="360" w:lineRule="auto"/>
        <w:ind w:left="0" w:leftChars="0" w:right="0" w:rightChars="0" w:firstLine="0" w:firstLineChars="0"/>
        <w:jc w:val="center"/>
        <w:rPr>
          <w:rFonts w:hint="eastAsia" w:ascii="宋体" w:hAnsi="宋体" w:eastAsia="宋体" w:cs="宋体"/>
          <w:b/>
          <w:bCs/>
          <w:sz w:val="44"/>
          <w:szCs w:val="44"/>
          <w:lang w:val="en-US"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山前大道拓宽改造工程</w:t>
      </w:r>
      <w:r>
        <w:rPr>
          <w:rFonts w:hint="eastAsia" w:ascii="仿宋_GB2312" w:eastAsia="仿宋_GB2312"/>
          <w:sz w:val="32"/>
          <w:szCs w:val="32"/>
          <w:lang w:val="en-US" w:eastAsia="zh-CN"/>
        </w:rPr>
        <w:t>PPP</w:t>
      </w:r>
      <w:r>
        <w:rPr>
          <w:rFonts w:hint="eastAsia" w:ascii="仿宋_GB2312" w:eastAsia="仿宋_GB2312"/>
          <w:sz w:val="32"/>
          <w:szCs w:val="32"/>
          <w:lang w:eastAsia="zh-CN"/>
        </w:rPr>
        <w:t>项目服务费及可行性缺口补助资金</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numPr>
          <w:ilvl w:val="0"/>
          <w:numId w:val="0"/>
        </w:numPr>
        <w:adjustRightInd w:val="0"/>
        <w:snapToGrid w:val="0"/>
        <w:spacing w:line="360" w:lineRule="auto"/>
        <w:ind w:firstLine="640" w:firstLineChars="200"/>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项目实施单位：石家庄中建康邑道路建设有限公司，本项目</w:t>
      </w:r>
      <w:bookmarkStart w:id="0" w:name="_GoBack"/>
      <w:bookmarkEnd w:id="0"/>
      <w:r>
        <w:rPr>
          <w:rFonts w:hint="eastAsia" w:ascii="仿宋_GB2312" w:eastAsia="仿宋_GB2312"/>
          <w:sz w:val="32"/>
          <w:szCs w:val="32"/>
          <w:highlight w:val="none"/>
          <w:lang w:eastAsia="zh-CN"/>
        </w:rPr>
        <w:t>建议书、可研报告、</w:t>
      </w:r>
      <w:r>
        <w:rPr>
          <w:rFonts w:hint="eastAsia" w:ascii="仿宋_GB2312" w:eastAsia="仿宋_GB2312"/>
          <w:sz w:val="32"/>
          <w:szCs w:val="32"/>
          <w:highlight w:val="none"/>
          <w:lang w:val="en-US" w:eastAsia="zh-CN"/>
        </w:rPr>
        <w:t>初步设计</w:t>
      </w:r>
      <w:r>
        <w:rPr>
          <w:rFonts w:hint="eastAsia" w:ascii="仿宋_GB2312" w:eastAsia="仿宋_GB2312"/>
          <w:sz w:val="32"/>
          <w:szCs w:val="32"/>
          <w:highlight w:val="none"/>
          <w:lang w:eastAsia="zh-CN"/>
        </w:rPr>
        <w:t>等均已得到石家庄市鹿泉区行政审批局批复。</w:t>
      </w:r>
    </w:p>
    <w:p>
      <w:pPr>
        <w:numPr>
          <w:ilvl w:val="0"/>
          <w:numId w:val="0"/>
        </w:numPr>
        <w:adjustRightInd w:val="0"/>
        <w:snapToGrid w:val="0"/>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2.项目主要实施内容和范围</w:t>
      </w:r>
    </w:p>
    <w:p>
      <w:pPr>
        <w:adjustRightInd w:val="0"/>
        <w:snapToGrid w:val="0"/>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石家庄市鹿泉区山前大道拓宽改造工程PPP项目，总投资30.2亿元，项目包含公路工程、地下综合管廊工程及景观绿化工程，其中公路工程包括鹿泉区龙泉西路至衡井线道路改建工程，石闫线至牛山村段、石井村至北斗路段道路改建工程，杏苑路（山前大道至西部长青滑雪场）新建工程，路线全长共计29.333公里。地下综合管廊工程为双舱矩形管廊结构设计（水热舱、电舱），全长约为4公里。绿化工程总占地面积为3481505.07平方米。</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b w:val="0"/>
          <w:bCs w:val="0"/>
          <w:sz w:val="32"/>
          <w:szCs w:val="32"/>
          <w:highlight w:val="none"/>
          <w:lang w:val="en-US" w:eastAsia="zh-CN"/>
        </w:rPr>
      </w:pPr>
      <w:r>
        <w:rPr>
          <w:rFonts w:hint="eastAsia" w:ascii="仿宋_GB2312" w:eastAsia="仿宋_GB2312"/>
          <w:b w:val="0"/>
          <w:bCs w:val="0"/>
          <w:sz w:val="32"/>
          <w:szCs w:val="32"/>
          <w:highlight w:val="none"/>
          <w:lang w:val="en-US" w:eastAsia="zh-CN"/>
        </w:rPr>
        <w:t>项目公司完成合同约定运营维护内容范围内设施的日常维护及维修，达到《鹿泉区山前大道拓宽改造工程PPP合同》中约定的运营维护绩效考核评价标准；通过项目日常维护的实施，保证道路整洁，减少道路扬尘，提升区域路网服务水平，使道路及周边绿化整体环境得到很大提高，对极大改善沿线投资环境及加快开发建设步伐产生重大意义。</w:t>
      </w:r>
    </w:p>
    <w:p>
      <w:pPr>
        <w:adjustRightInd w:val="0"/>
        <w:snapToGrid w:val="0"/>
        <w:spacing w:line="360" w:lineRule="auto"/>
        <w:ind w:firstLine="643" w:firstLineChars="200"/>
        <w:rPr>
          <w:rFonts w:hint="eastAsia" w:ascii="黑体" w:hAnsi="黑体" w:eastAsia="黑体" w:cs="黑体"/>
          <w:b/>
          <w:bCs/>
          <w:sz w:val="32"/>
          <w:szCs w:val="32"/>
          <w:highlight w:val="none"/>
          <w:lang w:eastAsia="zh-CN"/>
        </w:rPr>
      </w:pPr>
      <w:r>
        <w:rPr>
          <w:rFonts w:hint="eastAsia" w:ascii="黑体" w:hAnsi="黑体" w:eastAsia="黑体" w:cs="黑体"/>
          <w:b/>
          <w:bCs/>
          <w:sz w:val="32"/>
          <w:szCs w:val="32"/>
          <w:highlight w:val="none"/>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highlight w:val="none"/>
          <w:lang w:val="en-US" w:eastAsia="zh-CN"/>
        </w:rPr>
      </w:pPr>
      <w:r>
        <w:rPr>
          <w:rFonts w:hint="eastAsia" w:ascii="仿宋_GB2312" w:eastAsia="仿宋_GB2312"/>
          <w:sz w:val="32"/>
          <w:szCs w:val="32"/>
          <w:highlight w:val="none"/>
          <w:lang w:val="en-US" w:eastAsia="zh-CN"/>
        </w:rPr>
        <w:t xml:space="preserve">   </w:t>
      </w:r>
      <w:r>
        <w:rPr>
          <w:rFonts w:hint="eastAsia" w:ascii="楷体_GB2312" w:hAnsi="楷体_GB2312" w:eastAsia="楷体_GB2312" w:cs="楷体_GB2312"/>
          <w:b w:val="0"/>
          <w:bCs w:val="0"/>
          <w:sz w:val="32"/>
          <w:szCs w:val="32"/>
          <w:highlight w:val="none"/>
          <w:lang w:val="en-US" w:eastAsia="zh-CN"/>
        </w:rPr>
        <w:t>（一）绩效评价的组织工作</w:t>
      </w:r>
    </w:p>
    <w:p>
      <w:pPr>
        <w:numPr>
          <w:ilvl w:val="0"/>
          <w:numId w:val="0"/>
        </w:numPr>
        <w:ind w:firstLine="64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本次绩效自查评价具体分三个阶段组织实施，分别是前期准备阶段、评价实施阶段和自查评价报告阶段。</w:t>
      </w:r>
    </w:p>
    <w:p>
      <w:pPr>
        <w:numPr>
          <w:ilvl w:val="0"/>
          <w:numId w:val="0"/>
        </w:numPr>
        <w:ind w:firstLine="640"/>
        <w:rPr>
          <w:rFonts w:hint="eastAsia" w:ascii="仿宋_GB2312" w:eastAsia="仿宋_GB2312"/>
          <w:sz w:val="32"/>
          <w:szCs w:val="32"/>
          <w:highlight w:val="none"/>
        </w:rPr>
      </w:pPr>
      <w:r>
        <w:rPr>
          <w:rFonts w:hint="eastAsia" w:ascii="仿宋_GB2312" w:eastAsia="仿宋_GB2312"/>
          <w:sz w:val="32"/>
          <w:szCs w:val="32"/>
          <w:highlight w:val="none"/>
          <w:lang w:val="en-US" w:eastAsia="zh-CN"/>
        </w:rPr>
        <w:t>1.成立绩效评价领导小组，对本次绩效自评的前期准备工作实施监督，运用规范的绩效指标体系和科学的评价方法，全面、客观反映财政支出项目完成情况和实施效果。</w:t>
      </w:r>
    </w:p>
    <w:p>
      <w:pPr>
        <w:numPr>
          <w:ilvl w:val="0"/>
          <w:numId w:val="0"/>
        </w:numPr>
        <w:ind w:firstLine="640" w:firstLineChars="200"/>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2.项目公司</w:t>
      </w:r>
      <w:r>
        <w:rPr>
          <w:rFonts w:hint="eastAsia" w:ascii="仿宋_GB2312" w:eastAsia="仿宋_GB2312"/>
          <w:sz w:val="32"/>
          <w:szCs w:val="32"/>
          <w:highlight w:val="none"/>
        </w:rPr>
        <w:t>配合评价小组开展绩效评价工作，对有关评价所需相关资料收集、提供。</w:t>
      </w:r>
      <w:r>
        <w:rPr>
          <w:rFonts w:hint="eastAsia" w:ascii="仿宋_GB2312" w:eastAsia="仿宋_GB2312"/>
          <w:sz w:val="32"/>
          <w:szCs w:val="32"/>
          <w:highlight w:val="none"/>
          <w:lang w:val="en-US" w:eastAsia="zh-CN"/>
        </w:rPr>
        <w:t>配合对</w:t>
      </w:r>
      <w:r>
        <w:rPr>
          <w:rFonts w:hint="eastAsia" w:ascii="仿宋_GB2312" w:eastAsia="仿宋_GB2312"/>
          <w:sz w:val="32"/>
          <w:szCs w:val="32"/>
          <w:highlight w:val="none"/>
        </w:rPr>
        <w:t>项目现场进行实地调研</w:t>
      </w:r>
      <w:r>
        <w:rPr>
          <w:rFonts w:hint="eastAsia" w:ascii="仿宋_GB2312" w:eastAsia="仿宋_GB2312"/>
          <w:sz w:val="32"/>
          <w:szCs w:val="32"/>
          <w:highlight w:val="none"/>
          <w:lang w:eastAsia="zh-CN"/>
        </w:rPr>
        <w:t>，</w:t>
      </w:r>
      <w:r>
        <w:rPr>
          <w:rFonts w:hint="eastAsia" w:ascii="仿宋_GB2312" w:eastAsia="仿宋_GB2312"/>
          <w:sz w:val="32"/>
          <w:szCs w:val="32"/>
          <w:highlight w:val="none"/>
          <w:lang w:val="en-US" w:eastAsia="zh-CN"/>
        </w:rPr>
        <w:t>确保绩效评价实施阶段顺利进行。</w:t>
      </w:r>
    </w:p>
    <w:p>
      <w:pPr>
        <w:numPr>
          <w:ilvl w:val="0"/>
          <w:numId w:val="0"/>
        </w:numPr>
        <w:ind w:firstLine="640" w:firstLineChars="200"/>
        <w:rPr>
          <w:rFonts w:hint="eastAsia" w:ascii="仿宋_GB2312" w:eastAsia="仿宋_GB2312"/>
          <w:sz w:val="32"/>
          <w:szCs w:val="32"/>
          <w:highlight w:val="none"/>
        </w:rPr>
      </w:pPr>
      <w:r>
        <w:rPr>
          <w:rFonts w:hint="eastAsia" w:ascii="仿宋_GB2312" w:eastAsia="仿宋_GB2312"/>
          <w:sz w:val="32"/>
          <w:szCs w:val="32"/>
          <w:highlight w:val="none"/>
          <w:lang w:val="en-US" w:eastAsia="zh-CN"/>
        </w:rPr>
        <w:t>3.依据绩效</w:t>
      </w:r>
      <w:r>
        <w:rPr>
          <w:rFonts w:hint="eastAsia" w:ascii="仿宋_GB2312" w:eastAsia="仿宋_GB2312"/>
          <w:sz w:val="32"/>
          <w:szCs w:val="32"/>
          <w:highlight w:val="none"/>
        </w:rPr>
        <w:t>评价工作要求，分析基础资料，对照评价指标进行</w:t>
      </w:r>
      <w:r>
        <w:rPr>
          <w:rFonts w:hint="eastAsia" w:ascii="仿宋_GB2312" w:eastAsia="仿宋_GB2312"/>
          <w:sz w:val="32"/>
          <w:szCs w:val="32"/>
          <w:highlight w:val="none"/>
          <w:lang w:val="en-US" w:eastAsia="zh-CN"/>
        </w:rPr>
        <w:t>自评</w:t>
      </w:r>
      <w:r>
        <w:rPr>
          <w:rFonts w:hint="eastAsia" w:ascii="仿宋_GB2312" w:eastAsia="仿宋_GB2312"/>
          <w:sz w:val="32"/>
          <w:szCs w:val="32"/>
          <w:highlight w:val="none"/>
        </w:rPr>
        <w:t>打分，撰写项目</w:t>
      </w:r>
      <w:r>
        <w:rPr>
          <w:rFonts w:hint="eastAsia" w:ascii="仿宋_GB2312" w:eastAsia="仿宋_GB2312"/>
          <w:sz w:val="32"/>
          <w:szCs w:val="32"/>
          <w:highlight w:val="none"/>
          <w:lang w:val="en-US" w:eastAsia="zh-CN"/>
        </w:rPr>
        <w:t>自查</w:t>
      </w:r>
      <w:r>
        <w:rPr>
          <w:rFonts w:hint="eastAsia" w:ascii="仿宋_GB2312" w:eastAsia="仿宋_GB2312"/>
          <w:sz w:val="32"/>
          <w:szCs w:val="32"/>
          <w:highlight w:val="none"/>
        </w:rPr>
        <w:t>评价报告。</w:t>
      </w:r>
    </w:p>
    <w:p>
      <w:pPr>
        <w:ind w:left="0" w:leftChars="0" w:right="0" w:rightChars="0" w:firstLine="0" w:firstLineChars="0"/>
        <w:jc w:val="both"/>
        <w:rPr>
          <w:rFonts w:hint="eastAsia" w:ascii="楷体_GB2312" w:hAnsi="楷体_GB2312" w:eastAsia="楷体_GB2312" w:cs="楷体_GB2312"/>
          <w:b w:val="0"/>
          <w:bCs w:val="0"/>
          <w:sz w:val="32"/>
          <w:szCs w:val="32"/>
          <w:highlight w:val="none"/>
          <w:lang w:val="en-US" w:eastAsia="zh-CN"/>
        </w:rPr>
      </w:pPr>
      <w:r>
        <w:rPr>
          <w:rFonts w:hint="eastAsia" w:ascii="仿宋_GB2312" w:eastAsia="仿宋_GB2312"/>
          <w:b/>
          <w:bCs/>
          <w:sz w:val="32"/>
          <w:szCs w:val="32"/>
          <w:highlight w:val="none"/>
          <w:lang w:val="en-US" w:eastAsia="zh-CN"/>
        </w:rPr>
        <w:t xml:space="preserve">   </w:t>
      </w:r>
      <w:r>
        <w:rPr>
          <w:rFonts w:hint="eastAsia" w:ascii="楷体_GB2312" w:hAnsi="楷体_GB2312" w:eastAsia="楷体_GB2312" w:cs="楷体_GB2312"/>
          <w:b w:val="0"/>
          <w:bCs w:val="0"/>
          <w:sz w:val="32"/>
          <w:szCs w:val="32"/>
          <w:highlight w:val="none"/>
          <w:lang w:val="en-US" w:eastAsia="zh-CN"/>
        </w:rPr>
        <w:t>（二）绩效评价的方法和过程</w:t>
      </w:r>
    </w:p>
    <w:p>
      <w:pPr>
        <w:ind w:left="0" w:leftChars="0" w:right="0" w:rightChars="0" w:firstLine="640" w:firstLineChars="200"/>
        <w:jc w:val="both"/>
        <w:rPr>
          <w:rFonts w:hint="eastAsia" w:ascii="楷体_GB2312" w:hAnsi="楷体_GB2312" w:eastAsia="楷体_GB2312" w:cs="楷体_GB2312"/>
          <w:b w:val="0"/>
          <w:bCs w:val="0"/>
          <w:sz w:val="32"/>
          <w:szCs w:val="32"/>
          <w:highlight w:val="none"/>
          <w:lang w:val="en-US" w:eastAsia="zh-CN"/>
        </w:rPr>
      </w:pPr>
      <w:r>
        <w:rPr>
          <w:rFonts w:hint="eastAsia" w:ascii="仿宋_GB2312" w:eastAsia="仿宋_GB2312"/>
          <w:sz w:val="32"/>
          <w:szCs w:val="32"/>
          <w:highlight w:val="none"/>
          <w:lang w:val="en-US" w:eastAsia="zh-CN"/>
        </w:rPr>
        <w:t>本次绩效评价指标使用投入（15分）、过程（20分）、产出与效益（65分）3个一级指标，项目立项、资金落实、业务管理等6个二级指标，项目立项规范性、绩效指标明确性、资金到位率、管理制度健全性等16个三级指标。评价工作组通过座谈、实地查阅等方式对工作经费实施评价，得分为92分，其中投入9分、过程20分、产出与效益63分。评价等级为优秀。</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highlight w:val="none"/>
          <w:lang w:val="en-US" w:eastAsia="zh-CN"/>
        </w:rPr>
      </w:pPr>
      <w:r>
        <w:rPr>
          <w:rFonts w:hint="eastAsia" w:ascii="楷体_GB2312" w:hAnsi="楷体_GB2312" w:eastAsia="楷体_GB2312" w:cs="楷体_GB2312"/>
          <w:b w:val="0"/>
          <w:bCs w:val="0"/>
          <w:sz w:val="32"/>
          <w:szCs w:val="32"/>
          <w:highlight w:val="none"/>
          <w:lang w:val="en-US" w:eastAsia="zh-CN"/>
        </w:rPr>
        <w:t>建立绩效评价指标体系</w:t>
      </w:r>
    </w:p>
    <w:p>
      <w:pPr>
        <w:ind w:firstLine="640" w:firstLineChars="200"/>
        <w:rPr>
          <w:rFonts w:hint="eastAsia" w:ascii="仿宋_GB2312" w:eastAsia="仿宋_GB2312"/>
          <w:sz w:val="32"/>
          <w:szCs w:val="32"/>
          <w:highlight w:val="none"/>
          <w:lang w:eastAsia="zh-CN"/>
        </w:rPr>
      </w:pPr>
      <w:r>
        <w:rPr>
          <w:rFonts w:hint="eastAsia" w:ascii="仿宋_GB2312" w:eastAsia="仿宋_GB2312"/>
          <w:b w:val="0"/>
          <w:bCs w:val="0"/>
          <w:sz w:val="32"/>
          <w:szCs w:val="32"/>
          <w:highlight w:val="none"/>
          <w:lang w:val="en-US" w:eastAsia="zh-CN"/>
        </w:rPr>
        <w:t>项目公司绩效自查评价领导领导小组根据绩效评价实施方案及项目实际情况，</w:t>
      </w:r>
      <w:r>
        <w:rPr>
          <w:rFonts w:hint="eastAsia" w:ascii="仿宋_GB2312" w:eastAsia="仿宋_GB2312"/>
          <w:sz w:val="32"/>
          <w:szCs w:val="32"/>
          <w:highlight w:val="none"/>
        </w:rPr>
        <w:t>设计绩效评价指标体系</w:t>
      </w:r>
      <w:r>
        <w:rPr>
          <w:rFonts w:hint="eastAsia" w:ascii="仿宋_GB2312" w:eastAsia="仿宋_GB2312"/>
          <w:sz w:val="32"/>
          <w:szCs w:val="32"/>
          <w:highlight w:val="none"/>
          <w:lang w:eastAsia="zh-CN"/>
        </w:rPr>
        <w:t>：</w:t>
      </w:r>
    </w:p>
    <w:tbl>
      <w:tblPr>
        <w:tblStyle w:val="4"/>
        <w:tblW w:w="8652" w:type="dxa"/>
        <w:tblInd w:w="0" w:type="dxa"/>
        <w:shd w:val="clear" w:color="auto" w:fill="auto"/>
        <w:tblLayout w:type="autofit"/>
        <w:tblCellMar>
          <w:top w:w="0" w:type="dxa"/>
          <w:left w:w="0" w:type="dxa"/>
          <w:bottom w:w="0" w:type="dxa"/>
          <w:right w:w="0" w:type="dxa"/>
        </w:tblCellMar>
      </w:tblPr>
      <w:tblGrid>
        <w:gridCol w:w="1080"/>
        <w:gridCol w:w="1080"/>
        <w:gridCol w:w="1257"/>
        <w:gridCol w:w="903"/>
        <w:gridCol w:w="4332"/>
      </w:tblGrid>
      <w:tr>
        <w:tblPrEx>
          <w:shd w:val="clear" w:color="auto" w:fill="auto"/>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二级指标</w:t>
            </w:r>
          </w:p>
        </w:tc>
        <w:tc>
          <w:tcPr>
            <w:tcW w:w="12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三级指标</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分值</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指标解释</w:t>
            </w:r>
          </w:p>
        </w:tc>
      </w:tr>
      <w:tr>
        <w:tblPrEx>
          <w:tblCellMar>
            <w:top w:w="0" w:type="dxa"/>
            <w:left w:w="0" w:type="dxa"/>
            <w:bottom w:w="0" w:type="dxa"/>
            <w:right w:w="0" w:type="dxa"/>
          </w:tblCellMar>
        </w:tblPrEx>
        <w:trPr>
          <w:trHeight w:val="85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投入</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项目立项</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项目立项规范性</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3</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项目目标是否明确，项目是否符合经济社会发展规划和单位年度工作计划。</w:t>
            </w:r>
          </w:p>
        </w:tc>
      </w:tr>
      <w:tr>
        <w:tblPrEx>
          <w:tblCellMar>
            <w:top w:w="0" w:type="dxa"/>
            <w:left w:w="0" w:type="dxa"/>
            <w:bottom w:w="0" w:type="dxa"/>
            <w:right w:w="0" w:type="dxa"/>
          </w:tblCellMar>
        </w:tblPrEx>
        <w:trPr>
          <w:trHeight w:val="142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绩效目标合理性</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3</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项目所设定的绩效目标是否依据充分，是否符合客观实际，用以反映和考核项目绩效目标与项目实施的相符情况。</w:t>
            </w:r>
          </w:p>
        </w:tc>
      </w:tr>
      <w:tr>
        <w:tblPrEx>
          <w:tblCellMar>
            <w:top w:w="0" w:type="dxa"/>
            <w:left w:w="0" w:type="dxa"/>
            <w:bottom w:w="0" w:type="dxa"/>
            <w:right w:w="0" w:type="dxa"/>
          </w:tblCellMar>
        </w:tblPrEx>
        <w:trPr>
          <w:trHeight w:val="142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绩效指标明确性</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3</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依据绩效目标设定的绩效指标是否清晰、细化、可衡量等，用以反映和考核项目绩效目标的明细化情况。</w:t>
            </w:r>
          </w:p>
        </w:tc>
      </w:tr>
      <w:tr>
        <w:tblPrEx>
          <w:tblCellMar>
            <w:top w:w="0" w:type="dxa"/>
            <w:left w:w="0" w:type="dxa"/>
            <w:bottom w:w="0" w:type="dxa"/>
            <w:right w:w="0" w:type="dxa"/>
          </w:tblCellMar>
        </w:tblPrEx>
        <w:trPr>
          <w:trHeight w:val="11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资金落实</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资金到位率</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3</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实际到位资金与计划投入资金的比率，用以反映和考核资金落实情况对项目实施的总体保障程度。</w:t>
            </w:r>
          </w:p>
        </w:tc>
      </w:tr>
      <w:tr>
        <w:tblPrEx>
          <w:tblCellMar>
            <w:top w:w="0" w:type="dxa"/>
            <w:left w:w="0" w:type="dxa"/>
            <w:bottom w:w="0" w:type="dxa"/>
            <w:right w:w="0" w:type="dxa"/>
          </w:tblCellMar>
        </w:tblPrEx>
        <w:trPr>
          <w:trHeight w:val="11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资金使用率</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3</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实际支出资金与实际到位资金的比率，用以反映和考核资金落实情况对项目实施的总体保障程度。</w:t>
            </w:r>
          </w:p>
        </w:tc>
      </w:tr>
      <w:tr>
        <w:tblPrEx>
          <w:tblCellMar>
            <w:top w:w="0" w:type="dxa"/>
            <w:left w:w="0" w:type="dxa"/>
            <w:bottom w:w="0" w:type="dxa"/>
            <w:right w:w="0" w:type="dxa"/>
          </w:tblCellMar>
        </w:tblPrEx>
        <w:trPr>
          <w:trHeight w:val="1140" w:hRule="atLeast"/>
        </w:trPr>
        <w:tc>
          <w:tcPr>
            <w:tcW w:w="0" w:type="auto"/>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过程</w:t>
            </w:r>
          </w:p>
        </w:tc>
        <w:tc>
          <w:tcPr>
            <w:tcW w:w="0" w:type="auto"/>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业务管理</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管理制度健全性</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5</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sz w:val="24"/>
                <w:szCs w:val="24"/>
                <w:highlight w:val="none"/>
                <w:u w:val="none"/>
                <w:lang w:eastAsia="zh-CN"/>
              </w:rPr>
              <w:t>业务管理制度是否健全，用以反映和考核业务管理制度对项目顺利实施的保障情况。</w:t>
            </w:r>
          </w:p>
        </w:tc>
      </w:tr>
      <w:tr>
        <w:tblPrEx>
          <w:tblCellMar>
            <w:top w:w="0" w:type="dxa"/>
            <w:left w:w="0" w:type="dxa"/>
            <w:bottom w:w="0" w:type="dxa"/>
            <w:right w:w="0" w:type="dxa"/>
          </w:tblCellMar>
        </w:tblPrEx>
        <w:trPr>
          <w:trHeight w:val="1140" w:hRule="atLeast"/>
        </w:trPr>
        <w:tc>
          <w:tcPr>
            <w:tcW w:w="0" w:type="auto"/>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制度执行有效性</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5</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项目实施是否符合相关管理规定，用以反映和考核相关管理制度的有效执行情况。</w:t>
            </w:r>
          </w:p>
        </w:tc>
      </w:tr>
      <w:tr>
        <w:tblPrEx>
          <w:tblCellMar>
            <w:top w:w="0" w:type="dxa"/>
            <w:left w:w="0" w:type="dxa"/>
            <w:bottom w:w="0" w:type="dxa"/>
            <w:right w:w="0" w:type="dxa"/>
          </w:tblCellMar>
        </w:tblPrEx>
        <w:trPr>
          <w:trHeight w:val="1140" w:hRule="atLeast"/>
        </w:trPr>
        <w:tc>
          <w:tcPr>
            <w:tcW w:w="0" w:type="auto"/>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财务管理</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管理制度健全性</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5</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单位的财务制度是否健全，用以反映和考核财务管理制度对资金规范、安全运行的保障情况。</w:t>
            </w:r>
          </w:p>
        </w:tc>
      </w:tr>
      <w:tr>
        <w:tblPrEx>
          <w:tblCellMar>
            <w:top w:w="0" w:type="dxa"/>
            <w:left w:w="0" w:type="dxa"/>
            <w:bottom w:w="0" w:type="dxa"/>
            <w:right w:w="0" w:type="dxa"/>
          </w:tblCellMar>
        </w:tblPrEx>
        <w:trPr>
          <w:trHeight w:val="1140" w:hRule="atLeast"/>
        </w:trPr>
        <w:tc>
          <w:tcPr>
            <w:tcW w:w="0" w:type="auto"/>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制度执行有效性</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5</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项目资金使用是否符合相关的财务管理制度规定，用以反映和考核项目资金的规范运行情况。</w:t>
            </w:r>
          </w:p>
        </w:tc>
      </w:tr>
      <w:tr>
        <w:tblPrEx>
          <w:tblCellMar>
            <w:top w:w="0" w:type="dxa"/>
            <w:left w:w="0" w:type="dxa"/>
            <w:bottom w:w="0" w:type="dxa"/>
            <w:right w:w="0" w:type="dxa"/>
          </w:tblCellMar>
        </w:tblPrEx>
        <w:trPr>
          <w:trHeight w:val="1140" w:hRule="atLeast"/>
        </w:trPr>
        <w:tc>
          <w:tcPr>
            <w:tcW w:w="108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产出和效果</w:t>
            </w:r>
          </w:p>
        </w:tc>
        <w:tc>
          <w:tcPr>
            <w:tcW w:w="0" w:type="auto"/>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项目产出</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实际完成率</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10</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项目实施的实际产出数与计划产出数的比率，用以反映和考核项目产出数量目标的实现程度。</w:t>
            </w:r>
          </w:p>
        </w:tc>
      </w:tr>
      <w:tr>
        <w:tblPrEx>
          <w:tblCellMar>
            <w:top w:w="0" w:type="dxa"/>
            <w:left w:w="0" w:type="dxa"/>
            <w:bottom w:w="0" w:type="dxa"/>
            <w:right w:w="0" w:type="dxa"/>
          </w:tblCellMar>
        </w:tblPrEx>
        <w:trPr>
          <w:trHeight w:val="1140" w:hRule="atLeast"/>
        </w:trPr>
        <w:tc>
          <w:tcPr>
            <w:tcW w:w="10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完成及时率</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10</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项目实际提前完成时间与计划完成时间的比率，用以反映和考核项目产出时效目标的实现程度。</w:t>
            </w:r>
          </w:p>
        </w:tc>
      </w:tr>
      <w:tr>
        <w:tblPrEx>
          <w:tblCellMar>
            <w:top w:w="0" w:type="dxa"/>
            <w:left w:w="0" w:type="dxa"/>
            <w:bottom w:w="0" w:type="dxa"/>
            <w:right w:w="0" w:type="dxa"/>
          </w:tblCellMar>
        </w:tblPrEx>
        <w:trPr>
          <w:trHeight w:val="1140" w:hRule="atLeast"/>
        </w:trPr>
        <w:tc>
          <w:tcPr>
            <w:tcW w:w="10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质量达标率</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10</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项目完成的质量达标产出数与实际产出数的比率，用以反映和考核项目产出质量目标的实现程度。</w:t>
            </w:r>
          </w:p>
        </w:tc>
      </w:tr>
      <w:tr>
        <w:tblPrEx>
          <w:tblCellMar>
            <w:top w:w="0" w:type="dxa"/>
            <w:left w:w="0" w:type="dxa"/>
            <w:bottom w:w="0" w:type="dxa"/>
            <w:right w:w="0" w:type="dxa"/>
          </w:tblCellMar>
        </w:tblPrEx>
        <w:trPr>
          <w:trHeight w:val="855" w:hRule="atLeast"/>
        </w:trPr>
        <w:tc>
          <w:tcPr>
            <w:tcW w:w="10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项目效益</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经济效益</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10</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top"/>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项目实施对经济发展所带来的直接或间接影响情况。</w:t>
            </w:r>
          </w:p>
        </w:tc>
      </w:tr>
      <w:tr>
        <w:tblPrEx>
          <w:tblCellMar>
            <w:top w:w="0" w:type="dxa"/>
            <w:left w:w="0" w:type="dxa"/>
            <w:bottom w:w="0" w:type="dxa"/>
            <w:right w:w="0" w:type="dxa"/>
          </w:tblCellMar>
        </w:tblPrEx>
        <w:trPr>
          <w:trHeight w:val="855" w:hRule="atLeast"/>
        </w:trPr>
        <w:tc>
          <w:tcPr>
            <w:tcW w:w="10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社会效益</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10</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top"/>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项目实施对社会发展所带来的直接或间接影响情况。</w:t>
            </w:r>
          </w:p>
        </w:tc>
      </w:tr>
      <w:tr>
        <w:tblPrEx>
          <w:tblCellMar>
            <w:top w:w="0" w:type="dxa"/>
            <w:left w:w="0" w:type="dxa"/>
            <w:bottom w:w="0" w:type="dxa"/>
            <w:right w:w="0" w:type="dxa"/>
          </w:tblCellMar>
        </w:tblPrEx>
        <w:trPr>
          <w:trHeight w:val="570" w:hRule="atLeast"/>
        </w:trPr>
        <w:tc>
          <w:tcPr>
            <w:tcW w:w="10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可持续影响</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10</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top"/>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项目后续运行及成效发挥的可持续影响情况。</w:t>
            </w:r>
          </w:p>
        </w:tc>
      </w:tr>
      <w:tr>
        <w:tblPrEx>
          <w:tblCellMar>
            <w:top w:w="0" w:type="dxa"/>
            <w:left w:w="0" w:type="dxa"/>
            <w:bottom w:w="0" w:type="dxa"/>
            <w:right w:w="0" w:type="dxa"/>
          </w:tblCellMar>
        </w:tblPrEx>
        <w:trPr>
          <w:trHeight w:val="570" w:hRule="atLeast"/>
        </w:trPr>
        <w:tc>
          <w:tcPr>
            <w:tcW w:w="10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服务对象满意度</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5</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top"/>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社会公众或服务对象对项目实施效果的满意程度。</w:t>
            </w:r>
          </w:p>
        </w:tc>
      </w:tr>
      <w:tr>
        <w:tblPrEx>
          <w:tblCellMar>
            <w:top w:w="0" w:type="dxa"/>
            <w:left w:w="0" w:type="dxa"/>
            <w:bottom w:w="0" w:type="dxa"/>
            <w:right w:w="0" w:type="dxa"/>
          </w:tblCellMar>
        </w:tblPrEx>
        <w:trPr>
          <w:trHeight w:val="5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仿宋" w:hAnsi="仿宋" w:eastAsia="仿宋" w:cs="仿宋"/>
                <w:i w:val="0"/>
                <w:color w:val="000000"/>
                <w:sz w:val="24"/>
                <w:szCs w:val="24"/>
                <w:highlight w:val="none"/>
                <w:u w:val="none"/>
              </w:rPr>
            </w:pP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合计</w:t>
            </w:r>
          </w:p>
        </w:tc>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highlight w:val="none"/>
                <w:u w:val="none"/>
              </w:rPr>
            </w:pPr>
            <w:r>
              <w:rPr>
                <w:rFonts w:hint="eastAsia" w:ascii="仿宋" w:hAnsi="仿宋" w:eastAsia="仿宋" w:cs="仿宋"/>
                <w:i w:val="0"/>
                <w:color w:val="000000"/>
                <w:kern w:val="0"/>
                <w:sz w:val="24"/>
                <w:szCs w:val="24"/>
                <w:highlight w:val="none"/>
                <w:u w:val="none"/>
                <w:lang w:val="en-US" w:eastAsia="zh-CN" w:bidi="ar"/>
              </w:rPr>
              <w:t>100</w:t>
            </w:r>
          </w:p>
        </w:tc>
        <w:tc>
          <w:tcPr>
            <w:tcW w:w="43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仿宋" w:hAnsi="仿宋" w:eastAsia="仿宋" w:cs="仿宋"/>
                <w:i w:val="0"/>
                <w:color w:val="000000"/>
                <w:sz w:val="24"/>
                <w:szCs w:val="24"/>
                <w:highlight w:val="none"/>
                <w:u w:val="none"/>
              </w:rPr>
            </w:pPr>
          </w:p>
        </w:tc>
      </w:tr>
    </w:tbl>
    <w:p>
      <w:pPr>
        <w:ind w:firstLine="640" w:firstLineChars="200"/>
        <w:rPr>
          <w:rFonts w:hint="eastAsia" w:ascii="仿宋_GB2312" w:eastAsia="仿宋_GB2312"/>
          <w:sz w:val="32"/>
          <w:szCs w:val="32"/>
          <w:lang w:val="en-US" w:eastAsia="zh-CN"/>
        </w:rPr>
      </w:pP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highlight w:val="none"/>
          <w:lang w:val="en-US" w:eastAsia="zh-CN"/>
        </w:rPr>
      </w:pPr>
      <w:r>
        <w:rPr>
          <w:rFonts w:hint="eastAsia" w:ascii="仿宋_GB2312" w:eastAsia="仿宋_GB2312"/>
          <w:b w:val="0"/>
          <w:bCs w:val="0"/>
          <w:sz w:val="32"/>
          <w:szCs w:val="32"/>
          <w:highlight w:val="none"/>
          <w:lang w:val="en-US" w:eastAsia="zh-CN"/>
        </w:rPr>
        <w:t>1.</w:t>
      </w:r>
      <w:r>
        <w:rPr>
          <w:rFonts w:hint="default" w:ascii="仿宋_GB2312" w:eastAsia="仿宋_GB2312"/>
          <w:b w:val="0"/>
          <w:bCs w:val="0"/>
          <w:sz w:val="32"/>
          <w:szCs w:val="32"/>
          <w:highlight w:val="none"/>
          <w:lang w:val="en-US" w:eastAsia="zh-CN"/>
        </w:rPr>
        <w:t>项目</w:t>
      </w:r>
      <w:r>
        <w:rPr>
          <w:rFonts w:hint="eastAsia" w:ascii="仿宋_GB2312" w:eastAsia="仿宋_GB2312"/>
          <w:b w:val="0"/>
          <w:bCs w:val="0"/>
          <w:sz w:val="32"/>
          <w:szCs w:val="32"/>
          <w:highlight w:val="none"/>
          <w:lang w:val="en-US" w:eastAsia="zh-CN"/>
        </w:rPr>
        <w:t>立项情况分析</w:t>
      </w:r>
    </w:p>
    <w:p>
      <w:pPr>
        <w:ind w:firstLine="640" w:firstLineChars="200"/>
        <w:rPr>
          <w:rFonts w:hint="default" w:ascii="仿宋_GB2312" w:eastAsia="仿宋_GB2312"/>
          <w:b w:val="0"/>
          <w:bCs w:val="0"/>
          <w:sz w:val="32"/>
          <w:szCs w:val="32"/>
          <w:highlight w:val="none"/>
          <w:lang w:val="en-US" w:eastAsia="zh-CN"/>
        </w:rPr>
      </w:pPr>
      <w:r>
        <w:rPr>
          <w:rFonts w:hint="eastAsia" w:ascii="仿宋_GB2312" w:eastAsia="仿宋_GB2312"/>
          <w:b w:val="0"/>
          <w:bCs w:val="0"/>
          <w:sz w:val="32"/>
          <w:szCs w:val="32"/>
          <w:highlight w:val="none"/>
          <w:lang w:val="en-US" w:eastAsia="zh-CN"/>
        </w:rPr>
        <w:t>本项目分别于2017年7月4日收到石家庄市城乡规划局批复的项目选址意见书，2017年9月收到石家庄市鹿泉区国土资源局批复的用地预审文件，2017年4月21日收到鹿泉区行政审批局批复的项目建议书，2017年9月5日收到鹿泉区行政审批局批复的项目可行性研究报告，2017年10月13日收到鹿泉区行政审批局批复的项目初步设计报告等，本项目的立项手续合理合法。</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b w:val="0"/>
          <w:bCs w:val="0"/>
          <w:sz w:val="32"/>
          <w:szCs w:val="32"/>
          <w:highlight w:val="none"/>
          <w:lang w:val="en-US" w:eastAsia="zh-CN"/>
        </w:rPr>
        <w:t>2.资金投入</w:t>
      </w:r>
      <w:r>
        <w:rPr>
          <w:rFonts w:hint="eastAsia" w:ascii="仿宋_GB2312" w:eastAsia="仿宋_GB2312"/>
          <w:sz w:val="32"/>
          <w:szCs w:val="32"/>
          <w:highlight w:val="none"/>
          <w:lang w:val="en-US" w:eastAsia="zh-CN"/>
        </w:rPr>
        <w:t>情况分析</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该项目预算为21668.68万元，因项目未完工，未进入运营期，2019年度无预算拨款和支出。</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建立健全了相关制度，并严格按照制度执行。按期对项目公司进行考核。</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2.财务管理情况分析</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财务管理均按照相关财经法规执行，未侵占、截留国家和单位的收入。该项目资金按照专项项目资金进行管理。</w:t>
      </w:r>
    </w:p>
    <w:p>
      <w:pPr>
        <w:numPr>
          <w:ilvl w:val="0"/>
          <w:numId w:val="0"/>
        </w:numPr>
        <w:ind w:firstLine="640" w:firstLineChars="200"/>
        <w:rPr>
          <w:rFonts w:hint="eastAsia" w:ascii="仿宋_GB2312" w:eastAsia="仿宋_GB2312"/>
          <w:b/>
          <w:bCs/>
          <w:sz w:val="32"/>
          <w:szCs w:val="32"/>
          <w:lang w:val="en-US" w:eastAsia="zh-CN"/>
        </w:rPr>
      </w:pP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对项目的实际完成率、完成及时率、质量达标率、成本节约率等情况进行分析后，根据指标体系评分标准计算分值。</w:t>
      </w:r>
    </w:p>
    <w:p>
      <w:pPr>
        <w:numPr>
          <w:ilvl w:val="0"/>
          <w:numId w:val="0"/>
        </w:numPr>
        <w:rPr>
          <w:rFonts w:hint="eastAsia" w:ascii="楷体_GB2312" w:hAnsi="楷体_GB2312" w:eastAsia="楷体_GB2312" w:cs="楷体_GB2312"/>
          <w:b/>
          <w:bCs/>
          <w:sz w:val="32"/>
          <w:szCs w:val="32"/>
          <w:lang w:val="en-US" w:eastAsia="zh-CN"/>
        </w:rPr>
      </w:pPr>
      <w:r>
        <w:rPr>
          <w:rFonts w:hint="eastAsia" w:ascii="仿宋_GB2312" w:eastAsia="仿宋_GB2312"/>
          <w:b w:val="0"/>
          <w:bCs w:val="0"/>
          <w:sz w:val="32"/>
          <w:szCs w:val="32"/>
          <w:lang w:val="en-US" w:eastAsia="zh-CN"/>
        </w:rPr>
        <w:t>根据项目的实施进展情况，本项目的质量达标率为100%，</w:t>
      </w:r>
      <w:r>
        <w:rPr>
          <w:rFonts w:hint="eastAsia" w:ascii="仿宋_GB2312" w:eastAsia="仿宋_GB2312"/>
          <w:b w:val="0"/>
          <w:bCs w:val="0"/>
          <w:sz w:val="32"/>
          <w:szCs w:val="32"/>
          <w:highlight w:val="none"/>
          <w:lang w:val="en-US" w:eastAsia="zh-CN"/>
        </w:rPr>
        <w:t>成本节约率为5%</w:t>
      </w:r>
      <w:r>
        <w:rPr>
          <w:rFonts w:hint="eastAsia" w:ascii="仿宋_GB2312" w:eastAsia="仿宋_GB2312"/>
          <w:b w:val="0"/>
          <w:bCs w:val="0"/>
          <w:sz w:val="32"/>
          <w:szCs w:val="32"/>
          <w:lang w:val="en-US" w:eastAsia="zh-CN"/>
        </w:rPr>
        <w:t>。达到既定的目标要求。</w:t>
      </w:r>
      <w:r>
        <w:rPr>
          <w:rFonts w:hint="eastAsia" w:ascii="楷体_GB2312" w:hAnsi="楷体_GB2312" w:eastAsia="楷体_GB2312" w:cs="楷体_GB2312"/>
          <w:b/>
          <w:bCs/>
          <w:sz w:val="32"/>
          <w:szCs w:val="32"/>
          <w:lang w:val="en-US" w:eastAsia="zh-CN"/>
        </w:rPr>
        <w:t xml:space="preserve">    </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山前大道是鹿泉区西部山前区域的主要干道，随着沿线经济的发展，人民生活水平的提高，休闲旅游需求大增，导致该路交通量猛增，山前大道已无法适应繁忙的交通量要求，严重制约了当地经济的发展。山前大道拓宽改造工程作为山前大道改扩建的一部分，该工程对持续带动沿线乡镇经济的发展、促进西部山区旅游业的繁荣、方便石家庄市民节假日休闲度假，形成石家庄西部一条经济带、产业带和风景带，具有重要意义。</w:t>
      </w:r>
    </w:p>
    <w:p>
      <w:pPr>
        <w:numPr>
          <w:ilvl w:val="0"/>
          <w:numId w:val="0"/>
        </w:numPr>
        <w:ind w:firstLine="640" w:firstLineChars="200"/>
        <w:rPr>
          <w:rFonts w:hint="eastAsia" w:ascii="仿宋_GB2312" w:eastAsia="仿宋_GB2312"/>
          <w:sz w:val="32"/>
          <w:szCs w:val="32"/>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default" w:ascii="仿宋_GB2312" w:eastAsia="仿宋_GB2312"/>
          <w:sz w:val="32"/>
          <w:szCs w:val="32"/>
          <w:highlight w:val="yellow"/>
          <w:lang w:val="en-US" w:eastAsia="zh-CN"/>
        </w:rPr>
      </w:pPr>
      <w:r>
        <w:rPr>
          <w:rFonts w:hint="eastAsia" w:ascii="仿宋_GB2312" w:eastAsia="仿宋_GB2312"/>
          <w:b w:val="0"/>
          <w:bCs w:val="0"/>
          <w:sz w:val="32"/>
          <w:szCs w:val="32"/>
          <w:highlight w:val="none"/>
          <w:lang w:val="en-US" w:eastAsia="zh-CN"/>
        </w:rPr>
        <w:t>根据项目执行情况和项目绩效情况，给出得分92分，项目综合绩效评价为优秀。</w:t>
      </w:r>
    </w:p>
    <w:p>
      <w:pPr>
        <w:numPr>
          <w:ilvl w:val="0"/>
          <w:numId w:val="0"/>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r>
        <w:rPr>
          <w:rFonts w:hint="eastAsia" w:ascii="黑体" w:eastAsia="黑体"/>
          <w:b w:val="0"/>
          <w:bCs w:val="0"/>
          <w:sz w:val="32"/>
          <w:szCs w:val="32"/>
        </w:rPr>
        <w:t>评价工作组人员名单</w:t>
      </w:r>
    </w:p>
    <w:p>
      <w:pPr>
        <w:adjustRightInd w:val="0"/>
        <w:snapToGrid w:val="0"/>
        <w:spacing w:line="360" w:lineRule="auto"/>
        <w:ind w:left="3198" w:leftChars="304" w:hanging="2560" w:hangingChars="800"/>
        <w:jc w:val="left"/>
        <w:rPr>
          <w:rFonts w:hint="eastAsia" w:ascii="仿宋_GB2312" w:eastAsia="仿宋_GB2312"/>
          <w:sz w:val="32"/>
          <w:szCs w:val="32"/>
          <w:lang w:val="en-US" w:eastAsia="zh-CN"/>
        </w:rPr>
      </w:pPr>
      <w:r>
        <w:rPr>
          <w:rFonts w:hint="eastAsia" w:ascii="仿宋_GB2312" w:eastAsia="仿宋_GB2312"/>
          <w:sz w:val="32"/>
          <w:szCs w:val="32"/>
          <w:lang w:eastAsia="zh-CN"/>
        </w:rPr>
        <w:t>组</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长：贾素明</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省会西部山前区发展建设指挥部办公室副主任</w:t>
      </w:r>
    </w:p>
    <w:p>
      <w:pPr>
        <w:adjustRightInd w:val="0"/>
        <w:snapToGrid w:val="0"/>
        <w:spacing w:line="360" w:lineRule="auto"/>
        <w:ind w:left="3198" w:leftChars="304" w:hanging="2560" w:hangingChars="800"/>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副组长：王智慧  </w:t>
      </w:r>
      <w:r>
        <w:rPr>
          <w:rFonts w:hint="eastAsia" w:ascii="仿宋_GB2312" w:eastAsia="仿宋_GB2312"/>
          <w:sz w:val="32"/>
          <w:szCs w:val="32"/>
          <w:lang w:eastAsia="zh-CN"/>
        </w:rPr>
        <w:t>省会西部山前区发展建设指挥部办公室成员</w:t>
      </w:r>
    </w:p>
    <w:p>
      <w:pPr>
        <w:adjustRightInd w:val="0"/>
        <w:snapToGrid w:val="0"/>
        <w:spacing w:line="360" w:lineRule="auto"/>
        <w:ind w:left="3198" w:leftChars="304" w:hanging="2560" w:hangingChars="8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组  员：王立娜  </w:t>
      </w:r>
      <w:r>
        <w:rPr>
          <w:rFonts w:hint="eastAsia" w:ascii="仿宋_GB2312" w:eastAsia="仿宋_GB2312"/>
          <w:sz w:val="32"/>
          <w:szCs w:val="32"/>
          <w:lang w:eastAsia="zh-CN"/>
        </w:rPr>
        <w:t>省会西部山前区发展建设指挥部办公室科员</w:t>
      </w:r>
    </w:p>
    <w:p>
      <w:pPr>
        <w:adjustRightInd w:val="0"/>
        <w:snapToGrid w:val="0"/>
        <w:spacing w:line="360" w:lineRule="auto"/>
        <w:ind w:left="2876" w:leftChars="760" w:hanging="1280" w:hangingChars="4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尤晓龙  </w:t>
      </w:r>
      <w:r>
        <w:rPr>
          <w:rFonts w:hint="eastAsia" w:ascii="仿宋_GB2312" w:eastAsia="仿宋_GB2312"/>
          <w:sz w:val="32"/>
          <w:szCs w:val="32"/>
          <w:lang w:eastAsia="zh-CN"/>
        </w:rPr>
        <w:t>省会西部山前区发展建设指挥部办公室科员</w:t>
      </w:r>
    </w:p>
    <w:p>
      <w:pPr>
        <w:adjustRightInd w:val="0"/>
        <w:snapToGrid w:val="0"/>
        <w:spacing w:line="360" w:lineRule="auto"/>
        <w:ind w:left="3198" w:leftChars="304" w:hanging="2560" w:hangingChars="800"/>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范博慧  </w:t>
      </w:r>
      <w:r>
        <w:rPr>
          <w:rFonts w:hint="eastAsia" w:ascii="仿宋_GB2312" w:eastAsia="仿宋_GB2312"/>
          <w:sz w:val="32"/>
          <w:szCs w:val="32"/>
          <w:lang w:eastAsia="zh-CN"/>
        </w:rPr>
        <w:t>省会西部山前区发展建设指挥部办公室科员</w:t>
      </w:r>
    </w:p>
    <w:p>
      <w:pPr>
        <w:numPr>
          <w:ilvl w:val="0"/>
          <w:numId w:val="0"/>
        </w:numPr>
        <w:adjustRightInd w:val="0"/>
        <w:snapToGrid w:val="0"/>
        <w:spacing w:line="360" w:lineRule="auto"/>
        <w:rPr>
          <w:rFonts w:hint="eastAsia" w:ascii="仿宋_GB2312" w:eastAsia="仿宋_GB2312"/>
          <w:sz w:val="32"/>
          <w:szCs w:val="32"/>
        </w:rPr>
      </w:pPr>
      <w:r>
        <w:rPr>
          <w:rFonts w:hint="eastAsia" w:ascii="仿宋_GB2312" w:eastAsia="仿宋_GB2312"/>
          <w:sz w:val="32"/>
          <w:szCs w:val="32"/>
        </w:rPr>
        <w:t xml:space="preserve">    </w:t>
      </w:r>
    </w:p>
    <w:p>
      <w:pPr>
        <w:numPr>
          <w:ilvl w:val="0"/>
          <w:numId w:val="0"/>
        </w:numPr>
        <w:adjustRightInd w:val="0"/>
        <w:snapToGrid w:val="0"/>
        <w:spacing w:line="360" w:lineRule="auto"/>
      </w:pPr>
      <w:r>
        <w:rPr>
          <w:rFonts w:hint="eastAsia" w:ascii="仿宋_GB2312" w:eastAsia="仿宋_GB2312"/>
          <w:sz w:val="32"/>
          <w:szCs w:val="32"/>
        </w:rPr>
        <w:t xml:space="preserve">                                                   </w:t>
      </w: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539B51"/>
    <w:multiLevelType w:val="singleLevel"/>
    <w:tmpl w:val="8B539B51"/>
    <w:lvl w:ilvl="0" w:tentative="0">
      <w:start w:val="3"/>
      <w:numFmt w:val="chineseCounting"/>
      <w:suff w:val="nothing"/>
      <w:lvlText w:val="（%1）"/>
      <w:lvlJc w:val="left"/>
      <w:pPr>
        <w:ind w:left="481"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1MTdlZmY1ZWQ5NTg1MzExNWIzYzA2ODViNDk4NDEifQ=="/>
  </w:docVars>
  <w:rsids>
    <w:rsidRoot w:val="2A2941B7"/>
    <w:rsid w:val="035B6E9D"/>
    <w:rsid w:val="04256B7D"/>
    <w:rsid w:val="0E3B5430"/>
    <w:rsid w:val="15012E22"/>
    <w:rsid w:val="151059A2"/>
    <w:rsid w:val="161660E7"/>
    <w:rsid w:val="185D5027"/>
    <w:rsid w:val="1AA7068A"/>
    <w:rsid w:val="1AD724B5"/>
    <w:rsid w:val="1DA84FB6"/>
    <w:rsid w:val="20C81B9B"/>
    <w:rsid w:val="28AF781D"/>
    <w:rsid w:val="2A2941B7"/>
    <w:rsid w:val="2EAC55AF"/>
    <w:rsid w:val="34DE45E1"/>
    <w:rsid w:val="3A244888"/>
    <w:rsid w:val="3B117B2F"/>
    <w:rsid w:val="42DB2316"/>
    <w:rsid w:val="45934A58"/>
    <w:rsid w:val="464775D8"/>
    <w:rsid w:val="4A4825E6"/>
    <w:rsid w:val="4DD41384"/>
    <w:rsid w:val="4E340088"/>
    <w:rsid w:val="538D7F71"/>
    <w:rsid w:val="56D165B9"/>
    <w:rsid w:val="5D6F5260"/>
    <w:rsid w:val="600A79F0"/>
    <w:rsid w:val="63B2246C"/>
    <w:rsid w:val="65426522"/>
    <w:rsid w:val="6E14240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2625</Words>
  <Characters>2714</Characters>
  <Lines>0</Lines>
  <Paragraphs>0</Paragraphs>
  <TotalTime>7</TotalTime>
  <ScaleCrop>false</ScaleCrop>
  <LinksUpToDate>false</LinksUpToDate>
  <CharactersWithSpaces>2814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2020-01-07T02:24:00Z</cp:lastPrinted>
  <dcterms:modified xsi:type="dcterms:W3CDTF">2024-07-04T02:18:22Z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38CE13BCD224476DA58B84EEDA5A9C92_13</vt:lpwstr>
  </property>
</Properties>
</file>