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color w:val="000000" w:themeColor="text1"/>
          <w:sz w:val="44"/>
          <w:szCs w:val="44"/>
        </w:rPr>
      </w:pPr>
      <w:bookmarkStart w:id="3" w:name="_GoBack"/>
      <w:bookmarkEnd w:id="3"/>
      <w:r>
        <w:rPr>
          <w:rFonts w:hint="eastAsia" w:ascii="Times New Roman" w:hAnsi="Times New Roman" w:eastAsia="方正小标宋_GBK" w:cs="Times New Roman"/>
          <w:color w:val="000000" w:themeColor="text1"/>
          <w:sz w:val="44"/>
          <w:szCs w:val="44"/>
        </w:rPr>
        <w:t>石家庄市鹿泉区民政局</w:t>
      </w:r>
    </w:p>
    <w:p>
      <w:pPr>
        <w:jc w:val="center"/>
        <w:rPr>
          <w:rFonts w:ascii="Times New Roman" w:hAnsi="Times New Roman" w:eastAsia="方正小标宋_GBK" w:cs="Times New Roman"/>
          <w:color w:val="000000" w:themeColor="text1"/>
          <w:sz w:val="44"/>
          <w:szCs w:val="44"/>
        </w:rPr>
      </w:pPr>
      <w:r>
        <w:rPr>
          <w:rFonts w:ascii="Times New Roman" w:hAnsi="Times New Roman" w:eastAsia="方正小标宋_GBK" w:cs="Times New Roman"/>
          <w:color w:val="000000" w:themeColor="text1"/>
          <w:sz w:val="44"/>
          <w:szCs w:val="44"/>
        </w:rPr>
        <w:t>201</w:t>
      </w:r>
      <w:r>
        <w:rPr>
          <w:rFonts w:hint="eastAsia" w:ascii="Times New Roman" w:hAnsi="Times New Roman" w:eastAsia="方正小标宋_GBK" w:cs="Times New Roman"/>
          <w:color w:val="000000" w:themeColor="text1"/>
          <w:sz w:val="44"/>
          <w:szCs w:val="44"/>
        </w:rPr>
        <w:t>9</w:t>
      </w:r>
      <w:r>
        <w:rPr>
          <w:rFonts w:ascii="Times New Roman" w:hAnsi="Times New Roman" w:eastAsia="方正小标宋_GBK" w:cs="Times New Roman"/>
          <w:color w:val="000000" w:themeColor="text1"/>
          <w:sz w:val="44"/>
          <w:szCs w:val="44"/>
        </w:rPr>
        <w:t>年部门预算信息公开</w:t>
      </w:r>
      <w:r>
        <w:rPr>
          <w:rFonts w:hint="eastAsia" w:ascii="Times New Roman" w:hAnsi="Times New Roman" w:eastAsia="方正小标宋_GBK" w:cs="Times New Roman"/>
          <w:color w:val="000000" w:themeColor="text1"/>
          <w:sz w:val="44"/>
          <w:szCs w:val="44"/>
        </w:rPr>
        <w:t>情况说明</w:t>
      </w:r>
    </w:p>
    <w:p>
      <w:pPr>
        <w:ind w:firstLine="640" w:firstLineChars="200"/>
        <w:rPr>
          <w:rFonts w:ascii="仿宋" w:hAnsi="仿宋" w:eastAsia="仿宋" w:cs="仿宋"/>
          <w:color w:val="000000" w:themeColor="text1"/>
          <w:sz w:val="32"/>
          <w:szCs w:val="32"/>
        </w:rPr>
      </w:pP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按照《</w:t>
      </w:r>
      <w:r>
        <w:rPr>
          <w:rFonts w:hint="eastAsia" w:ascii="仿宋" w:hAnsi="仿宋" w:eastAsia="仿宋" w:cs="仿宋"/>
          <w:color w:val="000000" w:themeColor="text1"/>
          <w:sz w:val="32"/>
          <w:szCs w:val="32"/>
          <w:lang w:val="en-US" w:eastAsia="zh-CN"/>
        </w:rPr>
        <w:t>中华人民共和国</w:t>
      </w:r>
      <w:r>
        <w:rPr>
          <w:rFonts w:hint="eastAsia" w:ascii="仿宋" w:hAnsi="仿宋" w:eastAsia="仿宋" w:cs="仿宋"/>
          <w:color w:val="000000" w:themeColor="text1"/>
          <w:sz w:val="32"/>
          <w:szCs w:val="32"/>
        </w:rPr>
        <w:t>预算法》、《地方预决算公开操作规程》和《河北省省级预算公开办法》规定，现将石家庄市鹿泉区民政局2019年部门预算公开如下：</w:t>
      </w:r>
    </w:p>
    <w:p>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一、部门职责及机构设置情况</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部门</w:t>
      </w:r>
      <w:r>
        <w:rPr>
          <w:rFonts w:ascii="仿宋" w:hAnsi="仿宋" w:eastAsia="仿宋" w:cs="Times New Roman"/>
          <w:color w:val="000000" w:themeColor="text1"/>
          <w:sz w:val="32"/>
          <w:szCs w:val="32"/>
        </w:rPr>
        <w:t>职责：</w:t>
      </w:r>
      <w:r>
        <w:rPr>
          <w:rFonts w:hint="eastAsia" w:ascii="仿宋" w:hAnsi="仿宋" w:eastAsia="仿宋" w:cs="Times New Roman"/>
          <w:color w:val="000000" w:themeColor="text1"/>
          <w:sz w:val="32"/>
          <w:szCs w:val="32"/>
        </w:rPr>
        <w:t>（一）贯彻执行国家、省、市民政事业发展法律法规、规章、政策、规划，拟订民政事业发展规划并组织实施。</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（二）拟订社会团体、社会服务机构等社会组织监督管理办法并组织实施，依法对全区社会组织进行管理和监督检查。负责区社会组织党委日常工作。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（三）贯彻执行社会救助有关政策和标准，统筹社会救助体系建设，负责城乡居民最低生活保障、特困人员救助供养、临时救助、生活无着流浪乞讨人员救助工作。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（四）拟订全区社区建设政策及基层群众自治管理办法；指导城乡社区治理体系和能力建设；提出加强和改进基层政权建设的建议，推动基层民主政治建设。</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五）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（六）负责婚姻登记管理工作，推进婚俗改革，做好婚姻登记相关工作。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（七）贯彻执行殡葬管理法律法规政策，拟定全区殡葬服务规范并组织实施，推进殡葬改革，指导殡葬服务机构做好相关工作。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（八）统筹推进、督促指导、监督管理全区养老服务工作。拟订全区养老服务体系建设规划、政策、标准并组织实施，承担老年人福利和特殊困难老年人救助工作。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（九）会同相关部门做好残疾人权益保护相关工作，统筹推进残疾人福利制度建设和康复辅助器具产业发展。</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（十）拟订全区儿童福利、儿童救助相关政策标准并组织实施。负责儿童收养登记管理工作，负责农村留守儿童关爱保护和困境儿童保障工作。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（十一）负责促进全区慈善事业发展，拟订慈善信托、慈善组织活动管理办法，组织开展慈善捐助工作，负责社会公益性慈善捐赠监管工作，指导慈善精准扶贫帮扶工作，负责福利彩票管理工作。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（十二）拟订全区社会工作发展规划、志愿服务规范和标准并组织实施，会同有关部门推进社会工作人才队伍和志愿者队伍建设。</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（十三）负责民政系统综合执法工作；按上级部署指导乡（镇、区）做好民政执法工作。</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十四）贯彻落实党中央、国家、省、市各项扶贫开发方针政策和法律法规、规章，拟订扶贫开发工作相关方案；组织落实国家、省、市扶贫开发规划；拟订全区扶贫开发中长期规划和年度计划并组织实施；负责全区贫困识别和动态调整工作，负责全区贫困状况的统计和监测工作，组织实施贫困退出工作；负责扶贫开发工作成效考核评估工作；监督检查扶贫开发政策、责任、工作落实情况；配合有关部门拟订财政专项扶贫资金管理办法，开展绩效评价，提出财政专项扶贫资金分配意见建议，指导监督财政专项扶贫资金使用管理；协调社会各界参与扶贫开发工作，负责协调联系国家、省、市、区机关和有关单位对口帮扶工作，会同有关部门做好驻村帮扶工作；负责扶贫开发重大事项调查研究；负责扶贫开发宣传报道和信息发布工作；承担区扶贫开发和脱贫工作领导小组办公室职责。</w:t>
      </w:r>
    </w:p>
    <w:p>
      <w:pPr>
        <w:ind w:firstLine="640" w:firstLineChars="20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（十五）完成区委、区政府交办的其他任务。</w:t>
      </w:r>
    </w:p>
    <w:p>
      <w:pPr>
        <w:ind w:firstLine="640" w:firstLineChars="200"/>
        <w:rPr>
          <w:rFonts w:ascii="仿宋" w:hAnsi="仿宋" w:eastAsia="仿宋" w:cs="Times New Roman"/>
          <w:color w:val="000000" w:themeColor="text1"/>
          <w:sz w:val="32"/>
          <w:szCs w:val="32"/>
        </w:rPr>
      </w:pPr>
    </w:p>
    <w:p>
      <w:pPr>
        <w:ind w:firstLine="640" w:firstLineChars="200"/>
        <w:rPr>
          <w:rFonts w:ascii="仿宋" w:hAnsi="仿宋" w:eastAsia="仿宋" w:cs="Times New Roman"/>
          <w:color w:val="000000" w:themeColor="text1"/>
          <w:sz w:val="32"/>
          <w:szCs w:val="32"/>
        </w:rPr>
      </w:pPr>
    </w:p>
    <w:p>
      <w:pPr>
        <w:ind w:firstLine="640" w:firstLineChars="200"/>
        <w:rPr>
          <w:rFonts w:ascii="仿宋" w:hAnsi="仿宋" w:eastAsia="仿宋" w:cs="Times New Roman"/>
          <w:color w:val="000000" w:themeColor="text1"/>
          <w:sz w:val="32"/>
          <w:szCs w:val="32"/>
        </w:rPr>
      </w:pPr>
    </w:p>
    <w:p>
      <w:pPr>
        <w:ind w:firstLine="640" w:firstLineChars="200"/>
        <w:rPr>
          <w:rFonts w:ascii="仿宋" w:hAnsi="仿宋" w:eastAsia="仿宋" w:cs="Times New Roman"/>
          <w:color w:val="000000" w:themeColor="text1"/>
          <w:sz w:val="32"/>
          <w:szCs w:val="32"/>
        </w:rPr>
      </w:pPr>
    </w:p>
    <w:p>
      <w:pPr>
        <w:autoSpaceDE w:val="0"/>
        <w:autoSpaceDN w:val="0"/>
        <w:adjustRightInd w:val="0"/>
        <w:ind w:left="198"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机构设置：</w:t>
      </w:r>
    </w:p>
    <w:p>
      <w:pPr>
        <w:jc w:val="center"/>
        <w:outlineLvl w:val="0"/>
        <w:rPr>
          <w:rFonts w:ascii="仿宋" w:hAnsi="仿宋" w:eastAsia="仿宋" w:cs="Times New Roman"/>
          <w:color w:val="000000" w:themeColor="text1"/>
          <w:sz w:val="32"/>
          <w:szCs w:val="24"/>
        </w:rPr>
      </w:pPr>
      <w:r>
        <w:rPr>
          <w:rFonts w:ascii="仿宋" w:hAnsi="仿宋" w:eastAsia="仿宋" w:cs="Times New Roman"/>
          <w:color w:val="000000" w:themeColor="text1"/>
          <w:sz w:val="32"/>
          <w:szCs w:val="24"/>
        </w:rPr>
        <w:t>部门</w:t>
      </w:r>
      <w:r>
        <w:rPr>
          <w:rFonts w:hint="eastAsia" w:ascii="仿宋" w:hAnsi="仿宋" w:eastAsia="仿宋" w:cs="Times New Roman"/>
          <w:color w:val="000000" w:themeColor="text1"/>
          <w:sz w:val="32"/>
          <w:szCs w:val="24"/>
        </w:rPr>
        <w:t>机构设置情况</w:t>
      </w:r>
    </w:p>
    <w:tbl>
      <w:tblPr>
        <w:tblStyle w:val="8"/>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restart"/>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单位名称</w:t>
            </w:r>
          </w:p>
        </w:tc>
        <w:tc>
          <w:tcPr>
            <w:tcW w:w="1134" w:type="dxa"/>
            <w:vMerge w:val="restart"/>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单位性质</w:t>
            </w:r>
          </w:p>
        </w:tc>
        <w:tc>
          <w:tcPr>
            <w:tcW w:w="1276" w:type="dxa"/>
            <w:vMerge w:val="restart"/>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单位规格</w:t>
            </w:r>
          </w:p>
        </w:tc>
        <w:tc>
          <w:tcPr>
            <w:tcW w:w="2353" w:type="dxa"/>
            <w:vMerge w:val="restart"/>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continue"/>
            <w:shd w:val="clear" w:color="auto" w:fill="auto"/>
            <w:vAlign w:val="center"/>
          </w:tcPr>
          <w:p>
            <w:pPr>
              <w:spacing w:line="300" w:lineRule="exact"/>
              <w:jc w:val="left"/>
              <w:outlineLvl w:val="0"/>
              <w:rPr>
                <w:rFonts w:ascii="仿宋" w:hAnsi="仿宋" w:eastAsia="仿宋"/>
                <w:color w:val="000000" w:themeColor="text1"/>
              </w:rPr>
            </w:pPr>
          </w:p>
        </w:tc>
        <w:tc>
          <w:tcPr>
            <w:tcW w:w="1134" w:type="dxa"/>
            <w:vMerge w:val="continue"/>
            <w:shd w:val="clear" w:color="auto" w:fill="auto"/>
            <w:vAlign w:val="center"/>
          </w:tcPr>
          <w:p>
            <w:pPr>
              <w:spacing w:line="300" w:lineRule="exact"/>
              <w:jc w:val="left"/>
              <w:outlineLvl w:val="0"/>
              <w:rPr>
                <w:rFonts w:ascii="仿宋" w:hAnsi="仿宋" w:eastAsia="仿宋"/>
                <w:color w:val="000000" w:themeColor="text1"/>
              </w:rPr>
            </w:pPr>
          </w:p>
        </w:tc>
        <w:tc>
          <w:tcPr>
            <w:tcW w:w="1276" w:type="dxa"/>
            <w:vMerge w:val="continue"/>
            <w:shd w:val="clear" w:color="auto" w:fill="auto"/>
            <w:vAlign w:val="center"/>
          </w:tcPr>
          <w:p>
            <w:pPr>
              <w:spacing w:line="300" w:lineRule="exact"/>
              <w:jc w:val="left"/>
              <w:outlineLvl w:val="0"/>
              <w:rPr>
                <w:rFonts w:ascii="仿宋" w:hAnsi="仿宋" w:eastAsia="仿宋"/>
                <w:color w:val="000000" w:themeColor="text1"/>
              </w:rPr>
            </w:pPr>
          </w:p>
        </w:tc>
        <w:tc>
          <w:tcPr>
            <w:tcW w:w="2353" w:type="dxa"/>
            <w:vMerge w:val="continue"/>
            <w:shd w:val="clear" w:color="auto" w:fill="auto"/>
            <w:vAlign w:val="center"/>
          </w:tcPr>
          <w:p>
            <w:pPr>
              <w:spacing w:line="300" w:lineRule="exact"/>
              <w:jc w:val="left"/>
              <w:outlineLvl w:val="0"/>
              <w:rPr>
                <w:rFonts w:ascii="仿宋" w:hAnsi="仿宋" w:eastAsia="仿宋"/>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合</w:t>
            </w:r>
            <w:r>
              <w:rPr>
                <w:rFonts w:ascii="仿宋" w:hAnsi="仿宋" w:eastAsia="仿宋"/>
                <w:b/>
                <w:color w:val="000000" w:themeColor="text1"/>
              </w:rPr>
              <w:t xml:space="preserve">    </w:t>
            </w:r>
            <w:r>
              <w:rPr>
                <w:rFonts w:hint="eastAsia" w:ascii="仿宋" w:hAnsi="仿宋" w:eastAsia="仿宋"/>
                <w:b/>
                <w:color w:val="000000" w:themeColor="text1"/>
              </w:rPr>
              <w:t>计</w:t>
            </w:r>
          </w:p>
        </w:tc>
        <w:tc>
          <w:tcPr>
            <w:tcW w:w="1134" w:type="dxa"/>
            <w:shd w:val="clear" w:color="auto" w:fill="auto"/>
            <w:vAlign w:val="center"/>
          </w:tcPr>
          <w:p>
            <w:pPr>
              <w:spacing w:line="300" w:lineRule="exact"/>
              <w:jc w:val="center"/>
              <w:rPr>
                <w:rFonts w:ascii="仿宋" w:hAnsi="仿宋" w:eastAsia="仿宋"/>
                <w:b/>
                <w:color w:val="000000" w:themeColor="text1"/>
              </w:rPr>
            </w:pPr>
          </w:p>
        </w:tc>
        <w:tc>
          <w:tcPr>
            <w:tcW w:w="1276" w:type="dxa"/>
            <w:shd w:val="clear" w:color="auto" w:fill="auto"/>
            <w:vAlign w:val="center"/>
          </w:tcPr>
          <w:p>
            <w:pPr>
              <w:spacing w:line="300" w:lineRule="exact"/>
              <w:jc w:val="center"/>
              <w:rPr>
                <w:rFonts w:ascii="仿宋" w:hAnsi="仿宋" w:eastAsia="仿宋"/>
                <w:b/>
                <w:color w:val="000000" w:themeColor="text1"/>
              </w:rPr>
            </w:pPr>
          </w:p>
        </w:tc>
        <w:tc>
          <w:tcPr>
            <w:tcW w:w="2353" w:type="dxa"/>
            <w:shd w:val="clear" w:color="auto" w:fill="auto"/>
            <w:vAlign w:val="center"/>
          </w:tcPr>
          <w:p>
            <w:pPr>
              <w:spacing w:line="300" w:lineRule="exact"/>
              <w:jc w:val="center"/>
              <w:rPr>
                <w:rFonts w:ascii="仿宋" w:hAnsi="仿宋" w:eastAsia="仿宋"/>
                <w:b/>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仿宋" w:hAnsi="仿宋" w:eastAsia="仿宋"/>
                <w:color w:val="000000" w:themeColor="text1"/>
              </w:rPr>
            </w:pPr>
            <w:r>
              <w:rPr>
                <w:rFonts w:hint="eastAsia" w:ascii="仿宋" w:hAnsi="仿宋" w:eastAsia="仿宋"/>
                <w:color w:val="000000" w:themeColor="text1"/>
              </w:rPr>
              <w:t>石家庄市鹿泉区民政局</w:t>
            </w:r>
          </w:p>
        </w:tc>
        <w:tc>
          <w:tcPr>
            <w:tcW w:w="1134"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行政</w:t>
            </w:r>
          </w:p>
        </w:tc>
        <w:tc>
          <w:tcPr>
            <w:tcW w:w="1276"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正科级</w:t>
            </w:r>
          </w:p>
        </w:tc>
        <w:tc>
          <w:tcPr>
            <w:tcW w:w="2353"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仿宋" w:hAnsi="仿宋" w:eastAsia="仿宋"/>
                <w:color w:val="000000" w:themeColor="text1"/>
              </w:rPr>
            </w:pPr>
            <w:r>
              <w:rPr>
                <w:rFonts w:hint="eastAsia" w:ascii="仿宋" w:hAnsi="仿宋" w:eastAsia="仿宋"/>
                <w:color w:val="000000" w:themeColor="text1"/>
              </w:rPr>
              <w:t>石家庄市鹿泉区殡仪馆</w:t>
            </w:r>
          </w:p>
        </w:tc>
        <w:tc>
          <w:tcPr>
            <w:tcW w:w="1134"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事业</w:t>
            </w:r>
          </w:p>
        </w:tc>
        <w:tc>
          <w:tcPr>
            <w:tcW w:w="1276"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正股级</w:t>
            </w:r>
          </w:p>
        </w:tc>
        <w:tc>
          <w:tcPr>
            <w:tcW w:w="2353"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仿宋" w:hAnsi="仿宋" w:eastAsia="仿宋"/>
                <w:color w:val="000000" w:themeColor="text1"/>
              </w:rPr>
            </w:pPr>
            <w:r>
              <w:rPr>
                <w:rFonts w:hint="eastAsia" w:ascii="仿宋" w:hAnsi="仿宋" w:eastAsia="仿宋"/>
                <w:color w:val="000000" w:themeColor="text1"/>
              </w:rPr>
              <w:t>石家庄鹿泉区民政事业服务中心</w:t>
            </w:r>
          </w:p>
        </w:tc>
        <w:tc>
          <w:tcPr>
            <w:tcW w:w="1134"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事业</w:t>
            </w:r>
          </w:p>
        </w:tc>
        <w:tc>
          <w:tcPr>
            <w:tcW w:w="1276"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正股级</w:t>
            </w:r>
          </w:p>
        </w:tc>
        <w:tc>
          <w:tcPr>
            <w:tcW w:w="2353"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财政性资金基本保证</w:t>
            </w:r>
          </w:p>
        </w:tc>
      </w:tr>
    </w:tbl>
    <w:p>
      <w:pPr>
        <w:ind w:firstLine="640"/>
        <w:rPr>
          <w:rFonts w:ascii="仿宋" w:hAnsi="仿宋" w:eastAsia="仿宋" w:cs="Times New Roman"/>
          <w:color w:val="000000" w:themeColor="text1"/>
          <w:sz w:val="32"/>
          <w:szCs w:val="32"/>
        </w:rPr>
      </w:pPr>
    </w:p>
    <w:p>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二、部门预算安排的总体情况</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按照预算管理有关规定，目前我区部门预算的编制实行综合预算管理，即全部收入和支出都反映在预算中。鹿泉区民政局机关及所属事业单位的收支包含在部门预算中。</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1、收入说明</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反映本部门当年全部收入。2019年预算收入4733.11万元，其中：一般公共预算收入4517.23万元，基金预算收入215.88万元。</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2、支出说明</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收支预算总表支出栏、基本支出表、项目支出表按经济分类和支出功能分类科目编制，反映鹿泉区民政局年度部门预算中支出预算的总体情况。2019年支出预算4733.11万元，其中基本支出1021.18万元，项目支出3711.93万元。</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3、比上年增减情况</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2019年预算收支安排4733.11万元，较2018年预算减少5089.74万元，其中：基本支出减少21.8万元，；项目支出减少5067.94万元，主要由于机构改革涉军职能划分。</w:t>
      </w:r>
    </w:p>
    <w:p>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三、机关运行经费安排情况</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2019年，我局机关运行经费共计安排156.15万元，主要用于日常维修、办公用房水电费、办公用房取暖费、办公用房物业管理费等日常运行支出。</w:t>
      </w:r>
    </w:p>
    <w:p>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四、财政拨款</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三公</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经费预算情况及增减变化原因</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2019年，我局财政拨款“三公”经费预算安排13.5万元，其中因公出国（境）费0万元；公务用车购置及运维费13.5万元（其中：公务用车购置费为0万元，公务用车运维费13.5万元)；公务接待费0万元。</w:t>
      </w:r>
      <w:r>
        <w:rPr>
          <w:rFonts w:ascii="仿宋" w:hAnsi="仿宋" w:eastAsia="仿宋" w:cs="仿宋"/>
          <w:color w:val="000000" w:themeColor="text1"/>
          <w:sz w:val="32"/>
          <w:szCs w:val="32"/>
        </w:rPr>
        <w:t>与20</w:t>
      </w:r>
      <w:r>
        <w:rPr>
          <w:rFonts w:hint="eastAsia" w:ascii="仿宋" w:hAnsi="仿宋" w:eastAsia="仿宋" w:cs="仿宋"/>
          <w:color w:val="000000" w:themeColor="text1"/>
          <w:sz w:val="32"/>
          <w:szCs w:val="32"/>
        </w:rPr>
        <w:t>18</w:t>
      </w:r>
      <w:r>
        <w:rPr>
          <w:rFonts w:ascii="仿宋" w:hAnsi="仿宋" w:eastAsia="仿宋" w:cs="仿宋"/>
          <w:color w:val="000000" w:themeColor="text1"/>
          <w:sz w:val="32"/>
          <w:szCs w:val="32"/>
        </w:rPr>
        <w:t>年</w:t>
      </w:r>
      <w:r>
        <w:rPr>
          <w:rFonts w:hint="eastAsia" w:ascii="仿宋" w:hAnsi="仿宋" w:eastAsia="仿宋" w:cs="仿宋"/>
          <w:color w:val="000000" w:themeColor="text1"/>
          <w:sz w:val="32"/>
          <w:szCs w:val="32"/>
        </w:rPr>
        <w:t>相比持平</w:t>
      </w:r>
      <w:r>
        <w:rPr>
          <w:rFonts w:ascii="仿宋" w:hAnsi="仿宋" w:eastAsia="仿宋" w:cs="仿宋"/>
          <w:color w:val="000000" w:themeColor="text1"/>
          <w:sz w:val="32"/>
          <w:szCs w:val="32"/>
        </w:rPr>
        <w:t>，</w:t>
      </w:r>
      <w:r>
        <w:rPr>
          <w:rFonts w:hint="eastAsia" w:ascii="仿宋" w:hAnsi="仿宋" w:eastAsia="仿宋" w:cs="仿宋"/>
          <w:color w:val="000000" w:themeColor="text1"/>
          <w:sz w:val="32"/>
          <w:szCs w:val="32"/>
        </w:rPr>
        <w:t>无增减变化</w:t>
      </w:r>
      <w:r>
        <w:rPr>
          <w:rFonts w:ascii="仿宋" w:hAnsi="仿宋" w:eastAsia="仿宋" w:cs="仿宋"/>
          <w:color w:val="000000" w:themeColor="text1"/>
          <w:sz w:val="32"/>
          <w:szCs w:val="32"/>
        </w:rPr>
        <w:t>。</w:t>
      </w:r>
    </w:p>
    <w:p>
      <w:pPr>
        <w:ind w:firstLine="640"/>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五、绩效预算信息</w:t>
      </w:r>
    </w:p>
    <w:p>
      <w:pPr>
        <w:ind w:firstLine="643" w:firstLineChars="200"/>
        <w:jc w:val="left"/>
        <w:rPr>
          <w:rFonts w:ascii="Times New Roman" w:hAnsi="Times New Roman" w:eastAsia="方正仿宋_GBK" w:cs="Times New Roman"/>
          <w:b/>
          <w:color w:val="000000" w:themeColor="text1"/>
          <w:sz w:val="32"/>
          <w:szCs w:val="32"/>
        </w:rPr>
      </w:pPr>
      <w:bookmarkStart w:id="0" w:name="_Toc471398463"/>
      <w:r>
        <w:rPr>
          <w:rFonts w:ascii="Times New Roman" w:hAnsi="Times New Roman" w:eastAsia="方正仿宋_GBK" w:cs="Times New Roman"/>
          <w:b/>
          <w:color w:val="000000" w:themeColor="text1"/>
          <w:sz w:val="32"/>
          <w:szCs w:val="32"/>
        </w:rPr>
        <w:t>总体绩效目标：</w:t>
      </w:r>
    </w:p>
    <w:p>
      <w:pPr>
        <w:ind w:firstLine="560"/>
        <w:rPr>
          <w:rFonts w:ascii="Times New Roman" w:hAnsi="Times New Roman" w:eastAsia="方正仿宋_GBK" w:cs="Times New Roman"/>
          <w:color w:val="000000" w:themeColor="text1"/>
          <w:sz w:val="32"/>
          <w:szCs w:val="32"/>
        </w:rPr>
      </w:pPr>
      <w:r>
        <w:rPr>
          <w:rFonts w:hint="eastAsia" w:ascii="仿宋" w:hAnsi="仿宋" w:eastAsia="仿宋" w:cs="仿宋"/>
          <w:color w:val="000000" w:themeColor="text1"/>
          <w:sz w:val="32"/>
          <w:szCs w:val="32"/>
        </w:rPr>
        <w:t>2019年，坚持以习近平新时代中国特色社会主义思想为指导，认真落实区委区政府决策部署，按照“稳、进、好、准、度”要求，以全面建设高质量财政、更好服务全区高质量发展为主线，以“五个聚焦”为着力点（聚焦财力匹配、保障有力，狠抓财源建设；聚焦配置优化、绩效突出，实施绩效管理；聚焦规范透明、约束硬化，推进依法理财；聚焦权责清晰、体制顺畅，深化财税改革；聚焦基础扎实、运行稳健，防范化解风险），以加强党的建设为保证，奋力开创全区民政改革发展新局面，提供更加有力的支撑。</w:t>
      </w:r>
    </w:p>
    <w:p>
      <w:pPr>
        <w:ind w:firstLine="643" w:firstLineChars="200"/>
        <w:jc w:val="left"/>
        <w:rPr>
          <w:rFonts w:ascii="Times New Roman" w:hAnsi="Times New Roman" w:eastAsia="方正仿宋_GBK" w:cs="Times New Roman"/>
          <w:b/>
          <w:color w:val="000000" w:themeColor="text1"/>
          <w:sz w:val="32"/>
          <w:szCs w:val="32"/>
        </w:rPr>
      </w:pPr>
      <w:r>
        <w:rPr>
          <w:rFonts w:hint="eastAsia" w:ascii="Times New Roman" w:hAnsi="Times New Roman" w:eastAsia="方正仿宋_GBK" w:cs="Times New Roman"/>
          <w:b/>
          <w:color w:val="000000" w:themeColor="text1"/>
          <w:sz w:val="32"/>
          <w:szCs w:val="32"/>
        </w:rPr>
        <w:t>职责分类绩效目标：</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一是着力提高收入质量。把收入提质放在更加突出的位置，落实促进县域经济高质量发展十条财政政策，培育优质财源，促进县域收入规模质量双提升。强化财税部门协调联动，深化综合治税，规范非税管理，做好分析预测、运行监控、调度督导等工作，开展收入质量督查，确保完成收入目标任务，并不断优化收入结构、提高税收占比。</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二是着力优化支出结构。加强财政资金统筹使用，优化资金投向，重点向民生、运转、“三农”、科技和发展方面倾斜，新增项目围绕落实区决策部署安排，增加有效供给，坚决取消政策到期项目，严控非急需、非刚性和一般性支出，继续压减“三公”经费。加大涉农资金统筹整合力度，重点支持扶贫、产业结构调整等十个方面，并用好市场化机制，改进财政投入方式，发挥股权基金、补贴资金的引导撬动作用，全面提升财政资源配置效率。精编项目预算，将所有资金全部细化到具体项目，并组织做好机构改革相关部门预算编制工作。加快支出进度，健全激励约束机制，强化部门主体责任和市县工作责任，确保财政资金均衡支出；除按规定或确有特殊原因结转外，项目资金当年全部形成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三是着力助推经济发展。积极推动协同发展战略实施，实施降本减负专项行动，全面落实国家减税降费政策。</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四是着力保障改善民生。研究财政保障民生政策落实的措施，统筹财力支持区委区政府民心工程实施，认真做好民生政策提标扩面资金保障，支持乡村振兴战略实施，不断推进基本公共服务均等化。</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五是着力加强资金监管。认真执行专项资金管理制度，突出抓好扶贫资金监督、管理和追责等制度落实；完善用好财政资金监控系统，实施全流程预算监管，全面落实资金管理台账、公告公示等制度；重点围绕扶贫、养老、开展专项检查，及时发现问题，严肃问责处理。</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六是着力实施绩效管理。认真落实党中央、国务院及我区实施意见，积极构建政府预算、部门预算、政策和项目预算绩效管理体系及支撑体系、责任体系，推进在区全面实施。科学设定部门年度整体绩效目标，对所有预算项目设定绩效目标指标，建立重大政策和项目事前绩效评估机制，完善预算管理信息系统，对绩效目标实现程度和执行进度实行“双监控”。推动财政重点评价覆盖所有专项资金，将评价结果与预算安排和政策调整挂钩。</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七是着力深化财税改革。根据中央改革进展，完善出台《河北省预算管理规定》。深入实施中期财政管理，完善跨年度预算平衡机制。落实个人所得税制度改革。</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八是着力防范财政风险。加强隐性债务统计监测，建立化解台账，坚决遏制隐性债务增量。</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九是着力推进依法理财。加大财会人员培训力度，提高规范从业水平。抓好财政内控制度执行，全面应用会计集中核算平台和财政公务卡系统，深化政府采购监管、“一网、一门、一次”等财政</w:t>
      </w:r>
      <w:r>
        <w:rPr>
          <w:rFonts w:hint="eastAsia" w:ascii="仿宋" w:hAnsi="仿宋" w:eastAsia="仿宋" w:cs="仿宋"/>
          <w:color w:val="000000" w:themeColor="text1"/>
          <w:sz w:val="32"/>
          <w:szCs w:val="32"/>
          <w:lang w:eastAsia="zh-CN"/>
        </w:rPr>
        <w:t>“放管服”改革</w:t>
      </w:r>
      <w:r>
        <w:rPr>
          <w:rFonts w:hint="eastAsia" w:ascii="仿宋" w:hAnsi="仿宋" w:eastAsia="仿宋" w:cs="仿宋"/>
          <w:color w:val="000000" w:themeColor="text1"/>
          <w:sz w:val="32"/>
          <w:szCs w:val="32"/>
        </w:rPr>
        <w:t>。全面推进政务公开。</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十是着力夯实基础工作。落实《加强机关党的政治建设十项规定》，巩固完善严肃党内政治生活“四项机制”，开展思想政治学习“以考促学”活动，深入推进系统党风廉政建设，把“四个意识”“两个维护”坚决落实到财政工作中。实施干部素质提升工程，持续转变工作作风，推行“一次办好”，进一步提升财政干部综合素质和履职能力。健全基层财政组织机构，完善督办落实机制和基础台账系统，加强信息化建设。</w:t>
      </w:r>
    </w:p>
    <w:p>
      <w:pPr>
        <w:ind w:firstLine="640" w:firstLineChars="200"/>
        <w:rPr>
          <w:rFonts w:ascii="仿宋" w:hAnsi="仿宋" w:eastAsia="仿宋" w:cs="仿宋"/>
          <w:color w:val="000000" w:themeColor="text1"/>
          <w:sz w:val="32"/>
          <w:szCs w:val="32"/>
        </w:rPr>
      </w:pPr>
    </w:p>
    <w:p>
      <w:pPr>
        <w:ind w:firstLine="640" w:firstLineChars="200"/>
        <w:rPr>
          <w:rFonts w:ascii="仿宋" w:hAnsi="仿宋" w:eastAsia="仿宋" w:cs="仿宋"/>
          <w:color w:val="000000" w:themeColor="text1"/>
          <w:sz w:val="32"/>
          <w:szCs w:val="32"/>
        </w:rPr>
      </w:pPr>
    </w:p>
    <w:p>
      <w:pPr>
        <w:ind w:firstLine="560"/>
        <w:rPr>
          <w:rFonts w:ascii="楷体_GB2312" w:hAnsi="Times New Roman" w:eastAsia="楷体_GB2312" w:cs="Times New Roman"/>
          <w:b/>
          <w:color w:val="000000" w:themeColor="text1"/>
          <w:sz w:val="32"/>
          <w:szCs w:val="24"/>
        </w:rPr>
      </w:pPr>
      <w:r>
        <w:rPr>
          <w:rFonts w:hint="eastAsia" w:ascii="楷体_GB2312" w:hAnsi="黑体" w:eastAsia="楷体_GB2312" w:cs="Times New Roman"/>
          <w:b/>
          <w:color w:val="000000" w:themeColor="text1"/>
          <w:sz w:val="32"/>
          <w:szCs w:val="32"/>
        </w:rPr>
        <w:t>部门职责及工作活动绩效目标指标：</w:t>
      </w:r>
    </w:p>
    <w:bookmarkEnd w:id="0"/>
    <w:p>
      <w:pPr>
        <w:jc w:val="center"/>
        <w:outlineLvl w:val="0"/>
        <w:rPr>
          <w:rFonts w:ascii="方正小标宋_GBK" w:hAnsi="Calibri" w:eastAsia="方正小标宋_GBK" w:cs="Times New Roman"/>
          <w:color w:val="000000" w:themeColor="text1"/>
          <w:sz w:val="32"/>
        </w:rPr>
      </w:pPr>
      <w:bookmarkStart w:id="1" w:name="_Toc2497368"/>
      <w:r>
        <w:rPr>
          <w:rFonts w:hint="eastAsia" w:ascii="方正小标宋_GBK" w:hAnsi="Calibri" w:eastAsia="方正小标宋_GBK" w:cs="Times New Roman"/>
          <w:color w:val="000000" w:themeColor="text1"/>
          <w:sz w:val="32"/>
        </w:rPr>
        <w:t>部门职责-工作活动绩效目标</w:t>
      </w:r>
      <w:r>
        <w:rPr>
          <w:rStyle w:val="12"/>
          <w:rFonts w:ascii="方正小标宋_GBK" w:hAnsi="Calibri" w:eastAsia="方正小标宋_GBK" w:cs="Times New Roman"/>
          <w:color w:val="000000" w:themeColor="text1"/>
          <w:sz w:val="32"/>
        </w:rPr>
        <w:footnoteReference w:id="0" w:customMarkFollows="1"/>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hAnsi="Calibri" w:eastAsia="方正小标宋_GBK" w:cs="Times New Roman"/>
                <w:color w:val="000000" w:themeColor="text1"/>
                <w:sz w:val="24"/>
              </w:rPr>
            </w:pPr>
            <w:r>
              <w:rPr>
                <w:rFonts w:ascii="方正小标宋_GBK" w:hAnsi="Calibri" w:eastAsia="方正小标宋_GBK" w:cs="Times New Roman"/>
                <w:color w:val="000000" w:themeColor="text1"/>
                <w:sz w:val="24"/>
              </w:rPr>
              <w:t>314</w:t>
            </w:r>
            <w:r>
              <w:rPr>
                <w:rFonts w:hint="eastAsia" w:ascii="方正小标宋_GBK" w:hAnsi="Calibri" w:eastAsia="方正小标宋_GBK" w:cs="Times New Roman"/>
                <w:color w:val="000000" w:themeColor="text1"/>
                <w:sz w:val="24"/>
              </w:rPr>
              <w:t>石家庄市鹿泉区民政局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hAnsi="Calibri" w:eastAsia="方正书宋_GBK" w:cs="Times New Roman"/>
                <w:color w:val="000000" w:themeColor="text1"/>
                <w:sz w:val="24"/>
              </w:rPr>
            </w:pPr>
            <w:r>
              <w:rPr>
                <w:rFonts w:hint="eastAsia" w:ascii="方正书宋_GBK" w:hAnsi="Calibri" w:eastAsia="方正书宋_GBK" w:cs="Times New Roman"/>
                <w:color w:val="000000" w:themeColor="text1"/>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职责活动</w:t>
            </w:r>
          </w:p>
        </w:tc>
        <w:tc>
          <w:tcPr>
            <w:tcW w:w="1276" w:type="dxa"/>
            <w:vMerge w:val="restart"/>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年度预算数</w:t>
            </w:r>
          </w:p>
        </w:tc>
        <w:tc>
          <w:tcPr>
            <w:tcW w:w="2976" w:type="dxa"/>
            <w:vMerge w:val="restart"/>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内容描述</w:t>
            </w:r>
          </w:p>
        </w:tc>
        <w:tc>
          <w:tcPr>
            <w:tcW w:w="2976" w:type="dxa"/>
            <w:vMerge w:val="restart"/>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绩效目标</w:t>
            </w:r>
          </w:p>
        </w:tc>
        <w:tc>
          <w:tcPr>
            <w:tcW w:w="1417" w:type="dxa"/>
            <w:vMerge w:val="restart"/>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绩效指标</w:t>
            </w:r>
          </w:p>
        </w:tc>
        <w:tc>
          <w:tcPr>
            <w:tcW w:w="2948" w:type="dxa"/>
            <w:gridSpan w:val="4"/>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rPr>
                <w:rFonts w:ascii="Calibri" w:hAnsi="Calibri" w:eastAsia="宋体" w:cs="Times New Roman"/>
                <w:color w:val="000000" w:themeColor="text1"/>
              </w:rPr>
            </w:pPr>
          </w:p>
        </w:tc>
        <w:tc>
          <w:tcPr>
            <w:tcW w:w="1276" w:type="dxa"/>
            <w:vMerge w:val="continue"/>
            <w:shd w:val="clear" w:color="auto" w:fill="auto"/>
            <w:vAlign w:val="center"/>
          </w:tcPr>
          <w:p>
            <w:pPr>
              <w:spacing w:line="300" w:lineRule="exact"/>
              <w:jc w:val="left"/>
              <w:outlineLvl w:val="0"/>
              <w:rPr>
                <w:rFonts w:ascii="Calibri" w:hAnsi="Calibri" w:eastAsia="宋体" w:cs="Times New Roman"/>
                <w:color w:val="000000" w:themeColor="text1"/>
              </w:rPr>
            </w:pPr>
          </w:p>
        </w:tc>
        <w:tc>
          <w:tcPr>
            <w:tcW w:w="2976" w:type="dxa"/>
            <w:vMerge w:val="continue"/>
            <w:shd w:val="clear" w:color="auto" w:fill="auto"/>
            <w:vAlign w:val="center"/>
          </w:tcPr>
          <w:p>
            <w:pPr>
              <w:spacing w:line="300" w:lineRule="exact"/>
              <w:jc w:val="left"/>
              <w:outlineLvl w:val="0"/>
              <w:rPr>
                <w:rFonts w:ascii="Calibri" w:hAnsi="Calibri" w:eastAsia="宋体" w:cs="Times New Roman"/>
                <w:color w:val="000000" w:themeColor="text1"/>
              </w:rPr>
            </w:pPr>
          </w:p>
        </w:tc>
        <w:tc>
          <w:tcPr>
            <w:tcW w:w="2976" w:type="dxa"/>
            <w:vMerge w:val="continue"/>
            <w:shd w:val="clear" w:color="auto" w:fill="auto"/>
            <w:vAlign w:val="center"/>
          </w:tcPr>
          <w:p>
            <w:pPr>
              <w:spacing w:line="300" w:lineRule="exact"/>
              <w:jc w:val="left"/>
              <w:outlineLvl w:val="0"/>
              <w:rPr>
                <w:rFonts w:ascii="Calibri" w:hAnsi="Calibri" w:eastAsia="宋体" w:cs="Times New Roman"/>
                <w:color w:val="000000" w:themeColor="text1"/>
              </w:rPr>
            </w:pPr>
          </w:p>
        </w:tc>
        <w:tc>
          <w:tcPr>
            <w:tcW w:w="1417" w:type="dxa"/>
            <w:vMerge w:val="continue"/>
            <w:shd w:val="clear" w:color="auto" w:fill="auto"/>
            <w:vAlign w:val="center"/>
          </w:tcPr>
          <w:p>
            <w:pPr>
              <w:spacing w:line="300" w:lineRule="exact"/>
              <w:jc w:val="left"/>
              <w:outlineLvl w:val="0"/>
              <w:rPr>
                <w:rFonts w:ascii="Calibri" w:hAnsi="Calibri" w:eastAsia="宋体"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优</w:t>
            </w:r>
          </w:p>
        </w:tc>
        <w:tc>
          <w:tcPr>
            <w:tcW w:w="737" w:type="dxa"/>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良</w:t>
            </w:r>
          </w:p>
        </w:tc>
        <w:tc>
          <w:tcPr>
            <w:tcW w:w="737" w:type="dxa"/>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中</w:t>
            </w:r>
          </w:p>
        </w:tc>
        <w:tc>
          <w:tcPr>
            <w:tcW w:w="737" w:type="dxa"/>
            <w:shd w:val="clear" w:color="auto" w:fill="auto"/>
            <w:vAlign w:val="center"/>
          </w:tcPr>
          <w:p>
            <w:pPr>
              <w:spacing w:line="300" w:lineRule="exact"/>
              <w:jc w:val="center"/>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一、社会救助、救灾管理</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2063.77</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负责城乡居民最低生活保障、五保供养、医疗救助。组织协调全区防灾减灾救灾工作。组织核查并统一发布灾情。组织指导救灾捐赠工作，负责国内外救灾捐赠款物的接收管理和分配使用。</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完善城乡社会救助制度，实施分类救助，应保尽保</w:t>
            </w:r>
            <w:r>
              <w:rPr>
                <w:rFonts w:ascii="方正书宋_GBK" w:hAnsi="Calibri" w:eastAsia="方正书宋_GBK" w:cs="Times New Roman"/>
                <w:color w:val="000000" w:themeColor="text1"/>
              </w:rPr>
              <w:t>,</w:t>
            </w:r>
            <w:r>
              <w:rPr>
                <w:rFonts w:hint="eastAsia" w:ascii="方正书宋_GBK" w:hAnsi="Calibri" w:eastAsia="方正书宋_GBK" w:cs="Times New Roman"/>
                <w:color w:val="000000" w:themeColor="text1"/>
              </w:rPr>
              <w:t>动态管理。完善全区自然灾害救助应急体系。实施分类救助，保障受灾群众基本生活。</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1</w:t>
            </w:r>
            <w:r>
              <w:rPr>
                <w:rFonts w:hint="eastAsia" w:ascii="方正书宋_GBK" w:hAnsi="Calibri" w:eastAsia="方正书宋_GBK" w:cs="Times New Roman"/>
                <w:b/>
                <w:color w:val="000000" w:themeColor="text1"/>
              </w:rPr>
              <w:t>、困难群众基本生活保障</w:t>
            </w:r>
          </w:p>
        </w:tc>
        <w:tc>
          <w:tcPr>
            <w:tcW w:w="12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2048.77</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负责符合条件的城乡居民最低生活保障、五保户的集中供养和分散供养、临时生活救助工作、全区城镇低收入家庭收入核定管理工作、保障孤儿基本生活，加强流浪乞讨人员救助管理，做好留守老人、妇女、儿童和残疾人护理保障工作。保障孤儿基本生活，组织开展全区孤残儿童手术康复，推进儿童福利机构基础设施建设。加快流浪乞讨人员、流浪未成年人救助场所的设施建设。开展未成年人社会保护试点工作。</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实行动态管理，做到应保尽保、应退尽退。农村五保供养标准、集中供养能力逐步提高。缓解意外事件对特殊困难家庭造成的生活困难。准确核查认定低保家庭经济状况。孤儿基本生活条件保障到位，孤残儿童手术康复及时，儿童福利设施功能完善。流浪乞讨人员、流浪未成年人救助设施齐全、功能完善，对申请救助且符合救助条件的人员全部实施救助。对未成年人社会保护提供必要的保护场所、精神慰藉、心理辅导。</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患病孤残儿童救助治愈率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99%</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申请低保人员核实率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孤儿基本生活保障率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99%</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五保供养保障率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儿童福利机构建设按时建成率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流浪救助设施完好率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流浪应救人员的救助率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98%</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城乡居民低保保障率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核查率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50%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45%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40%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核实率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30%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参保资助率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报销比例</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55%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50%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突发灾害报灾时效性和准确性</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12</w:t>
            </w:r>
            <w:r>
              <w:rPr>
                <w:rFonts w:hint="eastAsia" w:ascii="方正书宋_GBK" w:hAnsi="Calibri" w:eastAsia="方正书宋_GBK" w:cs="Times New Roman"/>
                <w:color w:val="000000" w:themeColor="text1"/>
              </w:rPr>
              <w:t>小时内，准确度</w:t>
            </w:r>
            <w:r>
              <w:rPr>
                <w:rFonts w:ascii="方正书宋_GBK" w:hAnsi="Calibri" w:eastAsia="方正书宋_GBK" w:cs="Times New Roman"/>
                <w:color w:val="000000" w:themeColor="text1"/>
              </w:rPr>
              <w:t>98%</w:t>
            </w:r>
            <w:r>
              <w:rPr>
                <w:rFonts w:hint="eastAsia" w:ascii="方正书宋_GBK" w:hAnsi="Calibri" w:eastAsia="方正书宋_GBK" w:cs="Times New Roman"/>
                <w:color w:val="000000" w:themeColor="text1"/>
              </w:rPr>
              <w:t>及以上</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12</w:t>
            </w:r>
            <w:r>
              <w:rPr>
                <w:rFonts w:hint="eastAsia" w:ascii="方正书宋_GBK" w:hAnsi="Calibri" w:eastAsia="方正书宋_GBK" w:cs="Times New Roman"/>
                <w:color w:val="000000" w:themeColor="text1"/>
              </w:rPr>
              <w:t>小时内，准确度</w:t>
            </w:r>
            <w:r>
              <w:rPr>
                <w:rFonts w:ascii="方正书宋_GBK" w:hAnsi="Calibri" w:eastAsia="方正书宋_GBK" w:cs="Times New Roman"/>
                <w:color w:val="000000" w:themeColor="text1"/>
              </w:rPr>
              <w:t>98%</w:t>
            </w:r>
            <w:r>
              <w:rPr>
                <w:rFonts w:hint="eastAsia" w:ascii="方正书宋_GBK" w:hAnsi="Calibri" w:eastAsia="方正书宋_GBK" w:cs="Times New Roman"/>
                <w:color w:val="000000" w:themeColor="text1"/>
              </w:rPr>
              <w:t>及以上</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24</w:t>
            </w:r>
            <w:r>
              <w:rPr>
                <w:rFonts w:hint="eastAsia" w:ascii="方正书宋_GBK" w:hAnsi="Calibri" w:eastAsia="方正书宋_GBK" w:cs="Times New Roman"/>
                <w:color w:val="000000" w:themeColor="text1"/>
              </w:rPr>
              <w:t>小时内，准确度</w:t>
            </w:r>
            <w:r>
              <w:rPr>
                <w:rFonts w:ascii="方正书宋_GBK" w:hAnsi="Calibri" w:eastAsia="方正书宋_GBK" w:cs="Times New Roman"/>
                <w:color w:val="000000" w:themeColor="text1"/>
              </w:rPr>
              <w:t>95%</w:t>
            </w:r>
            <w:r>
              <w:rPr>
                <w:rFonts w:hint="eastAsia" w:ascii="方正书宋_GBK" w:hAnsi="Calibri" w:eastAsia="方正书宋_GBK" w:cs="Times New Roman"/>
                <w:color w:val="000000" w:themeColor="text1"/>
              </w:rPr>
              <w:t>及以上</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24</w:t>
            </w:r>
            <w:r>
              <w:rPr>
                <w:rFonts w:hint="eastAsia" w:ascii="方正书宋_GBK" w:hAnsi="Calibri" w:eastAsia="方正书宋_GBK" w:cs="Times New Roman"/>
                <w:color w:val="000000" w:themeColor="text1"/>
              </w:rPr>
              <w:t>小时内，准确度</w:t>
            </w:r>
            <w:r>
              <w:rPr>
                <w:rFonts w:ascii="方正书宋_GBK" w:hAnsi="Calibri" w:eastAsia="方正书宋_GBK" w:cs="Times New Roman"/>
                <w:color w:val="000000" w:themeColor="text1"/>
              </w:rPr>
              <w:t>90%</w:t>
            </w:r>
            <w:r>
              <w:rPr>
                <w:rFonts w:hint="eastAsia" w:ascii="方正书宋_GBK" w:hAnsi="Calibri" w:eastAsia="方正书宋_GBK" w:cs="Times New Roman"/>
                <w:color w:val="000000" w:themeColor="text1"/>
              </w:rPr>
              <w:t>及以上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物资保障受灾群众人数覆盖率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农村住房保险理赔率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救灾捐赠资金到位率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区级救灾物资运达灾区时间</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12</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18</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24</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二、社会福利政策及管理</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682.32</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对残疾人、孤儿、流浪乞讨人员、未成年人等特殊群体权益保护，发展慈善事业，推进殡葬改革，发行福利彩票，促进老龄事业发展。</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建立孤儿最低养育标准自然增长机制；提高孤残儿童护理员专业化水平；建立起区乡村三级儿童服务网络。流浪乞讨人员、流浪未成年人救助设施齐全、功能污水完善，对未成年人社会保护提供必要的保护场所。殡葬设施和设备现代、节能、节地、环保，惠民殡葬政策普及全区特殊困难群体，群众办理丧事文明节俭。维护老年人合法权益。</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1</w:t>
            </w:r>
            <w:r>
              <w:rPr>
                <w:rFonts w:hint="eastAsia" w:ascii="方正书宋_GBK" w:hAnsi="Calibri" w:eastAsia="方正书宋_GBK" w:cs="Times New Roman"/>
                <w:b/>
                <w:color w:val="000000" w:themeColor="text1"/>
              </w:rPr>
              <w:t>、老年福利（养老服务体系建设）</w:t>
            </w:r>
          </w:p>
        </w:tc>
        <w:tc>
          <w:tcPr>
            <w:tcW w:w="12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403.44</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落实区老龄事业发展规划，加快养老服务设施建设；指导全区养老机构设立和管理工作；加快养老服务业发展，推进老年人福利健康快速发展。建立全区贫困失能老人护理补贴制度，实施爱心护理工程。</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全面建成以居家为基础、社区为依托、机构为支撑，功能完善、规模适度、覆盖城乡的养老服务体系，实现我区老人老有所养，老有所依，老有所乐，老有所为的目标。</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城乡居家养老服务中心建设奖补率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养老机构一次性建设和运营奖补率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农村互助幸福院建设奖补率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入住养老机构的老年人满意度</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非常满意</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满意</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一般</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2</w:t>
            </w:r>
            <w:r>
              <w:rPr>
                <w:rFonts w:hint="eastAsia" w:ascii="方正书宋_GBK" w:hAnsi="Calibri" w:eastAsia="方正书宋_GBK" w:cs="Times New Roman"/>
                <w:b/>
                <w:color w:val="000000" w:themeColor="text1"/>
              </w:rPr>
              <w:t>、福利和慈善事业</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20.00</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推进全区慈善事业发展；负责全区福利企业认定初审、上报工作；指导全区开展精神病福利机构建设。</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切实保障福利企业残疾职工基本权益，为残障人提供优质矫形器。</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福利企业认定数量</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3</w:t>
            </w:r>
            <w:r>
              <w:rPr>
                <w:rFonts w:hint="eastAsia" w:ascii="方正书宋_GBK" w:hAnsi="Calibri" w:eastAsia="方正书宋_GBK" w:cs="Times New Roman"/>
                <w:b/>
                <w:color w:val="000000" w:themeColor="text1"/>
              </w:rPr>
              <w:t>、福利和慈善事业</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推进全区慈善事业发展；负责全区福利企业认定初审、上报工作；指导全区开展精神病福利机构建设。</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切实保障福利企业残疾职工基本权益，为残障人提供优质矫形器。</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假肢假矫形器生产装配企业资格认定合格率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99%</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98%</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4</w:t>
            </w:r>
            <w:r>
              <w:rPr>
                <w:rFonts w:hint="eastAsia" w:ascii="方正书宋_GBK" w:hAnsi="Calibri" w:eastAsia="方正书宋_GBK" w:cs="Times New Roman"/>
                <w:b/>
                <w:color w:val="000000" w:themeColor="text1"/>
              </w:rPr>
              <w:t>、殡葬服务</w:t>
            </w:r>
          </w:p>
        </w:tc>
        <w:tc>
          <w:tcPr>
            <w:tcW w:w="12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258.88</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推进殡葬设施更新改造；推进殡葬设备环保更新；推进惠民殡葬政策实施；推行生态安葬形式；规范殡仪服务管理；推进丧事简办；推行火化和丧俗改革；统一规范火化证和骨灰安放证。</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殡葬设施和设备现代、节能、节地、环保，能够满足群众需求，改善生态环境；惠民殡葬政策普及全区特殊困难群体；生态安葬形式逐步提高；群众办理丧事文明节俭；全区使用统一规范的火化证和骨灰安放证。</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火化率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火化证及骨灰安放证统一规范率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70%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覆盖率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98%</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殡葬设备环保更新率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30%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殡葬设施设备年更新改造率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30%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1-4</w:t>
            </w:r>
            <w:r>
              <w:rPr>
                <w:rFonts w:hint="eastAsia" w:ascii="方正书宋_GBK" w:hAnsi="Calibri" w:eastAsia="方正书宋_GBK" w:cs="Times New Roman"/>
                <w:color w:val="000000" w:themeColor="text1"/>
              </w:rPr>
              <w:t>级伤病残购建房补助率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城镇退役士兵自谋职业补助率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自主就业退役士兵补助率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军休干部家属遗属医疗生活补助到位率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三、社会管理与服务</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承担对社会组织的登记管理；负责执行落实有关行政区划和地名管理政策；负责全区婚姻登记、涉外儿童收养登记和管理工作；组织指导基层政权和社区建设；推进社会工作人员队伍建设</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推进全区社会组织健康发展，优化行政区划空间布局，提高登记质量，规范婚姻登记、收养登记业务，建立健全城乡基层群众自治组织，逐步实现社会工作者专业化、职业化。</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1</w:t>
            </w:r>
            <w:r>
              <w:rPr>
                <w:rFonts w:hint="eastAsia" w:ascii="方正书宋_GBK" w:hAnsi="Calibri" w:eastAsia="方正书宋_GBK" w:cs="Times New Roman"/>
                <w:b/>
                <w:color w:val="000000" w:themeColor="text1"/>
              </w:rPr>
              <w:t>、社会组织管理</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依法对社会组织进行登记管理和监察。</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推进全区社会组织健康发展，提高社会组织的社会公信力，增强社会组织服务社会的能力。</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社会组织登记、年检完成率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96%</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94%</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2</w:t>
            </w:r>
            <w:r>
              <w:rPr>
                <w:rFonts w:hint="eastAsia" w:ascii="方正书宋_GBK" w:hAnsi="Calibri" w:eastAsia="方正书宋_GBK" w:cs="Times New Roman"/>
                <w:b/>
                <w:color w:val="000000" w:themeColor="text1"/>
              </w:rPr>
              <w:t>、社会事务管理</w:t>
            </w:r>
          </w:p>
        </w:tc>
        <w:tc>
          <w:tcPr>
            <w:tcW w:w="12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负责全区行政区划、行政区域界线和地名管理工作，开展地名普查工作。推进婚俗改革；负责全区婚姻登记证的印制和管理，承办本区公民同外国人、华侨和港澳台同胞之间的婚姻登记；承办涉外儿童收养登记工作。</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优化空间布局，为城镇化建设助航；促进边界地区的平安和和谐发展；为社会提供方便快捷的地名公共服务。提高登记质量，规范婚姻登记、收养登记业务。</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第二次全国地名普查数据准确率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98%</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婚姻、收养登记合格率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99%</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98%</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3</w:t>
            </w:r>
            <w:r>
              <w:rPr>
                <w:rFonts w:hint="eastAsia" w:ascii="方正书宋_GBK" w:hAnsi="Calibri" w:eastAsia="方正书宋_GBK" w:cs="Times New Roman"/>
                <w:b/>
                <w:color w:val="000000" w:themeColor="text1"/>
              </w:rPr>
              <w:t>、基层政权和社区建设</w:t>
            </w:r>
          </w:p>
        </w:tc>
        <w:tc>
          <w:tcPr>
            <w:tcW w:w="12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组织指导乡镇、街道办事处和基层群众自治组织、社区干部培训；指导村（居）民委员会民主选举、民主决策、民主管理和民主监督，村（居）务公开；指导城乡社区建设及服务管理工作。</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建立健全城乡基层群众自治组织，在村（居）民委员会实行</w:t>
            </w:r>
            <w:r>
              <w:rPr>
                <w:rFonts w:hint="cs" w:ascii="方正书宋_GBK" w:hAnsi="Calibri" w:eastAsia="方正书宋_GBK" w:cs="Times New Roman"/>
                <w:color w:val="000000" w:themeColor="text1"/>
              </w:rPr>
              <w:t>“</w:t>
            </w:r>
            <w:r>
              <w:rPr>
                <w:rFonts w:hint="eastAsia" w:ascii="方正书宋_GBK" w:hAnsi="Calibri" w:eastAsia="方正书宋_GBK" w:cs="Times New Roman"/>
                <w:color w:val="000000" w:themeColor="text1"/>
              </w:rPr>
              <w:t>四个民主</w:t>
            </w:r>
            <w:r>
              <w:rPr>
                <w:rFonts w:hint="cs" w:ascii="方正书宋_GBK" w:hAnsi="Calibri" w:eastAsia="方正书宋_GBK" w:cs="Times New Roman"/>
                <w:color w:val="000000" w:themeColor="text1"/>
              </w:rPr>
              <w:t>”</w:t>
            </w:r>
            <w:r>
              <w:rPr>
                <w:rFonts w:hint="eastAsia" w:ascii="方正书宋_GBK" w:hAnsi="Calibri" w:eastAsia="方正书宋_GBK" w:cs="Times New Roman"/>
                <w:color w:val="000000" w:themeColor="text1"/>
              </w:rPr>
              <w:t>；按照</w:t>
            </w:r>
            <w:r>
              <w:rPr>
                <w:rFonts w:hint="cs" w:ascii="方正书宋_GBK" w:hAnsi="Calibri" w:eastAsia="方正书宋_GBK" w:cs="Times New Roman"/>
                <w:color w:val="000000" w:themeColor="text1"/>
              </w:rPr>
              <w:t>“</w:t>
            </w:r>
            <w:r>
              <w:rPr>
                <w:rFonts w:hint="eastAsia" w:ascii="方正书宋_GBK" w:hAnsi="Calibri" w:eastAsia="方正书宋_GBK" w:cs="Times New Roman"/>
                <w:color w:val="000000" w:themeColor="text1"/>
              </w:rPr>
              <w:t>四有一创</w:t>
            </w:r>
            <w:r>
              <w:rPr>
                <w:rFonts w:hint="cs" w:ascii="方正书宋_GBK" w:hAnsi="Calibri" w:eastAsia="方正书宋_GBK" w:cs="Times New Roman"/>
                <w:color w:val="000000" w:themeColor="text1"/>
              </w:rPr>
              <w:t>”</w:t>
            </w:r>
            <w:r>
              <w:rPr>
                <w:rFonts w:hint="eastAsia" w:ascii="方正书宋_GBK" w:hAnsi="Calibri" w:eastAsia="方正书宋_GBK" w:cs="Times New Roman"/>
                <w:color w:val="000000" w:themeColor="text1"/>
              </w:rPr>
              <w:t>标准开展城市社区建设，按照农村社区建设实验全覆盖创建标准开展农村社区建设。</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农村社区建设试点单位试点情况</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村民委员会换届选举率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高于</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持平</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持平</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低于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4</w:t>
            </w:r>
            <w:r>
              <w:rPr>
                <w:rFonts w:hint="eastAsia" w:ascii="方正书宋_GBK" w:hAnsi="Calibri" w:eastAsia="方正书宋_GBK" w:cs="Times New Roman"/>
                <w:b/>
                <w:color w:val="000000" w:themeColor="text1"/>
              </w:rPr>
              <w:t>、社会工作人才队伍建设</w:t>
            </w:r>
          </w:p>
        </w:tc>
        <w:tc>
          <w:tcPr>
            <w:tcW w:w="12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推进全区社会工作人才队伍建设和相关志愿者队伍建设。</w:t>
            </w:r>
          </w:p>
        </w:tc>
        <w:tc>
          <w:tcPr>
            <w:tcW w:w="2976" w:type="dxa"/>
            <w:vMerge w:val="restart"/>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以人才培养为基础，以人才使用为根本，以建立健全人才评价和激励机制为保障，逐步实现社会工作专业化、职业化。</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社会工作专业人才培养计划完成率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hAnsi="Calibri" w:eastAsia="方正书宋_GBK" w:cs="Times New Roman"/>
                <w:b/>
                <w:color w:val="000000" w:themeColor="text1"/>
              </w:rPr>
            </w:pPr>
          </w:p>
        </w:tc>
        <w:tc>
          <w:tcPr>
            <w:tcW w:w="12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2976" w:type="dxa"/>
            <w:vMerge w:val="continue"/>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社会工作专业人才登记率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80%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四、民政政务管理</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165.84</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承担对社会组织的登记管理；负责执行落实有关行政区划和地名管理政策；负责全区婚姻登记、涉外儿童收养登记和管理工作；组织指导基层政权和社区建设；推进社会工作人员队伍建设</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推进全区社会组织健康发展，优化行政区划空间布局，提高登记质量，规范婚姻登记、收养登记业务，建立健全城乡基层群众自治组织，逐步实现社会工作者专业化、职业化。</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1</w:t>
            </w:r>
            <w:r>
              <w:rPr>
                <w:rFonts w:hint="eastAsia" w:ascii="方正书宋_GBK" w:hAnsi="Calibri" w:eastAsia="方正书宋_GBK" w:cs="Times New Roman"/>
                <w:b/>
                <w:color w:val="000000" w:themeColor="text1"/>
              </w:rPr>
              <w:t>、综合业务管理</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89.00</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组织开展全区民政行政执法监督检查工作；负责行政许可、行政处罚听证工作；组织民政政务公开和新闻宣传。</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建立和维护区民政系统政务公开平台，推进民政政府信息公开、政务公开；搞好群众来信来访工作，杜绝群体上访事件。促进贫困地区的社会经济发展</w:t>
            </w:r>
            <w:r>
              <w:rPr>
                <w:rFonts w:ascii="方正书宋_GBK" w:hAnsi="Calibri" w:eastAsia="方正书宋_GBK" w:cs="Times New Roman"/>
                <w:color w:val="000000" w:themeColor="text1"/>
              </w:rPr>
              <w:t>,</w:t>
            </w:r>
            <w:r>
              <w:rPr>
                <w:rFonts w:hint="eastAsia" w:ascii="方正书宋_GBK" w:hAnsi="Calibri" w:eastAsia="方正书宋_GBK" w:cs="Times New Roman"/>
                <w:color w:val="000000" w:themeColor="text1"/>
              </w:rPr>
              <w:t>人民生活水平得到提高。</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综合业务管理工作完成率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hAnsi="Calibri" w:eastAsia="方正书宋_GBK" w:cs="Times New Roman"/>
                <w:b/>
                <w:color w:val="000000" w:themeColor="text1"/>
              </w:rPr>
            </w:pPr>
            <w:r>
              <w:rPr>
                <w:rFonts w:hint="eastAsia" w:ascii="方正书宋_GBK" w:hAnsi="Calibri" w:eastAsia="方正书宋_GBK" w:cs="Times New Roman"/>
                <w:b/>
                <w:color w:val="000000" w:themeColor="text1"/>
              </w:rPr>
              <w:t>　　</w:t>
            </w:r>
            <w:r>
              <w:rPr>
                <w:rFonts w:ascii="方正书宋_GBK" w:hAnsi="Calibri" w:eastAsia="方正书宋_GBK" w:cs="Times New Roman"/>
                <w:b/>
                <w:color w:val="000000" w:themeColor="text1"/>
              </w:rPr>
              <w:t>2</w:t>
            </w:r>
            <w:r>
              <w:rPr>
                <w:rFonts w:hint="eastAsia" w:ascii="方正书宋_GBK" w:hAnsi="Calibri" w:eastAsia="方正书宋_GBK" w:cs="Times New Roman"/>
                <w:b/>
                <w:color w:val="000000" w:themeColor="text1"/>
              </w:rPr>
              <w:t>、综合事务管理</w:t>
            </w:r>
          </w:p>
        </w:tc>
        <w:tc>
          <w:tcPr>
            <w:tcW w:w="12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76.84</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负责民政事业资金监督管理、国有资产管理、内部审计、统计管理工作；组织开展民政系统干部教育培训，组织全区民政信息平台建设。</w:t>
            </w:r>
          </w:p>
        </w:tc>
        <w:tc>
          <w:tcPr>
            <w:tcW w:w="2976"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民政干部队伍素质有所提高；民政行业管理服务的专业化、科学化水平进一步提升。做好现有网站、系统、设备的维护、升级，对新建信息化项目进行科学规划和高效实施。</w:t>
            </w:r>
          </w:p>
        </w:tc>
        <w:tc>
          <w:tcPr>
            <w:tcW w:w="1417" w:type="dxa"/>
            <w:shd w:val="clear" w:color="auto" w:fill="auto"/>
            <w:vAlign w:val="center"/>
          </w:tcPr>
          <w:p>
            <w:pPr>
              <w:spacing w:line="300" w:lineRule="exact"/>
              <w:jc w:val="left"/>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综合事务管理工作完成率</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ascii="方正书宋_GBK" w:hAnsi="Calibri" w:eastAsia="方正书宋_GBK" w:cs="Times New Roman"/>
                <w:color w:val="000000" w:themeColor="text1"/>
              </w:rPr>
              <w:t>100%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95%</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c>
          <w:tcPr>
            <w:tcW w:w="737" w:type="dxa"/>
            <w:shd w:val="clear" w:color="auto" w:fill="auto"/>
            <w:vAlign w:val="center"/>
          </w:tcPr>
          <w:p>
            <w:pPr>
              <w:spacing w:line="300" w:lineRule="exact"/>
              <w:jc w:val="center"/>
              <w:rPr>
                <w:rFonts w:ascii="方正书宋_GBK" w:hAnsi="Calibri" w:eastAsia="方正书宋_GBK" w:cs="Times New Roman"/>
                <w:color w:val="000000" w:themeColor="text1"/>
              </w:rPr>
            </w:pPr>
            <w:r>
              <w:rPr>
                <w:rFonts w:hint="eastAsia" w:ascii="方正书宋_GBK" w:hAnsi="Calibri" w:eastAsia="方正书宋_GBK" w:cs="Times New Roman"/>
                <w:color w:val="000000" w:themeColor="text1"/>
              </w:rPr>
              <w:t>＜</w:t>
            </w:r>
            <w:r>
              <w:rPr>
                <w:rFonts w:ascii="方正书宋_GBK" w:hAnsi="Calibri" w:eastAsia="方正书宋_GBK" w:cs="Times New Roman"/>
                <w:color w:val="000000" w:themeColor="text1"/>
              </w:rPr>
              <w:t>90%</w:t>
            </w:r>
          </w:p>
        </w:tc>
      </w:tr>
    </w:tbl>
    <w:p>
      <w:pPr>
        <w:autoSpaceDE w:val="0"/>
        <w:autoSpaceDN w:val="0"/>
        <w:adjustRightInd w:val="0"/>
        <w:ind w:left="200"/>
        <w:jc w:val="left"/>
        <w:rPr>
          <w:rFonts w:ascii="宋体" w:eastAsia="宋体" w:cs="宋体"/>
          <w:color w:val="000000" w:themeColor="text1"/>
          <w:kern w:val="0"/>
          <w:sz w:val="18"/>
          <w:szCs w:val="18"/>
          <w:lang w:val="zh-CN"/>
        </w:rPr>
      </w:pPr>
    </w:p>
    <w:p>
      <w:pPr>
        <w:autoSpaceDE w:val="0"/>
        <w:autoSpaceDN w:val="0"/>
        <w:adjustRightInd w:val="0"/>
        <w:ind w:firstLine="640" w:firstLineChars="200"/>
        <w:jc w:val="left"/>
        <w:rPr>
          <w:rFonts w:ascii="黑体" w:hAnsi="黑体" w:eastAsia="黑体" w:cs="Times New Roman"/>
          <w:color w:val="000000" w:themeColor="text1"/>
          <w:sz w:val="32"/>
          <w:szCs w:val="32"/>
        </w:rPr>
      </w:pPr>
    </w:p>
    <w:p>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六、政府采购预算情况</w:t>
      </w:r>
    </w:p>
    <w:p>
      <w:pPr>
        <w:outlineLvl w:val="0"/>
        <w:rPr>
          <w:rFonts w:ascii="仿宋" w:hAnsi="仿宋" w:eastAsia="仿宋" w:cs="仿宋"/>
          <w:color w:val="000000" w:themeColor="text1"/>
          <w:sz w:val="32"/>
          <w:szCs w:val="32"/>
        </w:rPr>
      </w:pPr>
      <w:bookmarkStart w:id="2" w:name="_Toc471398468"/>
      <w:r>
        <w:rPr>
          <w:rFonts w:hint="eastAsia" w:ascii="仿宋" w:hAnsi="仿宋" w:eastAsia="仿宋" w:cs="仿宋"/>
          <w:color w:val="000000" w:themeColor="text1"/>
          <w:sz w:val="32"/>
          <w:szCs w:val="32"/>
        </w:rPr>
        <w:t>2019年，我局安排政府采购预算46.05万元。具体内容见下表。</w:t>
      </w:r>
    </w:p>
    <w:p>
      <w:pPr>
        <w:jc w:val="center"/>
        <w:outlineLvl w:val="0"/>
        <w:rPr>
          <w:rFonts w:ascii="方正小标宋_GBK" w:hAnsi="Times New Roman" w:eastAsia="方正小标宋_GBK" w:cs="Times New Roman"/>
          <w:color w:val="000000" w:themeColor="text1"/>
          <w:sz w:val="32"/>
          <w:szCs w:val="24"/>
        </w:rPr>
      </w:pPr>
      <w:r>
        <w:rPr>
          <w:rFonts w:hint="eastAsia" w:ascii="方正小标宋_GBK" w:hAnsi="Times New Roman" w:eastAsia="方正小标宋_GBK" w:cs="Times New Roman"/>
          <w:color w:val="000000" w:themeColor="text1"/>
          <w:sz w:val="32"/>
          <w:szCs w:val="24"/>
        </w:rPr>
        <w:t>部门政府采购预算</w:t>
      </w:r>
      <w:bookmarkEnd w:id="2"/>
    </w:p>
    <w:tbl>
      <w:tblPr>
        <w:tblStyle w:val="8"/>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5"/>
        <w:gridCol w:w="976"/>
        <w:gridCol w:w="672"/>
        <w:gridCol w:w="1524"/>
        <w:gridCol w:w="564"/>
        <w:gridCol w:w="976"/>
        <w:gridCol w:w="976"/>
        <w:gridCol w:w="976"/>
        <w:gridCol w:w="976"/>
        <w:gridCol w:w="976"/>
        <w:gridCol w:w="754"/>
        <w:gridCol w:w="756"/>
        <w:gridCol w:w="859"/>
        <w:gridCol w:w="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4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color w:val="000000" w:themeColor="text1"/>
                <w:sz w:val="24"/>
              </w:rPr>
            </w:pPr>
          </w:p>
        </w:tc>
        <w:tc>
          <w:tcPr>
            <w:tcW w:w="5909"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000000" w:themeColor="text1"/>
                <w:sz w:val="24"/>
              </w:rPr>
            </w:pPr>
            <w:r>
              <w:rPr>
                <w:rFonts w:hint="eastAsia" w:ascii="方正书宋_GBK" w:eastAsia="方正书宋_GBK"/>
                <w:color w:val="000000" w:themeColor="text1"/>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31" w:type="dxa"/>
            <w:gridSpan w:val="2"/>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政府采购项目来源</w:t>
            </w:r>
          </w:p>
        </w:tc>
        <w:tc>
          <w:tcPr>
            <w:tcW w:w="672"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采购物品名称</w:t>
            </w:r>
          </w:p>
        </w:tc>
        <w:tc>
          <w:tcPr>
            <w:tcW w:w="1524"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政府采购目录序号</w:t>
            </w:r>
          </w:p>
        </w:tc>
        <w:tc>
          <w:tcPr>
            <w:tcW w:w="564"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数量  单位</w:t>
            </w:r>
          </w:p>
        </w:tc>
        <w:tc>
          <w:tcPr>
            <w:tcW w:w="976"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数量</w:t>
            </w:r>
          </w:p>
        </w:tc>
        <w:tc>
          <w:tcPr>
            <w:tcW w:w="976"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单价</w:t>
            </w:r>
          </w:p>
        </w:tc>
        <w:tc>
          <w:tcPr>
            <w:tcW w:w="5909" w:type="dxa"/>
            <w:gridSpan w:val="7"/>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976"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预算资金</w:t>
            </w:r>
          </w:p>
        </w:tc>
        <w:tc>
          <w:tcPr>
            <w:tcW w:w="672" w:type="dxa"/>
            <w:vMerge w:val="continue"/>
            <w:shd w:val="clear" w:color="auto" w:fill="auto"/>
            <w:vAlign w:val="center"/>
          </w:tcPr>
          <w:p>
            <w:pPr>
              <w:spacing w:line="300" w:lineRule="exact"/>
              <w:jc w:val="left"/>
              <w:outlineLvl w:val="0"/>
              <w:rPr>
                <w:color w:val="000000" w:themeColor="text1"/>
              </w:rPr>
            </w:pPr>
          </w:p>
        </w:tc>
        <w:tc>
          <w:tcPr>
            <w:tcW w:w="1524" w:type="dxa"/>
            <w:vMerge w:val="continue"/>
            <w:shd w:val="clear" w:color="auto" w:fill="auto"/>
            <w:vAlign w:val="center"/>
          </w:tcPr>
          <w:p>
            <w:pPr>
              <w:spacing w:line="300" w:lineRule="exact"/>
              <w:jc w:val="left"/>
              <w:outlineLvl w:val="0"/>
              <w:rPr>
                <w:color w:val="000000" w:themeColor="text1"/>
              </w:rPr>
            </w:pPr>
          </w:p>
        </w:tc>
        <w:tc>
          <w:tcPr>
            <w:tcW w:w="564"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总计</w:t>
            </w:r>
          </w:p>
        </w:tc>
        <w:tc>
          <w:tcPr>
            <w:tcW w:w="4321" w:type="dxa"/>
            <w:gridSpan w:val="5"/>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当年部门预算安排资金</w:t>
            </w:r>
          </w:p>
        </w:tc>
        <w:tc>
          <w:tcPr>
            <w:tcW w:w="612"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672" w:type="dxa"/>
            <w:vMerge w:val="continue"/>
            <w:shd w:val="clear" w:color="auto" w:fill="auto"/>
            <w:vAlign w:val="center"/>
          </w:tcPr>
          <w:p>
            <w:pPr>
              <w:spacing w:line="300" w:lineRule="exact"/>
              <w:jc w:val="left"/>
              <w:outlineLvl w:val="0"/>
              <w:rPr>
                <w:color w:val="000000" w:themeColor="text1"/>
              </w:rPr>
            </w:pPr>
          </w:p>
        </w:tc>
        <w:tc>
          <w:tcPr>
            <w:tcW w:w="1524" w:type="dxa"/>
            <w:vMerge w:val="continue"/>
            <w:shd w:val="clear" w:color="auto" w:fill="auto"/>
            <w:vAlign w:val="center"/>
          </w:tcPr>
          <w:p>
            <w:pPr>
              <w:spacing w:line="300" w:lineRule="exact"/>
              <w:jc w:val="left"/>
              <w:outlineLvl w:val="0"/>
              <w:rPr>
                <w:color w:val="000000" w:themeColor="text1"/>
              </w:rPr>
            </w:pPr>
          </w:p>
        </w:tc>
        <w:tc>
          <w:tcPr>
            <w:tcW w:w="564"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合计</w:t>
            </w:r>
          </w:p>
        </w:tc>
        <w:tc>
          <w:tcPr>
            <w:tcW w:w="976"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一般公共预算拨款</w:t>
            </w:r>
          </w:p>
        </w:tc>
        <w:tc>
          <w:tcPr>
            <w:tcW w:w="754"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基金预算拨款</w:t>
            </w:r>
          </w:p>
        </w:tc>
        <w:tc>
          <w:tcPr>
            <w:tcW w:w="756"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财政专户核拨</w:t>
            </w:r>
          </w:p>
        </w:tc>
        <w:tc>
          <w:tcPr>
            <w:tcW w:w="859"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其他来源收入</w:t>
            </w:r>
          </w:p>
        </w:tc>
        <w:tc>
          <w:tcPr>
            <w:tcW w:w="612" w:type="dxa"/>
            <w:vMerge w:val="continue"/>
            <w:shd w:val="clear" w:color="auto" w:fill="auto"/>
            <w:vAlign w:val="center"/>
          </w:tcPr>
          <w:p>
            <w:pPr>
              <w:spacing w:line="300" w:lineRule="exact"/>
              <w:jc w:val="left"/>
              <w:outlineLvl w:val="0"/>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壹元民生保险</w:t>
            </w:r>
          </w:p>
        </w:tc>
        <w:tc>
          <w:tcPr>
            <w:tcW w:w="976" w:type="dxa"/>
            <w:shd w:val="clear" w:color="auto" w:fill="auto"/>
            <w:vAlign w:val="center"/>
          </w:tcPr>
          <w:p>
            <w:pPr>
              <w:spacing w:line="300" w:lineRule="exact"/>
              <w:ind w:right="105"/>
              <w:jc w:val="right"/>
              <w:rPr>
                <w:rFonts w:ascii="方正书宋_GBK" w:eastAsia="方正书宋_GBK"/>
                <w:color w:val="000000" w:themeColor="text1"/>
              </w:rPr>
            </w:pPr>
            <w:r>
              <w:rPr>
                <w:rFonts w:hint="eastAsia" w:ascii="方正书宋_GBK" w:eastAsia="方正书宋_GBK"/>
                <w:color w:val="000000" w:themeColor="text1"/>
              </w:rPr>
              <w:t>46.05</w:t>
            </w:r>
          </w:p>
        </w:tc>
        <w:tc>
          <w:tcPr>
            <w:tcW w:w="672" w:type="dxa"/>
            <w:shd w:val="clear" w:color="auto" w:fill="auto"/>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w:t>
            </w:r>
          </w:p>
        </w:tc>
        <w:tc>
          <w:tcPr>
            <w:tcW w:w="1524" w:type="dxa"/>
            <w:shd w:val="clear" w:color="auto" w:fill="auto"/>
            <w:vAlign w:val="center"/>
          </w:tcPr>
          <w:p>
            <w:pPr>
              <w:spacing w:line="300" w:lineRule="exact"/>
              <w:jc w:val="left"/>
              <w:rPr>
                <w:rFonts w:ascii="方正书宋_GBK" w:eastAsia="方正书宋_GBK"/>
                <w:color w:val="000000" w:themeColor="text1"/>
              </w:rPr>
            </w:pPr>
          </w:p>
        </w:tc>
        <w:tc>
          <w:tcPr>
            <w:tcW w:w="564" w:type="dxa"/>
            <w:shd w:val="clear" w:color="auto" w:fill="auto"/>
            <w:vAlign w:val="center"/>
          </w:tcPr>
          <w:p>
            <w:pPr>
              <w:spacing w:line="300" w:lineRule="exact"/>
              <w:jc w:val="lef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46.05</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1</w:t>
            </w:r>
          </w:p>
        </w:tc>
        <w:tc>
          <w:tcPr>
            <w:tcW w:w="976" w:type="dxa"/>
            <w:shd w:val="clear" w:color="auto" w:fill="auto"/>
            <w:vAlign w:val="center"/>
          </w:tcPr>
          <w:p>
            <w:pPr>
              <w:spacing w:line="300" w:lineRule="exact"/>
              <w:ind w:right="420"/>
              <w:rPr>
                <w:rFonts w:ascii="方正书宋_GBK" w:eastAsia="方正书宋_GBK"/>
                <w:color w:val="000000" w:themeColor="text1"/>
              </w:rPr>
            </w:pPr>
            <w:r>
              <w:rPr>
                <w:rFonts w:hint="eastAsia" w:ascii="方正书宋_GBK" w:eastAsia="方正书宋_GBK"/>
                <w:color w:val="000000" w:themeColor="text1"/>
              </w:rPr>
              <w:t>46.05</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46.05</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46.05</w:t>
            </w:r>
          </w:p>
        </w:tc>
        <w:tc>
          <w:tcPr>
            <w:tcW w:w="754" w:type="dxa"/>
            <w:shd w:val="clear" w:color="auto" w:fill="auto"/>
            <w:vAlign w:val="center"/>
          </w:tcPr>
          <w:p>
            <w:pPr>
              <w:spacing w:line="300" w:lineRule="exact"/>
              <w:jc w:val="right"/>
              <w:rPr>
                <w:rFonts w:ascii="方正书宋_GBK" w:eastAsia="方正书宋_GBK"/>
                <w:color w:val="000000" w:themeColor="text1"/>
              </w:rPr>
            </w:pPr>
          </w:p>
        </w:tc>
        <w:tc>
          <w:tcPr>
            <w:tcW w:w="756" w:type="dxa"/>
            <w:shd w:val="clear" w:color="auto" w:fill="auto"/>
            <w:vAlign w:val="center"/>
          </w:tcPr>
          <w:p>
            <w:pPr>
              <w:spacing w:line="300" w:lineRule="exact"/>
              <w:jc w:val="right"/>
              <w:rPr>
                <w:rFonts w:ascii="方正书宋_GBK" w:eastAsia="方正书宋_GBK"/>
                <w:color w:val="000000" w:themeColor="text1"/>
              </w:rPr>
            </w:pPr>
          </w:p>
        </w:tc>
        <w:tc>
          <w:tcPr>
            <w:tcW w:w="859" w:type="dxa"/>
            <w:shd w:val="clear" w:color="auto" w:fill="auto"/>
            <w:vAlign w:val="center"/>
          </w:tcPr>
          <w:p>
            <w:pPr>
              <w:spacing w:line="300" w:lineRule="exact"/>
              <w:jc w:val="right"/>
              <w:rPr>
                <w:rFonts w:ascii="方正书宋_GBK" w:eastAsia="方正书宋_GBK"/>
                <w:color w:val="000000" w:themeColor="text1"/>
              </w:rPr>
            </w:pPr>
          </w:p>
        </w:tc>
        <w:tc>
          <w:tcPr>
            <w:tcW w:w="612" w:type="dxa"/>
            <w:shd w:val="clear" w:color="auto" w:fill="auto"/>
            <w:vAlign w:val="center"/>
          </w:tcPr>
          <w:p>
            <w:pPr>
              <w:spacing w:line="300" w:lineRule="exact"/>
              <w:jc w:val="right"/>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lef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p>
        </w:tc>
        <w:tc>
          <w:tcPr>
            <w:tcW w:w="672" w:type="dxa"/>
            <w:shd w:val="clear" w:color="auto" w:fill="auto"/>
            <w:vAlign w:val="center"/>
          </w:tcPr>
          <w:p>
            <w:pPr>
              <w:spacing w:line="300" w:lineRule="exact"/>
              <w:jc w:val="left"/>
              <w:rPr>
                <w:rFonts w:ascii="方正书宋_GBK" w:eastAsia="方正书宋_GBK"/>
                <w:color w:val="000000" w:themeColor="text1"/>
              </w:rPr>
            </w:pPr>
          </w:p>
        </w:tc>
        <w:tc>
          <w:tcPr>
            <w:tcW w:w="1524" w:type="dxa"/>
            <w:shd w:val="clear" w:color="auto" w:fill="auto"/>
            <w:vAlign w:val="center"/>
          </w:tcPr>
          <w:p>
            <w:pPr>
              <w:spacing w:line="300" w:lineRule="exact"/>
              <w:jc w:val="left"/>
              <w:rPr>
                <w:rFonts w:ascii="方正书宋_GBK" w:eastAsia="方正书宋_GBK"/>
                <w:color w:val="000000" w:themeColor="text1"/>
              </w:rPr>
            </w:pPr>
          </w:p>
        </w:tc>
        <w:tc>
          <w:tcPr>
            <w:tcW w:w="564" w:type="dxa"/>
            <w:shd w:val="clear" w:color="auto" w:fill="auto"/>
            <w:vAlign w:val="center"/>
          </w:tcPr>
          <w:p>
            <w:pPr>
              <w:spacing w:line="300" w:lineRule="exact"/>
              <w:jc w:val="lef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p>
        </w:tc>
        <w:tc>
          <w:tcPr>
            <w:tcW w:w="754" w:type="dxa"/>
            <w:shd w:val="clear" w:color="auto" w:fill="auto"/>
            <w:vAlign w:val="center"/>
          </w:tcPr>
          <w:p>
            <w:pPr>
              <w:spacing w:line="300" w:lineRule="exact"/>
              <w:jc w:val="right"/>
              <w:rPr>
                <w:rFonts w:ascii="方正书宋_GBK" w:eastAsia="方正书宋_GBK"/>
                <w:color w:val="000000" w:themeColor="text1"/>
              </w:rPr>
            </w:pPr>
          </w:p>
        </w:tc>
        <w:tc>
          <w:tcPr>
            <w:tcW w:w="756" w:type="dxa"/>
            <w:shd w:val="clear" w:color="auto" w:fill="auto"/>
            <w:vAlign w:val="center"/>
          </w:tcPr>
          <w:p>
            <w:pPr>
              <w:spacing w:line="300" w:lineRule="exact"/>
              <w:jc w:val="right"/>
              <w:rPr>
                <w:rFonts w:ascii="方正书宋_GBK" w:eastAsia="方正书宋_GBK"/>
                <w:color w:val="000000" w:themeColor="text1"/>
              </w:rPr>
            </w:pPr>
          </w:p>
        </w:tc>
        <w:tc>
          <w:tcPr>
            <w:tcW w:w="859" w:type="dxa"/>
            <w:shd w:val="clear" w:color="auto" w:fill="auto"/>
            <w:vAlign w:val="center"/>
          </w:tcPr>
          <w:p>
            <w:pPr>
              <w:spacing w:line="300" w:lineRule="exact"/>
              <w:jc w:val="right"/>
              <w:rPr>
                <w:rFonts w:ascii="方正书宋_GBK" w:eastAsia="方正书宋_GBK"/>
                <w:color w:val="000000" w:themeColor="text1"/>
              </w:rPr>
            </w:pPr>
          </w:p>
        </w:tc>
        <w:tc>
          <w:tcPr>
            <w:tcW w:w="612" w:type="dxa"/>
            <w:shd w:val="clear" w:color="auto" w:fill="auto"/>
            <w:vAlign w:val="center"/>
          </w:tcPr>
          <w:p>
            <w:pPr>
              <w:spacing w:line="300" w:lineRule="exact"/>
              <w:jc w:val="right"/>
              <w:rPr>
                <w:rFonts w:ascii="方正书宋_GBK" w:eastAsia="方正书宋_GBK"/>
                <w:color w:val="000000" w:themeColor="text1"/>
              </w:rPr>
            </w:pPr>
          </w:p>
        </w:tc>
      </w:tr>
    </w:tbl>
    <w:p>
      <w:pPr>
        <w:autoSpaceDE w:val="0"/>
        <w:autoSpaceDN w:val="0"/>
        <w:adjustRightInd w:val="0"/>
        <w:ind w:left="198" w:firstLine="640" w:firstLineChars="200"/>
        <w:jc w:val="left"/>
        <w:rPr>
          <w:rFonts w:ascii="黑体" w:hAnsi="黑体" w:eastAsia="黑体" w:cs="Times New Roman"/>
          <w:color w:val="000000" w:themeColor="text1"/>
          <w:sz w:val="32"/>
          <w:szCs w:val="32"/>
        </w:rPr>
      </w:pPr>
    </w:p>
    <w:p>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七、国有资产信息</w:t>
      </w:r>
    </w:p>
    <w:p>
      <w:pPr>
        <w:ind w:firstLine="420" w:firstLineChars="150"/>
        <w:rPr>
          <w:rFonts w:ascii="仿宋" w:hAnsi="仿宋" w:eastAsia="仿宋" w:cs="仿宋"/>
          <w:color w:val="000000" w:themeColor="text1"/>
          <w:sz w:val="32"/>
          <w:szCs w:val="32"/>
        </w:rPr>
      </w:pPr>
      <w:r>
        <w:rPr>
          <w:rFonts w:hint="eastAsia" w:eastAsia="方正仿宋_GBK"/>
          <w:sz w:val="28"/>
        </w:rPr>
        <w:t>石家庄市鹿泉区民政局上年末固定资产金额为125.69万元（详见下表），本年度拟购置固定资产总额为30万元，主要为计算机设备、打印设备、空调、办公家具等。</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ind w:firstLine="2554" w:firstLineChars="795"/>
              <w:rPr>
                <w:rFonts w:ascii="宋体" w:hAnsi="宋体" w:eastAsia="宋体" w:cs="宋体"/>
                <w:b/>
                <w:bCs/>
                <w:color w:val="000000" w:themeColor="text1"/>
                <w:kern w:val="0"/>
                <w:sz w:val="32"/>
                <w:szCs w:val="32"/>
              </w:rPr>
            </w:pPr>
            <w:r>
              <w:rPr>
                <w:rFonts w:hint="eastAsia" w:ascii="宋体" w:hAnsi="宋体" w:eastAsia="宋体" w:cs="宋体"/>
                <w:b/>
                <w:bCs/>
                <w:color w:val="000000" w:themeColor="text1"/>
                <w:kern w:val="0"/>
                <w:sz w:val="32"/>
                <w:szCs w:val="32"/>
              </w:rPr>
              <w:t>石家庄市鹿泉区民政局部门固定资产占用情况表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编制部门：石家庄市鹿泉区民政局</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color w:val="000000" w:themeColor="text1"/>
                <w:kern w:val="0"/>
                <w:sz w:val="22"/>
              </w:rPr>
            </w:pPr>
            <w:r>
              <w:rPr>
                <w:rFonts w:hint="eastAsia" w:ascii="宋体" w:hAnsi="宋体" w:eastAsia="宋体" w:cs="宋体"/>
                <w:b/>
                <w:bCs/>
                <w:color w:val="000000" w:themeColor="text1"/>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000000" w:themeColor="text1"/>
                <w:kern w:val="0"/>
                <w:sz w:val="22"/>
              </w:rPr>
            </w:pPr>
            <w:r>
              <w:rPr>
                <w:rFonts w:hint="eastAsia" w:ascii="宋体" w:hAnsi="宋体" w:eastAsia="宋体" w:cs="宋体"/>
                <w:b/>
                <w:bCs/>
                <w:color w:val="000000" w:themeColor="text1"/>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000000" w:themeColor="text1"/>
                <w:kern w:val="0"/>
                <w:sz w:val="22"/>
              </w:rPr>
            </w:pPr>
            <w:r>
              <w:rPr>
                <w:rFonts w:hint="eastAsia" w:ascii="宋体" w:hAnsi="宋体" w:eastAsia="宋体" w:cs="宋体"/>
                <w:b/>
                <w:bCs/>
                <w:color w:val="000000" w:themeColor="text1"/>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color w:val="000000" w:themeColor="text1"/>
                <w:kern w:val="0"/>
                <w:sz w:val="22"/>
              </w:rPr>
            </w:pPr>
            <w:r>
              <w:rPr>
                <w:rFonts w:ascii="Times New Roman" w:hAnsi="Times New Roman" w:eastAsia="宋体" w:cs="Times New Roman"/>
                <w:color w:val="000000" w:themeColor="text1"/>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color w:val="000000" w:themeColor="text1"/>
                <w:kern w:val="0"/>
                <w:sz w:val="22"/>
              </w:rPr>
            </w:pPr>
            <w:r>
              <w:rPr>
                <w:rFonts w:hint="eastAsia" w:ascii="Times New Roman" w:hAnsi="Times New Roman" w:eastAsia="宋体" w:cs="Times New Roman"/>
                <w:color w:val="000000" w:themeColor="text1"/>
                <w:kern w:val="0"/>
                <w:sz w:val="22"/>
              </w:rPr>
              <w:t>125.69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rPr>
                <w:rFonts w:ascii="Times New Roman" w:hAnsi="Times New Roman" w:cs="Times New Roman"/>
                <w:color w:val="000000" w:themeColor="text1"/>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r>
              <w:rPr>
                <w:rFonts w:hint="eastAsia" w:ascii="Times New Roman" w:hAnsi="Times New Roman" w:cs="Times New Roman"/>
                <w:color w:val="000000" w:themeColor="text1"/>
                <w:sz w:val="22"/>
              </w:rPr>
              <w:t>5</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r>
              <w:rPr>
                <w:rFonts w:hint="eastAsia" w:ascii="Times New Roman" w:hAnsi="Times New Roman" w:cs="Times New Roman"/>
                <w:color w:val="000000" w:themeColor="text1"/>
                <w:sz w:val="22"/>
              </w:rPr>
              <w:t>71.2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r>
              <w:rPr>
                <w:rFonts w:hint="eastAsia" w:ascii="Times New Roman" w:hAnsi="Times New Roman" w:cs="Times New Roman"/>
                <w:color w:val="000000" w:themeColor="text1"/>
                <w:sz w:val="22"/>
              </w:rPr>
              <w:t>54.49</w:t>
            </w:r>
          </w:p>
        </w:tc>
      </w:tr>
    </w:tbl>
    <w:p>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八、名词解释</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1、一般公共预算拨款收入：指区级财政当年拨付的资金。</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2、事业收入：指事业单位开展专业业务活动及辅助活动所取得的收入。</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4、基本支出：指为保障机构正常运转、完成日常工作任务而发生的人员支出和公用支出。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5、项目支出：指在基本支出之外为完成特定行政任务和事业发展目标所发生的支出。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6、上缴上级支出：指下级单位上缴上级的支出。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9、上年结转：指以前年度尚未完成、结转到本年仍按原规定用途继续使用的资金。</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九、其他需要说明的事项</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我部门无其他需要说明的事项。</w:t>
      </w:r>
    </w:p>
    <w:sectPr>
      <w:pgSz w:w="16838" w:h="11906" w:orient="landscape"/>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6"/>
      </w:pPr>
      <w:r>
        <w:rPr>
          <w:rStyle w:val="12"/>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34786"/>
    <w:rsid w:val="00037AF6"/>
    <w:rsid w:val="00042F57"/>
    <w:rsid w:val="0006483E"/>
    <w:rsid w:val="00075D5F"/>
    <w:rsid w:val="0008102F"/>
    <w:rsid w:val="000B529B"/>
    <w:rsid w:val="000C3A19"/>
    <w:rsid w:val="000E1CDC"/>
    <w:rsid w:val="00116467"/>
    <w:rsid w:val="001245BB"/>
    <w:rsid w:val="00124E93"/>
    <w:rsid w:val="001251A3"/>
    <w:rsid w:val="00126462"/>
    <w:rsid w:val="001622B0"/>
    <w:rsid w:val="00163F0C"/>
    <w:rsid w:val="00165294"/>
    <w:rsid w:val="001A5044"/>
    <w:rsid w:val="001B4EF3"/>
    <w:rsid w:val="001C4ED8"/>
    <w:rsid w:val="001F7873"/>
    <w:rsid w:val="00241FD4"/>
    <w:rsid w:val="00251B12"/>
    <w:rsid w:val="00293D4A"/>
    <w:rsid w:val="00296113"/>
    <w:rsid w:val="002A673A"/>
    <w:rsid w:val="002B0797"/>
    <w:rsid w:val="002C07BE"/>
    <w:rsid w:val="002C5E13"/>
    <w:rsid w:val="002C62BC"/>
    <w:rsid w:val="002E0EB8"/>
    <w:rsid w:val="002F3E58"/>
    <w:rsid w:val="0030542C"/>
    <w:rsid w:val="00311B7A"/>
    <w:rsid w:val="00333625"/>
    <w:rsid w:val="00371DF2"/>
    <w:rsid w:val="00372FA3"/>
    <w:rsid w:val="00372FDC"/>
    <w:rsid w:val="00375BD3"/>
    <w:rsid w:val="003D417F"/>
    <w:rsid w:val="003F60E9"/>
    <w:rsid w:val="004248B8"/>
    <w:rsid w:val="00424943"/>
    <w:rsid w:val="0043175C"/>
    <w:rsid w:val="00437296"/>
    <w:rsid w:val="00451590"/>
    <w:rsid w:val="00451871"/>
    <w:rsid w:val="004631FC"/>
    <w:rsid w:val="004706DE"/>
    <w:rsid w:val="00472923"/>
    <w:rsid w:val="00496109"/>
    <w:rsid w:val="004A4194"/>
    <w:rsid w:val="004B0C3A"/>
    <w:rsid w:val="004D5788"/>
    <w:rsid w:val="004E3066"/>
    <w:rsid w:val="004E423E"/>
    <w:rsid w:val="004E74CD"/>
    <w:rsid w:val="00516E04"/>
    <w:rsid w:val="005376B2"/>
    <w:rsid w:val="00565588"/>
    <w:rsid w:val="00572067"/>
    <w:rsid w:val="005733A4"/>
    <w:rsid w:val="00573562"/>
    <w:rsid w:val="00586B7B"/>
    <w:rsid w:val="00590ECE"/>
    <w:rsid w:val="00592ADD"/>
    <w:rsid w:val="00605454"/>
    <w:rsid w:val="00612BE5"/>
    <w:rsid w:val="00614A29"/>
    <w:rsid w:val="00643AA7"/>
    <w:rsid w:val="006565D8"/>
    <w:rsid w:val="00673D76"/>
    <w:rsid w:val="00674CD7"/>
    <w:rsid w:val="006854F0"/>
    <w:rsid w:val="006A20EB"/>
    <w:rsid w:val="006B1C4A"/>
    <w:rsid w:val="006B610D"/>
    <w:rsid w:val="006E49F5"/>
    <w:rsid w:val="007013C8"/>
    <w:rsid w:val="00717B1E"/>
    <w:rsid w:val="00753836"/>
    <w:rsid w:val="0075393C"/>
    <w:rsid w:val="00754592"/>
    <w:rsid w:val="00761D88"/>
    <w:rsid w:val="00776C08"/>
    <w:rsid w:val="007C219A"/>
    <w:rsid w:val="007E1DA8"/>
    <w:rsid w:val="007F6C26"/>
    <w:rsid w:val="00813208"/>
    <w:rsid w:val="008334AE"/>
    <w:rsid w:val="00836FED"/>
    <w:rsid w:val="0083724E"/>
    <w:rsid w:val="00845CD2"/>
    <w:rsid w:val="00852B0D"/>
    <w:rsid w:val="0086361D"/>
    <w:rsid w:val="00864CE7"/>
    <w:rsid w:val="008711D6"/>
    <w:rsid w:val="00881692"/>
    <w:rsid w:val="00883D1A"/>
    <w:rsid w:val="008A25C2"/>
    <w:rsid w:val="008A6576"/>
    <w:rsid w:val="008B3CC5"/>
    <w:rsid w:val="008B410F"/>
    <w:rsid w:val="008B52CD"/>
    <w:rsid w:val="008E4261"/>
    <w:rsid w:val="008F4662"/>
    <w:rsid w:val="00905D08"/>
    <w:rsid w:val="00915521"/>
    <w:rsid w:val="00922AEB"/>
    <w:rsid w:val="00925753"/>
    <w:rsid w:val="009425F4"/>
    <w:rsid w:val="00942ACE"/>
    <w:rsid w:val="00951106"/>
    <w:rsid w:val="00966C5C"/>
    <w:rsid w:val="00973104"/>
    <w:rsid w:val="00995BF0"/>
    <w:rsid w:val="009A16D5"/>
    <w:rsid w:val="009A1E3B"/>
    <w:rsid w:val="009A353D"/>
    <w:rsid w:val="009B0B77"/>
    <w:rsid w:val="009B511E"/>
    <w:rsid w:val="00A44E3D"/>
    <w:rsid w:val="00A6730E"/>
    <w:rsid w:val="00A72D2E"/>
    <w:rsid w:val="00A74447"/>
    <w:rsid w:val="00A74CE5"/>
    <w:rsid w:val="00A911E7"/>
    <w:rsid w:val="00A939D9"/>
    <w:rsid w:val="00AA56FC"/>
    <w:rsid w:val="00AE4BFD"/>
    <w:rsid w:val="00B07D9E"/>
    <w:rsid w:val="00B20712"/>
    <w:rsid w:val="00B43238"/>
    <w:rsid w:val="00B45DD3"/>
    <w:rsid w:val="00B52632"/>
    <w:rsid w:val="00B5560F"/>
    <w:rsid w:val="00B61CE7"/>
    <w:rsid w:val="00B727A9"/>
    <w:rsid w:val="00B75216"/>
    <w:rsid w:val="00B836A6"/>
    <w:rsid w:val="00B91D52"/>
    <w:rsid w:val="00B9490F"/>
    <w:rsid w:val="00BA1ACD"/>
    <w:rsid w:val="00BD09F8"/>
    <w:rsid w:val="00CA7176"/>
    <w:rsid w:val="00CB3D48"/>
    <w:rsid w:val="00CB4665"/>
    <w:rsid w:val="00CB7642"/>
    <w:rsid w:val="00CC75B0"/>
    <w:rsid w:val="00CD2773"/>
    <w:rsid w:val="00CE143B"/>
    <w:rsid w:val="00D0024A"/>
    <w:rsid w:val="00D27003"/>
    <w:rsid w:val="00D42758"/>
    <w:rsid w:val="00D7043D"/>
    <w:rsid w:val="00DB4A9B"/>
    <w:rsid w:val="00E130DC"/>
    <w:rsid w:val="00E167C7"/>
    <w:rsid w:val="00E2482E"/>
    <w:rsid w:val="00E252E9"/>
    <w:rsid w:val="00E6389F"/>
    <w:rsid w:val="00E64AF9"/>
    <w:rsid w:val="00E73D47"/>
    <w:rsid w:val="00EA203D"/>
    <w:rsid w:val="00EC47F6"/>
    <w:rsid w:val="00EE156D"/>
    <w:rsid w:val="00EE40B3"/>
    <w:rsid w:val="00EE65B8"/>
    <w:rsid w:val="00F149E2"/>
    <w:rsid w:val="00F23882"/>
    <w:rsid w:val="00F32C1F"/>
    <w:rsid w:val="00F34E25"/>
    <w:rsid w:val="00F61AC3"/>
    <w:rsid w:val="00F66032"/>
    <w:rsid w:val="00F87C1E"/>
    <w:rsid w:val="00F958C2"/>
    <w:rsid w:val="00FA5D76"/>
    <w:rsid w:val="00FC7257"/>
    <w:rsid w:val="202314E9"/>
    <w:rsid w:val="36801CC7"/>
    <w:rsid w:val="7311670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uiPriority w:val="99"/>
    <w:rPr>
      <w:sz w:val="18"/>
      <w:szCs w:val="18"/>
    </w:rPr>
  </w:style>
  <w:style w:type="paragraph" w:styleId="3">
    <w:name w:val="footer"/>
    <w:basedOn w:val="1"/>
    <w:link w:val="14"/>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3EF84A-C596-4F91-98FA-5117E2651C1B}">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1338</Words>
  <Characters>7633</Characters>
  <Lines>63</Lines>
  <Paragraphs>17</Paragraphs>
  <TotalTime>119</TotalTime>
  <ScaleCrop>false</ScaleCrop>
  <LinksUpToDate>false</LinksUpToDate>
  <CharactersWithSpaces>8954</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2024-07-04T08:41:22Z</dcterms:modified>
  <dc:title>河北省财政厅2019年部门预算信息公开情况说明</dc:title>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