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华文楷体" w:eastAsia="华文楷体"/>
          <w:sz w:val="32"/>
          <w:szCs w:val="32"/>
          <w:lang w:eastAsia="zh-CN"/>
        </w:rPr>
      </w:pPr>
      <w:r>
        <w:rPr>
          <w:rFonts w:hint="eastAsia" w:ascii="宋体"/>
          <w:b/>
          <w:bCs/>
          <w:sz w:val="36"/>
          <w:szCs w:val="32"/>
          <w:lang w:eastAsia="zh-CN"/>
        </w:rPr>
        <w:t>五一、十一节日摆放花卉项目</w:t>
      </w:r>
      <w:r>
        <w:rPr>
          <w:rFonts w:hint="eastAsia" w:ascii="宋体"/>
          <w:b/>
          <w:bCs/>
          <w:sz w:val="36"/>
          <w:szCs w:val="32"/>
        </w:rPr>
        <w:t>绩效评价报告</w:t>
      </w:r>
    </w:p>
    <w:p>
      <w:pPr>
        <w:adjustRightInd w:val="0"/>
        <w:snapToGrid w:val="0"/>
        <w:spacing w:line="360" w:lineRule="auto"/>
        <w:ind w:firstLine="640" w:firstLineChars="200"/>
        <w:rPr>
          <w:rFonts w:hint="eastAsia" w:ascii="仿宋_GB2312" w:eastAsia="仿宋_GB2312"/>
          <w:sz w:val="32"/>
          <w:szCs w:val="32"/>
        </w:rPr>
      </w:pP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我单位五一、十一节日摆放花卉项目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keepNext w:val="0"/>
        <w:keepLines w:val="0"/>
        <w:pageBreakBefore w:val="0"/>
        <w:widowControl w:val="0"/>
        <w:kinsoku/>
        <w:wordWrap/>
        <w:overflowPunct/>
        <w:topLinePunct w:val="0"/>
        <w:autoSpaceDE/>
        <w:autoSpaceDN/>
        <w:bidi w:val="0"/>
        <w:adjustRightInd w:val="0"/>
        <w:snapToGrid w:val="0"/>
        <w:spacing w:line="578" w:lineRule="exact"/>
        <w:textAlignment w:val="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textAlignment w:val="auto"/>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lang w:eastAsia="zh-CN"/>
        </w:rPr>
        <w:t>项目实施单位：石家庄市鹿泉区公路绿化管理中心；</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2.项目主要实施内容：</w:t>
      </w:r>
      <w:r>
        <w:rPr>
          <w:rFonts w:hint="eastAsia" w:ascii="仿宋_GB2312" w:eastAsia="仿宋_GB2312"/>
          <w:sz w:val="32"/>
          <w:szCs w:val="32"/>
          <w:lang w:eastAsia="zh-CN"/>
        </w:rPr>
        <w:t>为提升节日期间南二环西延、御园路、京赞线、石铜路主要干线道路两侧绿化及街道景观效果，在各街道重要节点位置摆放鸡冠花、孔雀草、硫华菊、一串红、牵牛花时令花卉，全线摆花共计10万盆，有效提升沿线景观效果。</w:t>
      </w:r>
      <w:r>
        <w:rPr>
          <w:rFonts w:hint="eastAsia" w:ascii="仿宋_GB2312" w:eastAsia="仿宋_GB2312"/>
          <w:sz w:val="32"/>
          <w:szCs w:val="32"/>
          <w:lang w:val="en-US" w:eastAsia="zh-CN"/>
        </w:rPr>
        <w:t>范围：</w:t>
      </w:r>
      <w:r>
        <w:rPr>
          <w:rFonts w:hint="eastAsia" w:ascii="仿宋_GB2312" w:eastAsia="仿宋_GB2312"/>
          <w:sz w:val="32"/>
          <w:szCs w:val="32"/>
          <w:lang w:eastAsia="zh-CN"/>
        </w:rPr>
        <w:t>南二环西延、御园路、京赞线、石铜路主要干线道路</w:t>
      </w:r>
      <w:r>
        <w:rPr>
          <w:rFonts w:hint="eastAsia" w:ascii="仿宋_GB2312" w:eastAsia="仿宋_GB2312"/>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3.项目资金投入情况：资金数量：</w:t>
      </w:r>
      <w:r>
        <w:rPr>
          <w:rFonts w:hint="eastAsia" w:ascii="仿宋_GB2312" w:eastAsia="仿宋_GB2312"/>
          <w:color w:val="000000" w:themeColor="text1"/>
          <w:sz w:val="32"/>
          <w:szCs w:val="32"/>
          <w:lang w:val="en-US" w:eastAsia="zh-CN"/>
          <w14:textFill>
            <w14:solidFill>
              <w14:schemeClr w14:val="tx1"/>
            </w14:solidFill>
          </w14:textFill>
        </w:rPr>
        <w:t>37.3万元</w:t>
      </w:r>
      <w:r>
        <w:rPr>
          <w:rFonts w:hint="eastAsia" w:ascii="仿宋_GB2312" w:eastAsia="仿宋_GB2312"/>
          <w:sz w:val="32"/>
          <w:szCs w:val="32"/>
          <w:lang w:val="en-US" w:eastAsia="zh-CN"/>
        </w:rPr>
        <w:t>，资金来源渠道：</w:t>
      </w:r>
      <w:r>
        <w:rPr>
          <w:rFonts w:hint="eastAsia" w:ascii="仿宋_GB2312" w:eastAsia="仿宋_GB2312"/>
          <w:color w:val="000000" w:themeColor="text1"/>
          <w:sz w:val="32"/>
          <w:szCs w:val="32"/>
          <w:lang w:val="en-US" w:eastAsia="zh-CN"/>
          <w14:textFill>
            <w14:solidFill>
              <w14:schemeClr w14:val="tx1"/>
            </w14:solidFill>
          </w14:textFill>
        </w:rPr>
        <w:t>财政拨款。</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eastAsia="zh-CN"/>
        </w:rPr>
        <w:t>项目预期绩效总目标：</w:t>
      </w:r>
      <w:r>
        <w:rPr>
          <w:rFonts w:hint="eastAsia" w:ascii="仿宋_GB2312" w:eastAsia="仿宋_GB2312"/>
          <w:sz w:val="32"/>
          <w:szCs w:val="32"/>
          <w:lang w:val="en-US" w:eastAsia="zh-CN"/>
        </w:rPr>
        <w:t>为提升节日期间南二环西延、御园路、京赞线、石铜路主要干线道路两侧绿化及街道景观效果，在各街道重要节点位置摆放鸡冠花、孔雀草、硫华菊、一串红、牵牛花时令花卉，全线摆花共计10万盆，有效提升景观效果。</w:t>
      </w:r>
    </w:p>
    <w:p>
      <w:pPr>
        <w:keepNext w:val="0"/>
        <w:keepLines w:val="0"/>
        <w:pageBreakBefore w:val="0"/>
        <w:widowControl w:val="0"/>
        <w:kinsoku/>
        <w:wordWrap/>
        <w:overflowPunct/>
        <w:topLinePunct w:val="0"/>
        <w:autoSpaceDE/>
        <w:autoSpaceDN/>
        <w:bidi w:val="0"/>
        <w:adjustRightInd w:val="0"/>
        <w:snapToGrid w:val="0"/>
        <w:spacing w:line="578" w:lineRule="exact"/>
        <w:ind w:firstLine="643" w:firstLineChars="200"/>
        <w:textAlignment w:val="auto"/>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keepNext w:val="0"/>
        <w:keepLines w:val="0"/>
        <w:pageBreakBefore w:val="0"/>
        <w:widowControl w:val="0"/>
        <w:kinsoku/>
        <w:wordWrap/>
        <w:overflowPunct/>
        <w:topLinePunct w:val="0"/>
        <w:autoSpaceDE/>
        <w:autoSpaceDN/>
        <w:bidi w:val="0"/>
        <w:spacing w:line="578" w:lineRule="exact"/>
        <w:ind w:left="0" w:leftChars="0" w:right="0" w:rightChars="0" w:firstLine="0" w:firstLineChars="0"/>
        <w:jc w:val="both"/>
        <w:textAlignment w:val="auto"/>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keepNext w:val="0"/>
        <w:keepLines w:val="0"/>
        <w:pageBreakBefore w:val="0"/>
        <w:widowControl w:val="0"/>
        <w:numPr>
          <w:ilvl w:val="0"/>
          <w:numId w:val="0"/>
        </w:numPr>
        <w:kinsoku/>
        <w:wordWrap/>
        <w:overflowPunct/>
        <w:topLinePunct w:val="0"/>
        <w:autoSpaceDE/>
        <w:autoSpaceDN/>
        <w:bidi w:val="0"/>
        <w:spacing w:line="578" w:lineRule="exact"/>
        <w:textAlignment w:val="auto"/>
        <w:rPr>
          <w:rFonts w:hint="eastAsia" w:ascii="仿宋_GB2312" w:eastAsia="仿宋_GB2312"/>
          <w:sz w:val="32"/>
          <w:szCs w:val="32"/>
          <w:lang w:eastAsia="zh-CN"/>
        </w:rPr>
      </w:pPr>
      <w:r>
        <w:rPr>
          <w:rFonts w:hint="eastAsia" w:ascii="仿宋_GB2312" w:eastAsia="仿宋_GB2312"/>
          <w:sz w:val="32"/>
          <w:szCs w:val="32"/>
          <w:lang w:val="en-US" w:eastAsia="zh-CN"/>
        </w:rPr>
        <w:t xml:space="preserve">    我单位高度重视</w:t>
      </w:r>
      <w:r>
        <w:rPr>
          <w:rFonts w:hint="eastAsia" w:ascii="仿宋_GB2312" w:eastAsia="仿宋_GB2312"/>
          <w:sz w:val="32"/>
          <w:szCs w:val="32"/>
          <w:lang w:eastAsia="zh-CN"/>
        </w:rPr>
        <w:t>项目绩效评价工作，成立了由主任为组长的项目绩效自评领导小组，进一步加强项目绩效自评工作的组织和领导，确保绩效自评工作顺利进行。领导小组针对各项目设立自评小组，统一部署各项目绩效自评工作，安排项目实施、运行、财务等相关人员，落实项目实施、运行及资金使用情况，及时报送绩效自评相关资料。由自评小组汇总汇报，项目绩效自评领导小组依据汇报材料开展评价工作。</w:t>
      </w:r>
    </w:p>
    <w:p>
      <w:pPr>
        <w:keepNext w:val="0"/>
        <w:keepLines w:val="0"/>
        <w:pageBreakBefore w:val="0"/>
        <w:widowControl w:val="0"/>
        <w:kinsoku/>
        <w:wordWrap/>
        <w:overflowPunct/>
        <w:topLinePunct w:val="0"/>
        <w:autoSpaceDE/>
        <w:autoSpaceDN/>
        <w:bidi w:val="0"/>
        <w:spacing w:line="578" w:lineRule="exact"/>
        <w:ind w:left="0" w:leftChars="0" w:right="0" w:rightChars="0" w:firstLine="0" w:firstLineChars="0"/>
        <w:jc w:val="both"/>
        <w:textAlignment w:val="auto"/>
        <w:rPr>
          <w:rFonts w:hint="eastAsia" w:ascii="楷体_GB2312" w:hAnsi="楷体_GB2312" w:eastAsia="楷体_GB2312" w:cs="楷体_GB2312"/>
          <w:b w:val="0"/>
          <w:bCs w:val="0"/>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（二）绩效评价的方法和过程</w:t>
      </w:r>
    </w:p>
    <w:p>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firstLine="640"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为开展好本次项目评价工作，根据相关文件要求，我单位按以下四个步骤开展绩效评价：</w:t>
      </w:r>
    </w:p>
    <w:p>
      <w:pPr>
        <w:keepNext w:val="0"/>
        <w:keepLines w:val="0"/>
        <w:pageBreakBefore w:val="0"/>
        <w:widowControl w:val="0"/>
        <w:numPr>
          <w:ilvl w:val="0"/>
          <w:numId w:val="1"/>
        </w:numPr>
        <w:kinsoku/>
        <w:wordWrap/>
        <w:overflowPunct/>
        <w:topLinePunct w:val="0"/>
        <w:autoSpaceDE/>
        <w:autoSpaceDN/>
        <w:bidi w:val="0"/>
        <w:adjustRightInd w:val="0"/>
        <w:snapToGrid w:val="0"/>
        <w:spacing w:line="578" w:lineRule="exact"/>
        <w:ind w:firstLine="640"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成立节日摆放花卉项目自评小组；</w:t>
      </w:r>
    </w:p>
    <w:p>
      <w:pPr>
        <w:keepNext w:val="0"/>
        <w:keepLines w:val="0"/>
        <w:pageBreakBefore w:val="0"/>
        <w:widowControl w:val="0"/>
        <w:numPr>
          <w:ilvl w:val="0"/>
          <w:numId w:val="1"/>
        </w:numPr>
        <w:kinsoku/>
        <w:wordWrap/>
        <w:overflowPunct/>
        <w:topLinePunct w:val="0"/>
        <w:autoSpaceDE/>
        <w:autoSpaceDN/>
        <w:bidi w:val="0"/>
        <w:adjustRightInd w:val="0"/>
        <w:snapToGrid w:val="0"/>
        <w:spacing w:line="578" w:lineRule="exact"/>
        <w:ind w:firstLine="640"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评价小组负责收集预算资料、财务资料、设计资料、合同资料等项目相关资料。根据收集材料，组织召开项目座谈会，最终形成项目绩效评价材料；</w:t>
      </w:r>
    </w:p>
    <w:p>
      <w:pPr>
        <w:keepNext w:val="0"/>
        <w:keepLines w:val="0"/>
        <w:pageBreakBefore w:val="0"/>
        <w:widowControl w:val="0"/>
        <w:numPr>
          <w:ilvl w:val="0"/>
          <w:numId w:val="1"/>
        </w:numPr>
        <w:kinsoku/>
        <w:wordWrap/>
        <w:overflowPunct/>
        <w:topLinePunct w:val="0"/>
        <w:autoSpaceDE/>
        <w:autoSpaceDN/>
        <w:bidi w:val="0"/>
        <w:adjustRightInd w:val="0"/>
        <w:snapToGrid w:val="0"/>
        <w:spacing w:line="578" w:lineRule="exact"/>
        <w:ind w:firstLine="640"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开展绩效评价，形成评价报告初稿，根据收集的项目资料，评价小组汇报项目绩效评价领导小组，对本项目进行评价；</w:t>
      </w:r>
    </w:p>
    <w:p>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firstLine="640"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4）征求相关部门意见，形成评价报告。绩效评价初稿形成后，项目评价小组与项目负责人员进行沟通，听取意见建议，避免出现遗漏，同时，通过随机采访和调查问卷的方式，对该项目沿线社会群众满意度进行调查，并在其基础上进行完善并形成绩效评价报告终稿。</w:t>
      </w:r>
    </w:p>
    <w:p>
      <w:pPr>
        <w:keepNext w:val="0"/>
        <w:keepLines w:val="0"/>
        <w:pageBreakBefore w:val="0"/>
        <w:widowControl w:val="0"/>
        <w:numPr>
          <w:ilvl w:val="0"/>
          <w:numId w:val="0"/>
        </w:numPr>
        <w:kinsoku/>
        <w:wordWrap/>
        <w:overflowPunct/>
        <w:topLinePunct w:val="0"/>
        <w:autoSpaceDE/>
        <w:autoSpaceDN/>
        <w:bidi w:val="0"/>
        <w:spacing w:line="578" w:lineRule="exact"/>
        <w:ind w:leftChars="0" w:right="0" w:rightChars="0"/>
        <w:jc w:val="both"/>
        <w:textAlignment w:val="auto"/>
        <w:rPr>
          <w:rFonts w:hint="eastAsia" w:ascii="仿宋_GB2312" w:eastAsia="仿宋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p>
      <w:pPr>
        <w:keepNext w:val="0"/>
        <w:keepLines w:val="0"/>
        <w:pageBreakBefore w:val="0"/>
        <w:widowControl w:val="0"/>
        <w:kinsoku/>
        <w:wordWrap/>
        <w:overflowPunct/>
        <w:topLinePunct w:val="0"/>
        <w:autoSpaceDE/>
        <w:autoSpaceDN/>
        <w:bidi w:val="0"/>
        <w:spacing w:line="578" w:lineRule="exact"/>
        <w:ind w:firstLine="640" w:firstLineChars="200"/>
        <w:jc w:val="both"/>
        <w:textAlignment w:val="auto"/>
        <w:rPr>
          <w:rFonts w:hint="eastAsia" w:ascii="仿宋_GB2312" w:eastAsia="仿宋_GB2312"/>
          <w:sz w:val="32"/>
          <w:szCs w:val="32"/>
          <w:lang w:val="en-US" w:eastAsia="zh-CN"/>
        </w:rPr>
      </w:pPr>
      <w:r>
        <w:rPr>
          <w:rFonts w:hint="eastAsia" w:ascii="仿宋_GB2312" w:eastAsia="仿宋_GB2312"/>
          <w:b w:val="0"/>
          <w:bCs w:val="0"/>
          <w:sz w:val="32"/>
          <w:szCs w:val="32"/>
          <w:lang w:val="en-US" w:eastAsia="zh-CN"/>
        </w:rPr>
        <w:t>根据要求，我单位在开展本项目预算绩效评价工作过程中，针对评价对象特点，设计以下评价指标体系</w:t>
      </w:r>
      <w:r>
        <w:rPr>
          <w:rFonts w:hint="eastAsia" w:ascii="仿宋_GB2312" w:eastAsia="仿宋_GB2312"/>
          <w:sz w:val="32"/>
          <w:szCs w:val="32"/>
          <w:lang w:val="en-US" w:eastAsia="zh-CN"/>
        </w:rPr>
        <w:t>。</w:t>
      </w:r>
    </w:p>
    <w:tbl>
      <w:tblPr>
        <w:tblStyle w:val="5"/>
        <w:tblW w:w="925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62"/>
        <w:gridCol w:w="1262"/>
        <w:gridCol w:w="3142"/>
        <w:gridCol w:w="2737"/>
        <w:gridCol w:w="8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62" w:type="dxa"/>
          </w:tcPr>
          <w:p>
            <w:pPr>
              <w:keepNext w:val="0"/>
              <w:keepLines w:val="0"/>
              <w:pageBreakBefore w:val="0"/>
              <w:widowControl w:val="0"/>
              <w:kinsoku/>
              <w:wordWrap/>
              <w:overflowPunct/>
              <w:topLinePunct w:val="0"/>
              <w:autoSpaceDE/>
              <w:autoSpaceDN/>
              <w:bidi w:val="0"/>
              <w:spacing w:line="578"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指标</w:t>
            </w:r>
          </w:p>
        </w:tc>
        <w:tc>
          <w:tcPr>
            <w:tcW w:w="1262" w:type="dxa"/>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分值</w:t>
            </w:r>
          </w:p>
        </w:tc>
        <w:tc>
          <w:tcPr>
            <w:tcW w:w="3142" w:type="dxa"/>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指标解释</w:t>
            </w:r>
          </w:p>
        </w:tc>
        <w:tc>
          <w:tcPr>
            <w:tcW w:w="2737" w:type="dxa"/>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评价标准</w:t>
            </w:r>
          </w:p>
        </w:tc>
        <w:tc>
          <w:tcPr>
            <w:tcW w:w="848" w:type="dxa"/>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62"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项目决策</w:t>
            </w:r>
          </w:p>
        </w:tc>
        <w:tc>
          <w:tcPr>
            <w:tcW w:w="1262"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16</w:t>
            </w:r>
          </w:p>
        </w:tc>
        <w:tc>
          <w:tcPr>
            <w:tcW w:w="3142"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项目目标是否明确，项目是否符合经济社会发展规划和单位年度工作计划</w:t>
            </w:r>
          </w:p>
        </w:tc>
        <w:tc>
          <w:tcPr>
            <w:tcW w:w="2737"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目标明确、目标细化、目标量化各2分，项目符合经济社会发展规划和单位年度工作计划各5分</w:t>
            </w:r>
          </w:p>
        </w:tc>
        <w:tc>
          <w:tcPr>
            <w:tcW w:w="848"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_GB2312" w:eastAsia="仿宋_GB2312"/>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62"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资金到位</w:t>
            </w:r>
          </w:p>
        </w:tc>
        <w:tc>
          <w:tcPr>
            <w:tcW w:w="1262"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10</w:t>
            </w:r>
          </w:p>
        </w:tc>
        <w:tc>
          <w:tcPr>
            <w:tcW w:w="3142"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资金到位率和到位时效</w:t>
            </w:r>
          </w:p>
        </w:tc>
        <w:tc>
          <w:tcPr>
            <w:tcW w:w="2737"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根据资金到位率及实效评分</w:t>
            </w:r>
          </w:p>
        </w:tc>
        <w:tc>
          <w:tcPr>
            <w:tcW w:w="848"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_GB2312" w:eastAsia="仿宋_GB2312"/>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62"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资金管理</w:t>
            </w:r>
          </w:p>
        </w:tc>
        <w:tc>
          <w:tcPr>
            <w:tcW w:w="1262"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12</w:t>
            </w:r>
          </w:p>
        </w:tc>
        <w:tc>
          <w:tcPr>
            <w:tcW w:w="3142"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资金管理、费用支出制度健全，是否严格执行制度</w:t>
            </w:r>
          </w:p>
        </w:tc>
        <w:tc>
          <w:tcPr>
            <w:tcW w:w="2737"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制度健全、支出规范6分，严格执行制度，核算规范6分</w:t>
            </w:r>
          </w:p>
        </w:tc>
        <w:tc>
          <w:tcPr>
            <w:tcW w:w="848"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_GB2312" w:eastAsia="仿宋_GB2312"/>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62"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组织实施</w:t>
            </w:r>
          </w:p>
        </w:tc>
        <w:tc>
          <w:tcPr>
            <w:tcW w:w="1262"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12</w:t>
            </w:r>
          </w:p>
        </w:tc>
        <w:tc>
          <w:tcPr>
            <w:tcW w:w="3142"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机构健全、分工明确，严格执行相关制度</w:t>
            </w:r>
          </w:p>
        </w:tc>
        <w:tc>
          <w:tcPr>
            <w:tcW w:w="2737"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机构健全3分，分工明确3分，严格执行制度6分</w:t>
            </w:r>
          </w:p>
        </w:tc>
        <w:tc>
          <w:tcPr>
            <w:tcW w:w="848"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_GB2312" w:eastAsia="仿宋_GB2312"/>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62"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项目产出</w:t>
            </w:r>
          </w:p>
        </w:tc>
        <w:tc>
          <w:tcPr>
            <w:tcW w:w="1262"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20</w:t>
            </w:r>
          </w:p>
        </w:tc>
        <w:tc>
          <w:tcPr>
            <w:tcW w:w="3142"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产出数量、质量、时效、成本</w:t>
            </w:r>
          </w:p>
        </w:tc>
        <w:tc>
          <w:tcPr>
            <w:tcW w:w="2737"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各占5分</w:t>
            </w:r>
          </w:p>
        </w:tc>
        <w:tc>
          <w:tcPr>
            <w:tcW w:w="848"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_GB2312" w:eastAsia="仿宋_GB2312"/>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62"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项目效果</w:t>
            </w:r>
          </w:p>
        </w:tc>
        <w:tc>
          <w:tcPr>
            <w:tcW w:w="1262"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10</w:t>
            </w:r>
          </w:p>
        </w:tc>
        <w:tc>
          <w:tcPr>
            <w:tcW w:w="3142"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经济效益、社会效益和可持续发展</w:t>
            </w:r>
          </w:p>
        </w:tc>
        <w:tc>
          <w:tcPr>
            <w:tcW w:w="2737"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经济效益社会效益各占3分，可持续发展占4分</w:t>
            </w:r>
          </w:p>
        </w:tc>
        <w:tc>
          <w:tcPr>
            <w:tcW w:w="848"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_GB2312" w:eastAsia="仿宋_GB2312"/>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62"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服务对象满意度</w:t>
            </w:r>
          </w:p>
        </w:tc>
        <w:tc>
          <w:tcPr>
            <w:tcW w:w="1262"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20</w:t>
            </w:r>
          </w:p>
        </w:tc>
        <w:tc>
          <w:tcPr>
            <w:tcW w:w="3142"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对居民、群众进行随机采访和发放调查问卷，进行满意度调查</w:t>
            </w:r>
          </w:p>
        </w:tc>
        <w:tc>
          <w:tcPr>
            <w:tcW w:w="2737"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根据采访和调研的情况进行评分</w:t>
            </w:r>
          </w:p>
        </w:tc>
        <w:tc>
          <w:tcPr>
            <w:tcW w:w="848"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_GB2312" w:eastAsia="仿宋_GB2312"/>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62"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合计</w:t>
            </w:r>
          </w:p>
        </w:tc>
        <w:tc>
          <w:tcPr>
            <w:tcW w:w="1262"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100</w:t>
            </w:r>
          </w:p>
        </w:tc>
        <w:tc>
          <w:tcPr>
            <w:tcW w:w="3142"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仿宋_GB2312" w:eastAsia="仿宋_GB2312"/>
                <w:sz w:val="24"/>
                <w:szCs w:val="24"/>
                <w:vertAlign w:val="baseline"/>
                <w:lang w:val="en-US" w:eastAsia="zh-CN"/>
              </w:rPr>
            </w:pPr>
          </w:p>
        </w:tc>
        <w:tc>
          <w:tcPr>
            <w:tcW w:w="2737"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仿宋_GB2312" w:eastAsia="仿宋_GB2312"/>
                <w:sz w:val="24"/>
                <w:szCs w:val="24"/>
                <w:vertAlign w:val="baseline"/>
                <w:lang w:val="en-US" w:eastAsia="zh-CN"/>
              </w:rPr>
            </w:pPr>
          </w:p>
        </w:tc>
        <w:tc>
          <w:tcPr>
            <w:tcW w:w="848"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_GB2312" w:eastAsia="仿宋_GB2312"/>
                <w:sz w:val="24"/>
                <w:szCs w:val="24"/>
                <w:vertAlign w:val="baseline"/>
                <w:lang w:val="en-US" w:eastAsia="zh-CN"/>
              </w:rPr>
            </w:pPr>
          </w:p>
        </w:tc>
      </w:tr>
    </w:tbl>
    <w:p>
      <w:pPr>
        <w:keepNext w:val="0"/>
        <w:keepLines w:val="0"/>
        <w:pageBreakBefore w:val="0"/>
        <w:widowControl w:val="0"/>
        <w:kinsoku/>
        <w:wordWrap/>
        <w:overflowPunct/>
        <w:topLinePunct w:val="0"/>
        <w:autoSpaceDE/>
        <w:autoSpaceDN/>
        <w:bidi w:val="0"/>
        <w:spacing w:line="578" w:lineRule="exact"/>
        <w:ind w:firstLine="640" w:firstLineChars="200"/>
        <w:jc w:val="both"/>
        <w:textAlignment w:val="auto"/>
        <w:rPr>
          <w:rFonts w:hint="eastAsia" w:ascii="仿宋_GB2312" w:eastAsia="仿宋_GB2312"/>
          <w:sz w:val="32"/>
          <w:szCs w:val="32"/>
          <w:lang w:val="en-US" w:eastAsia="zh-CN"/>
        </w:rPr>
      </w:pPr>
    </w:p>
    <w:p>
      <w:pPr>
        <w:keepNext w:val="0"/>
        <w:keepLines w:val="0"/>
        <w:pageBreakBefore w:val="0"/>
        <w:widowControl w:val="0"/>
        <w:kinsoku/>
        <w:wordWrap/>
        <w:overflowPunct/>
        <w:topLinePunct w:val="0"/>
        <w:autoSpaceDE/>
        <w:autoSpaceDN/>
        <w:bidi w:val="0"/>
        <w:spacing w:line="578" w:lineRule="exact"/>
        <w:textAlignment w:val="auto"/>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keepNext w:val="0"/>
        <w:keepLines w:val="0"/>
        <w:pageBreakBefore w:val="0"/>
        <w:widowControl w:val="0"/>
        <w:kinsoku/>
        <w:wordWrap/>
        <w:overflowPunct/>
        <w:topLinePunct w:val="0"/>
        <w:autoSpaceDE/>
        <w:autoSpaceDN/>
        <w:bidi w:val="0"/>
        <w:spacing w:line="578" w:lineRule="exact"/>
        <w:textAlignment w:val="auto"/>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b w:val="0"/>
          <w:bCs w:val="0"/>
          <w:sz w:val="32"/>
          <w:szCs w:val="36"/>
          <w:lang w:val="en-US" w:eastAsia="zh-CN"/>
        </w:rPr>
      </w:pPr>
      <w:r>
        <w:rPr>
          <w:rFonts w:hint="eastAsia" w:ascii="仿宋_GB2312" w:hAnsi="仿宋_GB2312" w:eastAsia="仿宋_GB2312" w:cs="仿宋_GB2312"/>
          <w:b w:val="0"/>
          <w:bCs w:val="0"/>
          <w:color w:val="auto"/>
          <w:sz w:val="32"/>
          <w:szCs w:val="36"/>
          <w:lang w:val="en-US" w:eastAsia="zh-CN"/>
        </w:rPr>
        <w:t>1、该项目根据</w:t>
      </w:r>
      <w:r>
        <w:rPr>
          <w:rFonts w:hint="eastAsia" w:ascii="仿宋_GB2312" w:hAnsi="仿宋_GB2312" w:eastAsia="仿宋_GB2312" w:cs="仿宋_GB2312"/>
          <w:b w:val="0"/>
          <w:bCs w:val="0"/>
          <w:sz w:val="32"/>
          <w:szCs w:val="36"/>
          <w:lang w:eastAsia="zh-CN"/>
        </w:rPr>
        <w:t>鹿泉区政府对《石家庄市鹿泉区交通运输局关于国庆节种植摆放花卉及费用拨付的请示》批复，为保证相关道路两侧绿化带及重要节点位置节日期间景观效果，在</w:t>
      </w:r>
      <w:r>
        <w:rPr>
          <w:rFonts w:hint="eastAsia" w:ascii="仿宋_GB2312" w:hAnsi="仿宋_GB2312" w:eastAsia="仿宋_GB2312" w:cs="仿宋_GB2312"/>
          <w:b w:val="0"/>
          <w:bCs w:val="0"/>
          <w:sz w:val="32"/>
          <w:szCs w:val="36"/>
          <w:lang w:val="en-US" w:eastAsia="zh-CN"/>
        </w:rPr>
        <w:t>南二环西延、御园路、京赞线、石铜路道路两侧绿化和重要节点位置摆放鸡冠花、孔雀草、硫华菊、一串红、牵牛花时令花卉，全线摆花共计10万盆，使景观效果得到有效提升。</w:t>
      </w:r>
    </w:p>
    <w:p>
      <w:pPr>
        <w:keepNext w:val="0"/>
        <w:keepLines w:val="0"/>
        <w:pageBreakBefore w:val="0"/>
        <w:widowControl w:val="0"/>
        <w:kinsoku/>
        <w:wordWrap/>
        <w:overflowPunct/>
        <w:topLinePunct w:val="0"/>
        <w:autoSpaceDE/>
        <w:autoSpaceDN/>
        <w:bidi w:val="0"/>
        <w:spacing w:line="578" w:lineRule="exact"/>
        <w:ind w:firstLine="640" w:firstLineChars="200"/>
        <w:textAlignment w:val="auto"/>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w:t>
      </w:r>
      <w:r>
        <w:rPr>
          <w:rFonts w:hint="eastAsia" w:ascii="仿宋_GB2312" w:eastAsia="仿宋_GB2312"/>
          <w:sz w:val="32"/>
          <w:szCs w:val="32"/>
          <w:lang w:eastAsia="zh-CN"/>
        </w:rPr>
        <w:t>五一、十一节日摆放花卉项目</w:t>
      </w:r>
      <w:r>
        <w:rPr>
          <w:rFonts w:hint="eastAsia" w:ascii="仿宋_GB2312" w:hAnsi="宋体" w:eastAsia="仿宋_GB2312"/>
          <w:color w:val="auto"/>
          <w:sz w:val="32"/>
          <w:szCs w:val="32"/>
          <w:lang w:eastAsia="zh-CN"/>
        </w:rPr>
        <w:t>，</w:t>
      </w:r>
      <w:r>
        <w:rPr>
          <w:rFonts w:hint="eastAsia" w:ascii="仿宋_GB2312" w:hAnsi="仿宋_GB2312" w:eastAsia="仿宋_GB2312" w:cs="仿宋_GB2312"/>
          <w:b w:val="0"/>
          <w:bCs w:val="0"/>
          <w:color w:val="auto"/>
          <w:sz w:val="32"/>
          <w:szCs w:val="36"/>
          <w:lang w:val="en-US" w:eastAsia="zh-CN"/>
        </w:rPr>
        <w:t>2019年预算安排金额为37.3万元，</w:t>
      </w:r>
      <w:r>
        <w:rPr>
          <w:rFonts w:hint="eastAsia" w:ascii="仿宋_GB2312" w:eastAsia="仿宋_GB2312"/>
          <w:color w:val="auto"/>
          <w:sz w:val="32"/>
          <w:szCs w:val="32"/>
          <w:lang w:val="en-US" w:eastAsia="zh-CN"/>
        </w:rPr>
        <w:t>现已支付16.26万元。</w:t>
      </w:r>
    </w:p>
    <w:p>
      <w:pPr>
        <w:keepNext w:val="0"/>
        <w:keepLines w:val="0"/>
        <w:pageBreakBefore w:val="0"/>
        <w:widowControl w:val="0"/>
        <w:kinsoku/>
        <w:wordWrap/>
        <w:overflowPunct/>
        <w:topLinePunct w:val="0"/>
        <w:autoSpaceDE/>
        <w:autoSpaceDN/>
        <w:bidi w:val="0"/>
        <w:spacing w:line="578" w:lineRule="exact"/>
        <w:textAlignment w:val="auto"/>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为达成节日期间</w:t>
      </w:r>
      <w:r>
        <w:rPr>
          <w:rFonts w:hint="eastAsia" w:ascii="仿宋_GB2312" w:hAnsi="仿宋_GB2312" w:eastAsia="仿宋_GB2312" w:cs="仿宋_GB2312"/>
          <w:sz w:val="32"/>
          <w:szCs w:val="32"/>
          <w:lang w:val="en-US" w:eastAsia="zh-CN"/>
        </w:rPr>
        <w:t>南二环西延、御园路、京赞线、石铜路主要干线道路两侧绿化及街道景观效果</w:t>
      </w:r>
      <w:r>
        <w:rPr>
          <w:rFonts w:hint="eastAsia" w:ascii="仿宋_GB2312" w:hAnsi="仿宋_GB2312" w:eastAsia="仿宋_GB2312" w:cs="仿宋_GB2312"/>
          <w:sz w:val="32"/>
          <w:szCs w:val="32"/>
          <w:lang w:eastAsia="zh-CN"/>
        </w:rPr>
        <w:t>，我单位技术人员通过实地考察、收集资料，经过多次修改核实确定最终方案。</w:t>
      </w:r>
    </w:p>
    <w:p>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2、为保障项目资金的安全，确保资金专款专用，我单位从资金申请、资金使用、会计核算三个环节加强资金管理。通过上述三个环节的管理保证财政资金安全有效使用。</w:t>
      </w:r>
    </w:p>
    <w:p>
      <w:pPr>
        <w:keepNext w:val="0"/>
        <w:keepLines w:val="0"/>
        <w:pageBreakBefore w:val="0"/>
        <w:widowControl w:val="0"/>
        <w:numPr>
          <w:ilvl w:val="0"/>
          <w:numId w:val="0"/>
        </w:numPr>
        <w:kinsoku/>
        <w:wordWrap/>
        <w:overflowPunct/>
        <w:topLinePunct w:val="0"/>
        <w:autoSpaceDE/>
        <w:autoSpaceDN/>
        <w:bidi w:val="0"/>
        <w:spacing w:line="578" w:lineRule="exact"/>
        <w:textAlignment w:val="auto"/>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b w:val="0"/>
          <w:bCs w:val="0"/>
          <w:sz w:val="32"/>
          <w:szCs w:val="36"/>
          <w:lang w:eastAsia="zh-CN"/>
        </w:rPr>
        <w:t>根据工作计划，</w:t>
      </w:r>
      <w:r>
        <w:rPr>
          <w:rFonts w:hint="eastAsia" w:ascii="仿宋_GB2312" w:hAnsi="仿宋_GB2312" w:eastAsia="仿宋_GB2312" w:cs="仿宋_GB2312"/>
          <w:b w:val="0"/>
          <w:bCs w:val="0"/>
          <w:sz w:val="32"/>
          <w:szCs w:val="36"/>
          <w:lang w:val="en-US" w:eastAsia="zh-CN"/>
        </w:rPr>
        <w:t>该项目完工率100%；根据河北省园林工程施工质量验收规程（DB13(J)62-2006)要求，验收合格率100%。</w:t>
      </w:r>
    </w:p>
    <w:p>
      <w:pPr>
        <w:keepNext w:val="0"/>
        <w:keepLines w:val="0"/>
        <w:pageBreakBefore w:val="0"/>
        <w:widowControl w:val="0"/>
        <w:numPr>
          <w:ilvl w:val="0"/>
          <w:numId w:val="0"/>
        </w:numPr>
        <w:kinsoku/>
        <w:wordWrap/>
        <w:overflowPunct/>
        <w:topLinePunct w:val="0"/>
        <w:autoSpaceDE/>
        <w:autoSpaceDN/>
        <w:bidi w:val="0"/>
        <w:spacing w:line="578" w:lineRule="exact"/>
        <w:textAlignment w:val="auto"/>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keepNext w:val="0"/>
        <w:keepLines w:val="0"/>
        <w:pageBreakBefore w:val="0"/>
        <w:widowControl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项目完成后，相关道路节点位置景观效果得到提升，有效营造了“五一”劳动节、中华人民共和国成立</w:t>
      </w:r>
      <w:bookmarkStart w:id="0" w:name="_GoBack"/>
      <w:bookmarkEnd w:id="0"/>
      <w:r>
        <w:rPr>
          <w:rFonts w:hint="eastAsia" w:ascii="仿宋_GB2312" w:hAnsi="仿宋_GB2312" w:eastAsia="仿宋_GB2312" w:cs="仿宋_GB2312"/>
          <w:b w:val="0"/>
          <w:bCs w:val="0"/>
          <w:sz w:val="32"/>
          <w:szCs w:val="32"/>
          <w:lang w:val="en-US" w:eastAsia="zh-CN"/>
        </w:rPr>
        <w:t>70周年大庆和河北省第四届旅发大会等节日和大型活动氛围。我单位组织人员与沿线和周边群众展开沟通交流和问卷调查，群众满意度达到98%。</w:t>
      </w:r>
    </w:p>
    <w:p>
      <w:pPr>
        <w:keepNext w:val="0"/>
        <w:keepLines w:val="0"/>
        <w:pageBreakBefore w:val="0"/>
        <w:widowControl w:val="0"/>
        <w:numPr>
          <w:ilvl w:val="0"/>
          <w:numId w:val="0"/>
        </w:numPr>
        <w:kinsoku/>
        <w:wordWrap/>
        <w:overflowPunct/>
        <w:topLinePunct w:val="0"/>
        <w:autoSpaceDE/>
        <w:autoSpaceDN/>
        <w:bidi w:val="0"/>
        <w:spacing w:line="578" w:lineRule="exact"/>
        <w:ind w:firstLine="640" w:firstLineChars="200"/>
        <w:textAlignment w:val="auto"/>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keepNext w:val="0"/>
        <w:keepLines w:val="0"/>
        <w:pageBreakBefore w:val="0"/>
        <w:widowControl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b w:val="0"/>
          <w:bCs w:val="0"/>
          <w:sz w:val="32"/>
          <w:szCs w:val="36"/>
          <w:lang w:val="en-US" w:eastAsia="zh-CN"/>
        </w:rPr>
      </w:pPr>
      <w:r>
        <w:rPr>
          <w:rFonts w:hint="eastAsia" w:ascii="仿宋_GB2312" w:hAnsi="仿宋_GB2312" w:eastAsia="仿宋_GB2312" w:cs="仿宋_GB2312"/>
          <w:b w:val="0"/>
          <w:bCs w:val="0"/>
          <w:sz w:val="32"/>
          <w:szCs w:val="36"/>
          <w:lang w:eastAsia="zh-CN"/>
        </w:rPr>
        <w:t>该项目</w:t>
      </w:r>
      <w:r>
        <w:rPr>
          <w:rFonts w:hint="eastAsia" w:ascii="仿宋_GB2312" w:hAnsi="仿宋_GB2312" w:eastAsia="仿宋_GB2312" w:cs="仿宋_GB2312"/>
          <w:b w:val="0"/>
          <w:bCs w:val="0"/>
          <w:sz w:val="32"/>
          <w:szCs w:val="36"/>
          <w:lang w:val="en-US" w:eastAsia="zh-CN"/>
        </w:rPr>
        <w:t>保质、保量完工，确保了2019年五一、十一期间主要节点景观的效果，受到领导群众一致好评。</w:t>
      </w:r>
    </w:p>
    <w:p>
      <w:pPr>
        <w:keepNext w:val="0"/>
        <w:keepLines w:val="0"/>
        <w:pageBreakBefore w:val="0"/>
        <w:widowControl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从总体上看，绩效评价总体得分为91分，为优秀等次。</w:t>
      </w:r>
    </w:p>
    <w:tbl>
      <w:tblPr>
        <w:tblStyle w:val="5"/>
        <w:tblW w:w="925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62"/>
        <w:gridCol w:w="1262"/>
        <w:gridCol w:w="3142"/>
        <w:gridCol w:w="2737"/>
        <w:gridCol w:w="8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62" w:type="dxa"/>
          </w:tcPr>
          <w:p>
            <w:pPr>
              <w:keepNext w:val="0"/>
              <w:keepLines w:val="0"/>
              <w:pageBreakBefore w:val="0"/>
              <w:widowControl w:val="0"/>
              <w:kinsoku/>
              <w:wordWrap/>
              <w:overflowPunct/>
              <w:topLinePunct w:val="0"/>
              <w:autoSpaceDE/>
              <w:autoSpaceDN/>
              <w:bidi w:val="0"/>
              <w:spacing w:line="578"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指标</w:t>
            </w:r>
          </w:p>
        </w:tc>
        <w:tc>
          <w:tcPr>
            <w:tcW w:w="1262" w:type="dxa"/>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分值</w:t>
            </w:r>
          </w:p>
        </w:tc>
        <w:tc>
          <w:tcPr>
            <w:tcW w:w="3142" w:type="dxa"/>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指标解释</w:t>
            </w:r>
          </w:p>
        </w:tc>
        <w:tc>
          <w:tcPr>
            <w:tcW w:w="2737" w:type="dxa"/>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评价标准</w:t>
            </w:r>
          </w:p>
        </w:tc>
        <w:tc>
          <w:tcPr>
            <w:tcW w:w="848" w:type="dxa"/>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52" w:hRule="atLeast"/>
        </w:trPr>
        <w:tc>
          <w:tcPr>
            <w:tcW w:w="1262"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项目决策</w:t>
            </w:r>
          </w:p>
        </w:tc>
        <w:tc>
          <w:tcPr>
            <w:tcW w:w="1262"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16</w:t>
            </w:r>
          </w:p>
        </w:tc>
        <w:tc>
          <w:tcPr>
            <w:tcW w:w="3142"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项目目标是否明确，项目是否符合经济社会发展规划和单位年度工作计划</w:t>
            </w:r>
          </w:p>
        </w:tc>
        <w:tc>
          <w:tcPr>
            <w:tcW w:w="2737"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目标明确、目标细化、目标量化各2分，项目符合经济社会发展规划和单位年度工作计划各5分</w:t>
            </w:r>
          </w:p>
        </w:tc>
        <w:tc>
          <w:tcPr>
            <w:tcW w:w="848"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16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62"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资金到位</w:t>
            </w:r>
          </w:p>
        </w:tc>
        <w:tc>
          <w:tcPr>
            <w:tcW w:w="1262"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10</w:t>
            </w:r>
          </w:p>
        </w:tc>
        <w:tc>
          <w:tcPr>
            <w:tcW w:w="3142"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资金到位率和到位时效</w:t>
            </w:r>
          </w:p>
        </w:tc>
        <w:tc>
          <w:tcPr>
            <w:tcW w:w="2737"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根据资金到位率及实效评分</w:t>
            </w:r>
          </w:p>
        </w:tc>
        <w:tc>
          <w:tcPr>
            <w:tcW w:w="848"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62"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资金管理</w:t>
            </w:r>
          </w:p>
        </w:tc>
        <w:tc>
          <w:tcPr>
            <w:tcW w:w="1262"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12</w:t>
            </w:r>
          </w:p>
        </w:tc>
        <w:tc>
          <w:tcPr>
            <w:tcW w:w="3142"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资金管理、费用支出制度健全，是否严格执行制度</w:t>
            </w:r>
          </w:p>
        </w:tc>
        <w:tc>
          <w:tcPr>
            <w:tcW w:w="2737"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制度健全、支出规范6分，严格执行制度，核算规范6分</w:t>
            </w:r>
          </w:p>
        </w:tc>
        <w:tc>
          <w:tcPr>
            <w:tcW w:w="848"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62"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组织实施</w:t>
            </w:r>
          </w:p>
        </w:tc>
        <w:tc>
          <w:tcPr>
            <w:tcW w:w="1262"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12</w:t>
            </w:r>
          </w:p>
        </w:tc>
        <w:tc>
          <w:tcPr>
            <w:tcW w:w="3142"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机构健全、分工明确，严格执行相关制度</w:t>
            </w:r>
          </w:p>
        </w:tc>
        <w:tc>
          <w:tcPr>
            <w:tcW w:w="2737"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机构健全3分，分工明确3分，严格执行制度6分</w:t>
            </w:r>
          </w:p>
        </w:tc>
        <w:tc>
          <w:tcPr>
            <w:tcW w:w="848"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62"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项目产出</w:t>
            </w:r>
          </w:p>
        </w:tc>
        <w:tc>
          <w:tcPr>
            <w:tcW w:w="1262"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20</w:t>
            </w:r>
          </w:p>
        </w:tc>
        <w:tc>
          <w:tcPr>
            <w:tcW w:w="3142"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产出数量、质量、时效、成本</w:t>
            </w:r>
          </w:p>
        </w:tc>
        <w:tc>
          <w:tcPr>
            <w:tcW w:w="2737"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各占5分</w:t>
            </w:r>
          </w:p>
        </w:tc>
        <w:tc>
          <w:tcPr>
            <w:tcW w:w="848"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62"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项目效果</w:t>
            </w:r>
          </w:p>
        </w:tc>
        <w:tc>
          <w:tcPr>
            <w:tcW w:w="1262"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10</w:t>
            </w:r>
          </w:p>
        </w:tc>
        <w:tc>
          <w:tcPr>
            <w:tcW w:w="3142"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经济效益、社会效益和可持续发展</w:t>
            </w:r>
          </w:p>
        </w:tc>
        <w:tc>
          <w:tcPr>
            <w:tcW w:w="2737"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经济效益社会效益各占3分，可持续发展占4分</w:t>
            </w:r>
          </w:p>
        </w:tc>
        <w:tc>
          <w:tcPr>
            <w:tcW w:w="848"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62"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服务对象满意度</w:t>
            </w:r>
          </w:p>
        </w:tc>
        <w:tc>
          <w:tcPr>
            <w:tcW w:w="1262"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20</w:t>
            </w:r>
          </w:p>
        </w:tc>
        <w:tc>
          <w:tcPr>
            <w:tcW w:w="3142"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对居民、群众进行随机采访和发放调查问卷，进行满意度调查</w:t>
            </w:r>
          </w:p>
        </w:tc>
        <w:tc>
          <w:tcPr>
            <w:tcW w:w="2737"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根据采访和调研的情况进行评分</w:t>
            </w:r>
          </w:p>
        </w:tc>
        <w:tc>
          <w:tcPr>
            <w:tcW w:w="848"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19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62"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合计</w:t>
            </w:r>
          </w:p>
        </w:tc>
        <w:tc>
          <w:tcPr>
            <w:tcW w:w="1262"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100</w:t>
            </w:r>
          </w:p>
        </w:tc>
        <w:tc>
          <w:tcPr>
            <w:tcW w:w="3142"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仿宋_GB2312" w:eastAsia="仿宋_GB2312"/>
                <w:sz w:val="24"/>
                <w:szCs w:val="24"/>
                <w:vertAlign w:val="baseline"/>
                <w:lang w:val="en-US" w:eastAsia="zh-CN"/>
              </w:rPr>
            </w:pPr>
          </w:p>
        </w:tc>
        <w:tc>
          <w:tcPr>
            <w:tcW w:w="2737" w:type="dxa"/>
          </w:tcPr>
          <w:p>
            <w:pPr>
              <w:keepNext w:val="0"/>
              <w:keepLines w:val="0"/>
              <w:pageBreakBefore w:val="0"/>
              <w:widowControl w:val="0"/>
              <w:kinsoku/>
              <w:wordWrap/>
              <w:overflowPunct/>
              <w:topLinePunct w:val="0"/>
              <w:autoSpaceDE/>
              <w:autoSpaceDN/>
              <w:bidi w:val="0"/>
              <w:adjustRightInd/>
              <w:snapToGrid/>
              <w:spacing w:line="578" w:lineRule="exact"/>
              <w:jc w:val="left"/>
              <w:textAlignment w:val="auto"/>
              <w:rPr>
                <w:rFonts w:hint="eastAsia" w:ascii="仿宋_GB2312" w:eastAsia="仿宋_GB2312"/>
                <w:sz w:val="24"/>
                <w:szCs w:val="24"/>
                <w:vertAlign w:val="baseline"/>
                <w:lang w:val="en-US" w:eastAsia="zh-CN"/>
              </w:rPr>
            </w:pPr>
          </w:p>
        </w:tc>
        <w:tc>
          <w:tcPr>
            <w:tcW w:w="848" w:type="dxa"/>
          </w:tcPr>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default" w:ascii="仿宋_GB2312" w:eastAsia="仿宋_GB2312"/>
                <w:sz w:val="24"/>
                <w:szCs w:val="24"/>
                <w:vertAlign w:val="baseline"/>
                <w:lang w:val="en-US" w:eastAsia="zh-CN"/>
              </w:rPr>
            </w:pPr>
            <w:r>
              <w:rPr>
                <w:rFonts w:hint="eastAsia" w:ascii="仿宋_GB2312" w:eastAsia="仿宋_GB2312"/>
                <w:sz w:val="24"/>
                <w:szCs w:val="24"/>
                <w:vertAlign w:val="baseline"/>
                <w:lang w:val="en-US" w:eastAsia="zh-CN"/>
              </w:rPr>
              <w:t>91</w:t>
            </w:r>
          </w:p>
        </w:tc>
      </w:tr>
    </w:tbl>
    <w:p>
      <w:pPr>
        <w:keepNext w:val="0"/>
        <w:keepLines w:val="0"/>
        <w:pageBreakBefore w:val="0"/>
        <w:widowControl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keepNext w:val="0"/>
        <w:keepLines w:val="0"/>
        <w:pageBreakBefore w:val="0"/>
        <w:widowControl w:val="0"/>
        <w:numPr>
          <w:ilvl w:val="0"/>
          <w:numId w:val="0"/>
        </w:numPr>
        <w:kinsoku/>
        <w:wordWrap/>
        <w:overflowPunct/>
        <w:topLinePunct w:val="0"/>
        <w:autoSpaceDE/>
        <w:autoSpaceDN/>
        <w:bidi w:val="0"/>
        <w:spacing w:line="578" w:lineRule="exact"/>
        <w:textAlignment w:val="auto"/>
        <w:rPr>
          <w:rFonts w:hint="eastAsia" w:ascii="楷体_GB2312" w:hAnsi="楷体_GB2312" w:eastAsia="楷体_GB2312"/>
          <w:b w:val="0"/>
          <w:bCs w:val="0"/>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楷体_GB2312" w:hAnsi="楷体_GB2312" w:eastAsia="楷体_GB2312"/>
          <w:b w:val="0"/>
          <w:bCs w:val="0"/>
          <w:sz w:val="32"/>
          <w:szCs w:val="32"/>
          <w:lang w:val="en-US" w:eastAsia="zh-CN"/>
        </w:rPr>
        <w:t>（一）项目存在的主要问题</w:t>
      </w:r>
    </w:p>
    <w:p>
      <w:pPr>
        <w:keepNext w:val="0"/>
        <w:keepLines w:val="0"/>
        <w:pageBreakBefore w:val="0"/>
        <w:widowControl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因受市场价格影响，五一、十一期间花卉价格上涨，导致原经费不能满足计划标准要求，出现摆放花卉经费紧张情况；</w:t>
      </w:r>
    </w:p>
    <w:p>
      <w:pPr>
        <w:keepNext w:val="0"/>
        <w:keepLines w:val="0"/>
        <w:pageBreakBefore w:val="0"/>
        <w:widowControl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部分群众不顾警示牌提醒，出现偷盗采摘花卉的不文明行为，破坏景观效果。</w:t>
      </w:r>
    </w:p>
    <w:p>
      <w:pPr>
        <w:keepNext w:val="0"/>
        <w:keepLines w:val="0"/>
        <w:pageBreakBefore w:val="0"/>
        <w:widowControl w:val="0"/>
        <w:numPr>
          <w:ilvl w:val="0"/>
          <w:numId w:val="0"/>
        </w:numPr>
        <w:kinsoku/>
        <w:wordWrap/>
        <w:overflowPunct/>
        <w:topLinePunct w:val="0"/>
        <w:autoSpaceDE/>
        <w:autoSpaceDN/>
        <w:bidi w:val="0"/>
        <w:spacing w:line="578" w:lineRule="exact"/>
        <w:textAlignment w:val="auto"/>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 xml:space="preserve">   （二）针对问题提出具体的改进措施或建议</w:t>
      </w:r>
    </w:p>
    <w:p>
      <w:pPr>
        <w:keepNext w:val="0"/>
        <w:keepLines w:val="0"/>
        <w:pageBreakBefore w:val="0"/>
        <w:widowControl w:val="0"/>
        <w:numPr>
          <w:ilvl w:val="0"/>
          <w:numId w:val="0"/>
        </w:numPr>
        <w:kinsoku/>
        <w:wordWrap/>
        <w:overflowPunct/>
        <w:topLinePunct w:val="0"/>
        <w:autoSpaceDE/>
        <w:autoSpaceDN/>
        <w:bidi w:val="0"/>
        <w:spacing w:line="578" w:lineRule="exact"/>
        <w:textAlignment w:val="auto"/>
        <w:rPr>
          <w:rFonts w:hint="eastAsia" w:ascii="仿宋_GB2312" w:hAnsi="仿宋_GB2312" w:eastAsia="仿宋_GB2312" w:cs="仿宋_GB2312"/>
          <w:b w:val="0"/>
          <w:bCs w:val="0"/>
          <w:sz w:val="32"/>
          <w:szCs w:val="32"/>
          <w:lang w:val="en-US" w:eastAsia="zh-CN"/>
        </w:rPr>
      </w:pPr>
      <w:r>
        <w:rPr>
          <w:rFonts w:hint="eastAsia" w:ascii="楷体_GB2312" w:hAnsi="楷体_GB2312" w:eastAsia="楷体_GB2312"/>
          <w:b w:val="0"/>
          <w:bCs w:val="0"/>
          <w:sz w:val="32"/>
          <w:szCs w:val="32"/>
          <w:lang w:val="en-US" w:eastAsia="zh-CN"/>
        </w:rPr>
        <w:t xml:space="preserve">  </w:t>
      </w:r>
      <w:r>
        <w:rPr>
          <w:rFonts w:hint="eastAsia" w:ascii="仿宋_GB2312" w:hAnsi="仿宋_GB2312" w:eastAsia="仿宋_GB2312" w:cs="仿宋_GB2312"/>
          <w:b w:val="0"/>
          <w:bCs w:val="0"/>
          <w:sz w:val="32"/>
          <w:szCs w:val="32"/>
          <w:lang w:val="en-US" w:eastAsia="zh-CN"/>
        </w:rPr>
        <w:t xml:space="preserve">  鉴于我单位因受市场价格影响，导致摆放花卉经费紧张问题，希望财政部门能够增加五一、十一等节日期间摆放花卉经费的拨付，确保我单位各项工作正常有序运转；同时，希望有关部门和公安机关加强巡查监管，并对采摘、偷盗花卉的不文明行为及时进行劝导。</w:t>
      </w:r>
    </w:p>
    <w:p>
      <w:pPr>
        <w:keepNext w:val="0"/>
        <w:keepLines w:val="0"/>
        <w:pageBreakBefore w:val="0"/>
        <w:widowControl w:val="0"/>
        <w:numPr>
          <w:ilvl w:val="0"/>
          <w:numId w:val="2"/>
        </w:numPr>
        <w:kinsoku/>
        <w:wordWrap/>
        <w:overflowPunct/>
        <w:topLinePunct w:val="0"/>
        <w:autoSpaceDE/>
        <w:autoSpaceDN/>
        <w:bidi w:val="0"/>
        <w:adjustRightInd w:val="0"/>
        <w:snapToGrid w:val="0"/>
        <w:spacing w:line="578" w:lineRule="exact"/>
        <w:ind w:firstLine="640" w:firstLineChars="200"/>
        <w:textAlignment w:val="auto"/>
        <w:rPr>
          <w:rFonts w:hint="eastAsia" w:ascii="黑体" w:eastAsia="黑体"/>
          <w:b w:val="0"/>
          <w:bCs w:val="0"/>
          <w:sz w:val="32"/>
          <w:szCs w:val="32"/>
        </w:rPr>
      </w:pPr>
      <w:r>
        <w:rPr>
          <w:rFonts w:hint="eastAsia" w:ascii="黑体" w:eastAsia="黑体"/>
          <w:b w:val="0"/>
          <w:bCs w:val="0"/>
          <w:sz w:val="32"/>
          <w:szCs w:val="32"/>
        </w:rPr>
        <w:t>评价工作组人员名单及签字</w:t>
      </w:r>
    </w:p>
    <w:p>
      <w:pPr>
        <w:keepNext w:val="0"/>
        <w:keepLines w:val="0"/>
        <w:pageBreakBefore w:val="0"/>
        <w:widowControl w:val="0"/>
        <w:kinsoku/>
        <w:wordWrap/>
        <w:overflowPunct/>
        <w:topLinePunct w:val="0"/>
        <w:autoSpaceDE/>
        <w:autoSpaceDN/>
        <w:bidi w:val="0"/>
        <w:spacing w:line="578" w:lineRule="exact"/>
        <w:jc w:val="center"/>
        <w:textAlignment w:val="auto"/>
        <w:rPr>
          <w:rFonts w:ascii="FangSong_GB2312" w:eastAsia="FangSong_GB2312"/>
          <w:b/>
          <w:sz w:val="32"/>
          <w:szCs w:val="32"/>
        </w:rPr>
      </w:pPr>
      <w:r>
        <w:rPr>
          <w:rFonts w:hint="eastAsia" w:ascii="FangSong_GB2312" w:eastAsia="FangSong_GB2312"/>
          <w:b/>
          <w:sz w:val="32"/>
          <w:szCs w:val="32"/>
        </w:rPr>
        <w:t>评价工作小组人员名单</w:t>
      </w:r>
    </w:p>
    <w:tbl>
      <w:tblPr>
        <w:tblStyle w:val="4"/>
        <w:tblW w:w="864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Layout w:type="fixed"/>
        <w:tblCellMar>
          <w:top w:w="15" w:type="dxa"/>
          <w:left w:w="15" w:type="dxa"/>
          <w:bottom w:w="15" w:type="dxa"/>
          <w:right w:w="15" w:type="dxa"/>
        </w:tblCellMar>
      </w:tblPr>
      <w:tblGrid>
        <w:gridCol w:w="1012"/>
        <w:gridCol w:w="3893"/>
        <w:gridCol w:w="1372"/>
        <w:gridCol w:w="1365"/>
        <w:gridCol w:w="100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15" w:type="dxa"/>
            <w:left w:w="15" w:type="dxa"/>
            <w:bottom w:w="15" w:type="dxa"/>
            <w:right w:w="15" w:type="dxa"/>
          </w:tblCellMar>
        </w:tblPrEx>
        <w:trPr>
          <w:trHeight w:val="567" w:hRule="exact"/>
          <w:jc w:val="center"/>
        </w:trPr>
        <w:tc>
          <w:tcPr>
            <w:tcW w:w="1012" w:type="dxa"/>
            <w:shd w:val="clear" w:color="auto" w:fill="auto"/>
            <w:noWrap w:val="0"/>
            <w:vAlign w:val="center"/>
          </w:tcPr>
          <w:p>
            <w:pPr>
              <w:keepNext w:val="0"/>
              <w:keepLines w:val="0"/>
              <w:pageBreakBefore w:val="0"/>
              <w:widowControl w:val="0"/>
              <w:kinsoku/>
              <w:wordWrap/>
              <w:overflowPunct/>
              <w:topLinePunct w:val="0"/>
              <w:autoSpaceDE/>
              <w:autoSpaceDN/>
              <w:bidi w:val="0"/>
              <w:spacing w:line="578" w:lineRule="exact"/>
              <w:jc w:val="center"/>
              <w:textAlignment w:val="auto"/>
              <w:rPr>
                <w:rFonts w:ascii="微软雅黑" w:hAnsi="微软雅黑" w:eastAsia="微软雅黑"/>
                <w:b/>
                <w:color w:val="3D3D3D"/>
                <w:kern w:val="0"/>
                <w:sz w:val="24"/>
                <w:szCs w:val="24"/>
              </w:rPr>
            </w:pPr>
            <w:r>
              <w:rPr>
                <w:rFonts w:hint="eastAsia" w:ascii="FangSong_GB2312" w:hAnsi="微软雅黑" w:eastAsia="FangSong_GB2312"/>
                <w:b/>
                <w:color w:val="3D3D3D"/>
                <w:kern w:val="0"/>
                <w:sz w:val="24"/>
                <w:szCs w:val="24"/>
              </w:rPr>
              <w:t>姓  名</w:t>
            </w:r>
          </w:p>
        </w:tc>
        <w:tc>
          <w:tcPr>
            <w:tcW w:w="3893" w:type="dxa"/>
            <w:shd w:val="clear" w:color="auto" w:fill="auto"/>
            <w:noWrap w:val="0"/>
            <w:vAlign w:val="center"/>
          </w:tcPr>
          <w:p>
            <w:pPr>
              <w:keepNext w:val="0"/>
              <w:keepLines w:val="0"/>
              <w:pageBreakBefore w:val="0"/>
              <w:widowControl w:val="0"/>
              <w:kinsoku/>
              <w:wordWrap/>
              <w:overflowPunct/>
              <w:topLinePunct w:val="0"/>
              <w:autoSpaceDE/>
              <w:autoSpaceDN/>
              <w:bidi w:val="0"/>
              <w:spacing w:line="578" w:lineRule="exact"/>
              <w:jc w:val="center"/>
              <w:textAlignment w:val="auto"/>
              <w:rPr>
                <w:rFonts w:ascii="微软雅黑" w:hAnsi="微软雅黑" w:eastAsia="微软雅黑"/>
                <w:b/>
                <w:color w:val="3D3D3D"/>
                <w:kern w:val="0"/>
                <w:sz w:val="24"/>
                <w:szCs w:val="24"/>
              </w:rPr>
            </w:pPr>
            <w:r>
              <w:rPr>
                <w:rFonts w:hint="eastAsia" w:ascii="FangSong_GB2312" w:hAnsi="微软雅黑" w:eastAsia="FangSong_GB2312"/>
                <w:b/>
                <w:color w:val="3D3D3D"/>
                <w:kern w:val="0"/>
                <w:sz w:val="24"/>
                <w:szCs w:val="24"/>
              </w:rPr>
              <w:t>单  位</w:t>
            </w:r>
          </w:p>
        </w:tc>
        <w:tc>
          <w:tcPr>
            <w:tcW w:w="1372" w:type="dxa"/>
            <w:shd w:val="clear" w:color="auto" w:fill="auto"/>
            <w:noWrap w:val="0"/>
            <w:vAlign w:val="top"/>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FangSong_GB2312" w:hAnsi="微软雅黑" w:eastAsia="FangSong_GB2312"/>
                <w:b/>
                <w:color w:val="3D3D3D"/>
                <w:kern w:val="0"/>
                <w:sz w:val="24"/>
                <w:szCs w:val="24"/>
              </w:rPr>
            </w:pPr>
            <w:r>
              <w:rPr>
                <w:rFonts w:hint="eastAsia" w:ascii="FangSong_GB2312" w:hAnsi="微软雅黑" w:eastAsia="FangSong_GB2312"/>
                <w:b/>
                <w:color w:val="3D3D3D"/>
                <w:kern w:val="0"/>
                <w:sz w:val="24"/>
                <w:szCs w:val="24"/>
              </w:rPr>
              <w:t>职  务</w:t>
            </w:r>
          </w:p>
        </w:tc>
        <w:tc>
          <w:tcPr>
            <w:tcW w:w="1365" w:type="dxa"/>
            <w:shd w:val="clear" w:color="auto" w:fill="auto"/>
            <w:noWrap w:val="0"/>
            <w:vAlign w:val="center"/>
          </w:tcPr>
          <w:p>
            <w:pPr>
              <w:keepNext w:val="0"/>
              <w:keepLines w:val="0"/>
              <w:pageBreakBefore w:val="0"/>
              <w:widowControl w:val="0"/>
              <w:kinsoku/>
              <w:wordWrap/>
              <w:overflowPunct/>
              <w:topLinePunct w:val="0"/>
              <w:autoSpaceDE/>
              <w:autoSpaceDN/>
              <w:bidi w:val="0"/>
              <w:spacing w:line="578" w:lineRule="exact"/>
              <w:jc w:val="center"/>
              <w:textAlignment w:val="auto"/>
              <w:rPr>
                <w:rFonts w:ascii="微软雅黑" w:hAnsi="微软雅黑" w:eastAsia="微软雅黑"/>
                <w:b/>
                <w:color w:val="3D3D3D"/>
                <w:kern w:val="0"/>
                <w:sz w:val="24"/>
                <w:szCs w:val="24"/>
              </w:rPr>
            </w:pPr>
            <w:r>
              <w:rPr>
                <w:rFonts w:hint="eastAsia" w:ascii="FangSong_GB2312" w:hAnsi="微软雅黑" w:eastAsia="FangSong_GB2312"/>
                <w:b/>
                <w:color w:val="3D3D3D"/>
                <w:kern w:val="0"/>
                <w:sz w:val="24"/>
                <w:szCs w:val="24"/>
              </w:rPr>
              <w:t>职  称</w:t>
            </w:r>
          </w:p>
        </w:tc>
        <w:tc>
          <w:tcPr>
            <w:tcW w:w="1006" w:type="dxa"/>
            <w:shd w:val="clear" w:color="auto" w:fill="auto"/>
            <w:noWrap w:val="0"/>
            <w:vAlign w:val="top"/>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FangSong_GB2312" w:hAnsi="微软雅黑" w:eastAsia="FangSong_GB2312"/>
                <w:b/>
                <w:color w:val="3D3D3D"/>
                <w:kern w:val="0"/>
                <w:sz w:val="24"/>
                <w:szCs w:val="24"/>
              </w:rPr>
            </w:pPr>
            <w:r>
              <w:rPr>
                <w:rFonts w:hint="eastAsia" w:ascii="FangSong_GB2312" w:hAnsi="微软雅黑" w:eastAsia="FangSong_GB2312"/>
                <w:b/>
                <w:color w:val="3D3D3D"/>
                <w:kern w:val="0"/>
                <w:sz w:val="24"/>
                <w:szCs w:val="24"/>
              </w:rPr>
              <w:t>签  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67" w:hRule="exact"/>
          <w:jc w:val="center"/>
        </w:trPr>
        <w:tc>
          <w:tcPr>
            <w:tcW w:w="1012" w:type="dxa"/>
            <w:shd w:val="clear" w:color="auto" w:fill="auto"/>
            <w:noWrap w:val="0"/>
            <w:vAlign w:val="center"/>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000000" w:themeColor="text1"/>
                <w:kern w:val="0"/>
                <w:sz w:val="24"/>
                <w:szCs w:val="24"/>
                <w:lang w:eastAsia="zh-CN"/>
                <w14:textFill>
                  <w14:solidFill>
                    <w14:schemeClr w14:val="tx1"/>
                  </w14:solidFill>
                </w14:textFill>
              </w:rPr>
            </w:pPr>
            <w:r>
              <w:rPr>
                <w:rFonts w:hint="eastAsia" w:ascii="仿宋_GB2312" w:hAnsi="仿宋_GB2312" w:eastAsia="仿宋_GB2312" w:cs="仿宋_GB2312"/>
                <w:color w:val="000000" w:themeColor="text1"/>
                <w:kern w:val="0"/>
                <w:sz w:val="24"/>
                <w:szCs w:val="24"/>
                <w:lang w:eastAsia="zh-CN"/>
                <w14:textFill>
                  <w14:solidFill>
                    <w14:schemeClr w14:val="tx1"/>
                  </w14:solidFill>
                </w14:textFill>
              </w:rPr>
              <w:t>温春艳</w:t>
            </w:r>
          </w:p>
        </w:tc>
        <w:tc>
          <w:tcPr>
            <w:tcW w:w="3893" w:type="dxa"/>
            <w:shd w:val="clear" w:color="auto" w:fill="auto"/>
            <w:noWrap w:val="0"/>
            <w:vAlign w:val="center"/>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000000" w:themeColor="text1"/>
                <w:kern w:val="0"/>
                <w:sz w:val="24"/>
                <w:szCs w:val="24"/>
                <w:lang w:eastAsia="zh-CN"/>
                <w14:textFill>
                  <w14:solidFill>
                    <w14:schemeClr w14:val="tx1"/>
                  </w14:solidFill>
                </w14:textFill>
              </w:rPr>
            </w:pPr>
            <w:r>
              <w:rPr>
                <w:rFonts w:hint="eastAsia" w:ascii="仿宋_GB2312" w:hAnsi="仿宋_GB2312" w:eastAsia="仿宋_GB2312" w:cs="仿宋_GB2312"/>
                <w:color w:val="000000" w:themeColor="text1"/>
                <w:kern w:val="0"/>
                <w:sz w:val="24"/>
                <w:szCs w:val="24"/>
                <w:lang w:eastAsia="zh-CN"/>
                <w14:textFill>
                  <w14:solidFill>
                    <w14:schemeClr w14:val="tx1"/>
                  </w14:solidFill>
                </w14:textFill>
              </w:rPr>
              <w:t>石家庄市鹿泉区公路绿化管理中心</w:t>
            </w:r>
          </w:p>
        </w:tc>
        <w:tc>
          <w:tcPr>
            <w:tcW w:w="1372" w:type="dxa"/>
            <w:shd w:val="clear" w:color="auto" w:fill="auto"/>
            <w:noWrap w:val="0"/>
            <w:vAlign w:val="top"/>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000000" w:themeColor="text1"/>
                <w:kern w:val="0"/>
                <w:sz w:val="24"/>
                <w:szCs w:val="24"/>
                <w:lang w:eastAsia="zh-CN"/>
                <w14:textFill>
                  <w14:solidFill>
                    <w14:schemeClr w14:val="tx1"/>
                  </w14:solidFill>
                </w14:textFill>
              </w:rPr>
            </w:pPr>
            <w:r>
              <w:rPr>
                <w:rFonts w:hint="eastAsia" w:ascii="仿宋_GB2312" w:hAnsi="仿宋_GB2312" w:eastAsia="仿宋_GB2312" w:cs="仿宋_GB2312"/>
                <w:color w:val="000000" w:themeColor="text1"/>
                <w:kern w:val="0"/>
                <w:sz w:val="24"/>
                <w:szCs w:val="24"/>
                <w:lang w:eastAsia="zh-CN"/>
                <w14:textFill>
                  <w14:solidFill>
                    <w14:schemeClr w14:val="tx1"/>
                  </w14:solidFill>
                </w14:textFill>
              </w:rPr>
              <w:t>主任</w:t>
            </w:r>
          </w:p>
        </w:tc>
        <w:tc>
          <w:tcPr>
            <w:tcW w:w="1365" w:type="dxa"/>
            <w:shd w:val="clear" w:color="auto" w:fill="auto"/>
            <w:noWrap w:val="0"/>
            <w:vAlign w:val="center"/>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000000" w:themeColor="text1"/>
                <w:kern w:val="0"/>
                <w:sz w:val="24"/>
                <w:szCs w:val="24"/>
                <w:lang w:eastAsia="zh-CN"/>
                <w14:textFill>
                  <w14:solidFill>
                    <w14:schemeClr w14:val="tx1"/>
                  </w14:solidFill>
                </w14:textFill>
              </w:rPr>
            </w:pPr>
            <w:r>
              <w:rPr>
                <w:rFonts w:hint="eastAsia" w:ascii="仿宋_GB2312" w:hAnsi="仿宋_GB2312" w:eastAsia="仿宋_GB2312" w:cs="仿宋_GB2312"/>
                <w:color w:val="000000" w:themeColor="text1"/>
                <w:kern w:val="0"/>
                <w:sz w:val="24"/>
                <w:szCs w:val="24"/>
                <w:lang w:eastAsia="zh-CN"/>
                <w14:textFill>
                  <w14:solidFill>
                    <w14:schemeClr w14:val="tx1"/>
                  </w14:solidFill>
                </w14:textFill>
              </w:rPr>
              <w:t>高级工程师</w:t>
            </w:r>
          </w:p>
        </w:tc>
        <w:tc>
          <w:tcPr>
            <w:tcW w:w="1006" w:type="dxa"/>
            <w:shd w:val="clear" w:color="auto" w:fill="auto"/>
            <w:noWrap w:val="0"/>
            <w:vAlign w:val="top"/>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000000" w:themeColor="text1"/>
                <w:kern w:val="0"/>
                <w:sz w:val="24"/>
                <w:szCs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67" w:hRule="exact"/>
          <w:jc w:val="center"/>
        </w:trPr>
        <w:tc>
          <w:tcPr>
            <w:tcW w:w="1012" w:type="dxa"/>
            <w:shd w:val="clear" w:color="auto" w:fill="auto"/>
            <w:noWrap w:val="0"/>
            <w:vAlign w:val="center"/>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000000" w:themeColor="text1"/>
                <w:kern w:val="0"/>
                <w:sz w:val="24"/>
                <w:szCs w:val="24"/>
                <w:lang w:eastAsia="zh-CN"/>
                <w14:textFill>
                  <w14:solidFill>
                    <w14:schemeClr w14:val="tx1"/>
                  </w14:solidFill>
                </w14:textFill>
              </w:rPr>
            </w:pPr>
            <w:r>
              <w:rPr>
                <w:rFonts w:hint="eastAsia" w:ascii="仿宋_GB2312" w:hAnsi="仿宋_GB2312" w:eastAsia="仿宋_GB2312" w:cs="仿宋_GB2312"/>
                <w:color w:val="000000" w:themeColor="text1"/>
                <w:kern w:val="0"/>
                <w:sz w:val="24"/>
                <w:szCs w:val="24"/>
                <w:lang w:eastAsia="zh-CN"/>
                <w14:textFill>
                  <w14:solidFill>
                    <w14:schemeClr w14:val="tx1"/>
                  </w14:solidFill>
                </w14:textFill>
              </w:rPr>
              <w:t>司春朝</w:t>
            </w:r>
          </w:p>
        </w:tc>
        <w:tc>
          <w:tcPr>
            <w:tcW w:w="3893" w:type="dxa"/>
            <w:shd w:val="clear" w:color="auto" w:fill="auto"/>
            <w:noWrap w:val="0"/>
            <w:vAlign w:val="center"/>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000000" w:themeColor="text1"/>
                <w:kern w:val="0"/>
                <w:sz w:val="24"/>
                <w:szCs w:val="24"/>
                <w14:textFill>
                  <w14:solidFill>
                    <w14:schemeClr w14:val="tx1"/>
                  </w14:solidFill>
                </w14:textFill>
              </w:rPr>
            </w:pPr>
            <w:r>
              <w:rPr>
                <w:rFonts w:hint="eastAsia" w:ascii="仿宋_GB2312" w:hAnsi="仿宋_GB2312" w:eastAsia="仿宋_GB2312" w:cs="仿宋_GB2312"/>
                <w:color w:val="000000" w:themeColor="text1"/>
                <w:kern w:val="0"/>
                <w:sz w:val="24"/>
                <w:szCs w:val="24"/>
                <w:lang w:eastAsia="zh-CN"/>
                <w14:textFill>
                  <w14:solidFill>
                    <w14:schemeClr w14:val="tx1"/>
                  </w14:solidFill>
                </w14:textFill>
              </w:rPr>
              <w:t>石家庄市鹿泉区公路绿化管理中心</w:t>
            </w:r>
          </w:p>
        </w:tc>
        <w:tc>
          <w:tcPr>
            <w:tcW w:w="1372" w:type="dxa"/>
            <w:shd w:val="clear" w:color="auto" w:fill="auto"/>
            <w:noWrap w:val="0"/>
            <w:vAlign w:val="top"/>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000000" w:themeColor="text1"/>
                <w:kern w:val="0"/>
                <w:sz w:val="24"/>
                <w:szCs w:val="24"/>
                <w:lang w:eastAsia="zh-CN"/>
                <w14:textFill>
                  <w14:solidFill>
                    <w14:schemeClr w14:val="tx1"/>
                  </w14:solidFill>
                </w14:textFill>
              </w:rPr>
            </w:pPr>
            <w:r>
              <w:rPr>
                <w:rFonts w:hint="eastAsia" w:ascii="仿宋_GB2312" w:hAnsi="仿宋_GB2312" w:eastAsia="仿宋_GB2312" w:cs="仿宋_GB2312"/>
                <w:color w:val="000000" w:themeColor="text1"/>
                <w:kern w:val="0"/>
                <w:sz w:val="24"/>
                <w:szCs w:val="24"/>
                <w:lang w:eastAsia="zh-CN"/>
                <w14:textFill>
                  <w14:solidFill>
                    <w14:schemeClr w14:val="tx1"/>
                  </w14:solidFill>
                </w14:textFill>
              </w:rPr>
              <w:t>书记</w:t>
            </w:r>
          </w:p>
        </w:tc>
        <w:tc>
          <w:tcPr>
            <w:tcW w:w="1365" w:type="dxa"/>
            <w:shd w:val="clear" w:color="auto" w:fill="auto"/>
            <w:noWrap w:val="0"/>
            <w:vAlign w:val="center"/>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000000" w:themeColor="text1"/>
                <w:kern w:val="0"/>
                <w:sz w:val="24"/>
                <w:szCs w:val="24"/>
                <w:lang w:eastAsia="zh-CN"/>
                <w14:textFill>
                  <w14:solidFill>
                    <w14:schemeClr w14:val="tx1"/>
                  </w14:solidFill>
                </w14:textFill>
              </w:rPr>
            </w:pPr>
            <w:r>
              <w:rPr>
                <w:rFonts w:hint="eastAsia" w:ascii="仿宋_GB2312" w:hAnsi="仿宋_GB2312" w:eastAsia="仿宋_GB2312" w:cs="仿宋_GB2312"/>
                <w:color w:val="000000" w:themeColor="text1"/>
                <w:kern w:val="0"/>
                <w:sz w:val="24"/>
                <w:szCs w:val="24"/>
                <w:lang w:eastAsia="zh-CN"/>
                <w14:textFill>
                  <w14:solidFill>
                    <w14:schemeClr w14:val="tx1"/>
                  </w14:solidFill>
                </w14:textFill>
              </w:rPr>
              <w:t>工程师</w:t>
            </w:r>
          </w:p>
        </w:tc>
        <w:tc>
          <w:tcPr>
            <w:tcW w:w="1006" w:type="dxa"/>
            <w:shd w:val="clear" w:color="auto" w:fill="auto"/>
            <w:noWrap w:val="0"/>
            <w:vAlign w:val="top"/>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000000" w:themeColor="text1"/>
                <w:kern w:val="0"/>
                <w:sz w:val="24"/>
                <w:szCs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07" w:hRule="exact"/>
          <w:jc w:val="center"/>
        </w:trPr>
        <w:tc>
          <w:tcPr>
            <w:tcW w:w="1012" w:type="dxa"/>
            <w:shd w:val="clear" w:color="auto" w:fill="auto"/>
            <w:noWrap w:val="0"/>
            <w:vAlign w:val="center"/>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000000" w:themeColor="text1"/>
                <w:kern w:val="0"/>
                <w:sz w:val="24"/>
                <w:szCs w:val="24"/>
                <w:lang w:eastAsia="zh-CN"/>
                <w14:textFill>
                  <w14:solidFill>
                    <w14:schemeClr w14:val="tx1"/>
                  </w14:solidFill>
                </w14:textFill>
              </w:rPr>
            </w:pPr>
            <w:r>
              <w:rPr>
                <w:rFonts w:hint="eastAsia" w:ascii="仿宋_GB2312" w:hAnsi="仿宋_GB2312" w:eastAsia="仿宋_GB2312" w:cs="仿宋_GB2312"/>
                <w:color w:val="000000" w:themeColor="text1"/>
                <w:kern w:val="0"/>
                <w:sz w:val="24"/>
                <w:szCs w:val="24"/>
                <w:lang w:val="en-US" w:eastAsia="zh-CN"/>
                <w14:textFill>
                  <w14:solidFill>
                    <w14:schemeClr w14:val="tx1"/>
                  </w14:solidFill>
                </w14:textFill>
              </w:rPr>
              <w:t>焦柳</w:t>
            </w:r>
          </w:p>
        </w:tc>
        <w:tc>
          <w:tcPr>
            <w:tcW w:w="3893" w:type="dxa"/>
            <w:shd w:val="clear" w:color="auto" w:fill="auto"/>
            <w:noWrap w:val="0"/>
            <w:vAlign w:val="center"/>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kern w:val="0"/>
                <w:sz w:val="24"/>
                <w:szCs w:val="24"/>
                <w:lang w:eastAsia="zh-CN"/>
                <w14:textFill>
                  <w14:solidFill>
                    <w14:schemeClr w14:val="tx1"/>
                  </w14:solidFill>
                </w14:textFill>
              </w:rPr>
              <w:t>石家庄市鹿泉区公路绿化管理中心</w:t>
            </w:r>
          </w:p>
        </w:tc>
        <w:tc>
          <w:tcPr>
            <w:tcW w:w="1372" w:type="dxa"/>
            <w:shd w:val="clear" w:color="auto" w:fill="auto"/>
            <w:noWrap w:val="0"/>
            <w:vAlign w:val="top"/>
          </w:tcPr>
          <w:p>
            <w:pPr>
              <w:keepNext w:val="0"/>
              <w:keepLines w:val="0"/>
              <w:pageBreakBefore w:val="0"/>
              <w:widowControl w:val="0"/>
              <w:kinsoku/>
              <w:wordWrap/>
              <w:overflowPunct/>
              <w:topLinePunct w:val="0"/>
              <w:autoSpaceDE/>
              <w:autoSpaceDN/>
              <w:bidi w:val="0"/>
              <w:spacing w:line="578" w:lineRule="exact"/>
              <w:jc w:val="center"/>
              <w:textAlignment w:val="auto"/>
              <w:rPr>
                <w:rFonts w:hint="default" w:ascii="仿宋_GB2312" w:hAnsi="仿宋_GB2312" w:eastAsia="仿宋_GB2312" w:cs="仿宋_GB2312"/>
                <w:color w:val="000000" w:themeColor="text1"/>
                <w:kern w:val="0"/>
                <w:sz w:val="24"/>
                <w:szCs w:val="24"/>
                <w:lang w:val="en-US" w:eastAsia="zh-CN"/>
                <w14:textFill>
                  <w14:solidFill>
                    <w14:schemeClr w14:val="tx1"/>
                  </w14:solidFill>
                </w14:textFill>
              </w:rPr>
            </w:pPr>
            <w:r>
              <w:rPr>
                <w:rFonts w:hint="eastAsia" w:ascii="仿宋_GB2312" w:hAnsi="仿宋_GB2312" w:eastAsia="仿宋_GB2312" w:cs="仿宋_GB2312"/>
                <w:color w:val="000000" w:themeColor="text1"/>
                <w:kern w:val="0"/>
                <w:sz w:val="24"/>
                <w:szCs w:val="24"/>
                <w:lang w:val="en-US" w:eastAsia="zh-CN"/>
                <w14:textFill>
                  <w14:solidFill>
                    <w14:schemeClr w14:val="tx1"/>
                  </w14:solidFill>
                </w14:textFill>
              </w:rPr>
              <w:t>财务科科长</w:t>
            </w:r>
          </w:p>
        </w:tc>
        <w:tc>
          <w:tcPr>
            <w:tcW w:w="1365" w:type="dxa"/>
            <w:shd w:val="clear" w:color="auto" w:fill="auto"/>
            <w:noWrap w:val="0"/>
            <w:vAlign w:val="center"/>
          </w:tcPr>
          <w:p>
            <w:pPr>
              <w:keepNext w:val="0"/>
              <w:keepLines w:val="0"/>
              <w:pageBreakBefore w:val="0"/>
              <w:widowControl w:val="0"/>
              <w:kinsoku/>
              <w:wordWrap/>
              <w:overflowPunct/>
              <w:topLinePunct w:val="0"/>
              <w:autoSpaceDE/>
              <w:autoSpaceDN/>
              <w:bidi w:val="0"/>
              <w:spacing w:line="578" w:lineRule="exact"/>
              <w:jc w:val="center"/>
              <w:textAlignment w:val="auto"/>
              <w:rPr>
                <w:rFonts w:hint="default" w:ascii="仿宋_GB2312" w:hAnsi="仿宋_GB2312" w:eastAsia="仿宋_GB2312" w:cs="仿宋_GB2312"/>
                <w:color w:val="000000" w:themeColor="text1"/>
                <w:kern w:val="0"/>
                <w:sz w:val="24"/>
                <w:szCs w:val="24"/>
                <w:lang w:val="en-US" w:eastAsia="zh-CN"/>
                <w14:textFill>
                  <w14:solidFill>
                    <w14:schemeClr w14:val="tx1"/>
                  </w14:solidFill>
                </w14:textFill>
              </w:rPr>
            </w:pPr>
            <w:r>
              <w:rPr>
                <w:rFonts w:hint="eastAsia" w:ascii="仿宋_GB2312" w:hAnsi="仿宋_GB2312" w:eastAsia="仿宋_GB2312" w:cs="仿宋_GB2312"/>
                <w:color w:val="000000" w:themeColor="text1"/>
                <w:kern w:val="0"/>
                <w:sz w:val="24"/>
                <w:szCs w:val="24"/>
                <w:lang w:val="en-US" w:eastAsia="zh-CN"/>
                <w14:textFill>
                  <w14:solidFill>
                    <w14:schemeClr w14:val="tx1"/>
                  </w14:solidFill>
                </w14:textFill>
              </w:rPr>
              <w:t>助理会计师</w:t>
            </w:r>
          </w:p>
        </w:tc>
        <w:tc>
          <w:tcPr>
            <w:tcW w:w="1006" w:type="dxa"/>
            <w:shd w:val="clear" w:color="auto" w:fill="auto"/>
            <w:noWrap w:val="0"/>
            <w:vAlign w:val="top"/>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000000" w:themeColor="text1"/>
                <w:kern w:val="0"/>
                <w:sz w:val="24"/>
                <w:szCs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15" w:type="dxa"/>
            <w:left w:w="15" w:type="dxa"/>
            <w:bottom w:w="15" w:type="dxa"/>
            <w:right w:w="15" w:type="dxa"/>
          </w:tblCellMar>
        </w:tblPrEx>
        <w:trPr>
          <w:trHeight w:val="567" w:hRule="exact"/>
          <w:jc w:val="center"/>
        </w:trPr>
        <w:tc>
          <w:tcPr>
            <w:tcW w:w="1012" w:type="dxa"/>
            <w:shd w:val="clear" w:color="auto" w:fill="auto"/>
            <w:noWrap w:val="0"/>
            <w:vAlign w:val="center"/>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000000" w:themeColor="text1"/>
                <w:kern w:val="0"/>
                <w:sz w:val="24"/>
                <w:szCs w:val="24"/>
                <w:lang w:eastAsia="zh-CN"/>
                <w14:textFill>
                  <w14:solidFill>
                    <w14:schemeClr w14:val="tx1"/>
                  </w14:solidFill>
                </w14:textFill>
              </w:rPr>
            </w:pPr>
            <w:r>
              <w:rPr>
                <w:rFonts w:hint="eastAsia" w:ascii="仿宋_GB2312" w:hAnsi="仿宋_GB2312" w:eastAsia="仿宋_GB2312" w:cs="仿宋_GB2312"/>
                <w:color w:val="000000" w:themeColor="text1"/>
                <w:kern w:val="0"/>
                <w:sz w:val="24"/>
                <w:szCs w:val="24"/>
                <w:lang w:eastAsia="zh-CN"/>
                <w14:textFill>
                  <w14:solidFill>
                    <w14:schemeClr w14:val="tx1"/>
                  </w14:solidFill>
                </w14:textFill>
              </w:rPr>
              <w:t>李富征</w:t>
            </w:r>
          </w:p>
        </w:tc>
        <w:tc>
          <w:tcPr>
            <w:tcW w:w="3893" w:type="dxa"/>
            <w:shd w:val="clear" w:color="auto" w:fill="auto"/>
            <w:noWrap w:val="0"/>
            <w:vAlign w:val="center"/>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kern w:val="0"/>
                <w:sz w:val="24"/>
                <w:szCs w:val="24"/>
                <w:lang w:eastAsia="zh-CN"/>
                <w14:textFill>
                  <w14:solidFill>
                    <w14:schemeClr w14:val="tx1"/>
                  </w14:solidFill>
                </w14:textFill>
              </w:rPr>
              <w:t>石家庄市鹿泉区公路绿化管理中心</w:t>
            </w:r>
          </w:p>
        </w:tc>
        <w:tc>
          <w:tcPr>
            <w:tcW w:w="1372" w:type="dxa"/>
            <w:shd w:val="clear" w:color="auto" w:fill="auto"/>
            <w:noWrap w:val="0"/>
            <w:vAlign w:val="top"/>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000000" w:themeColor="text1"/>
                <w:kern w:val="0"/>
                <w:sz w:val="24"/>
                <w:szCs w:val="24"/>
                <w:lang w:val="en-US" w:eastAsia="zh-CN"/>
                <w14:textFill>
                  <w14:solidFill>
                    <w14:schemeClr w14:val="tx1"/>
                  </w14:solidFill>
                </w14:textFill>
              </w:rPr>
            </w:pPr>
            <w:r>
              <w:rPr>
                <w:rFonts w:hint="eastAsia" w:ascii="仿宋_GB2312" w:hAnsi="仿宋_GB2312" w:eastAsia="仿宋_GB2312" w:cs="仿宋_GB2312"/>
                <w:color w:val="000000" w:themeColor="text1"/>
                <w:kern w:val="0"/>
                <w:sz w:val="24"/>
                <w:szCs w:val="24"/>
                <w:lang w:val="en-US" w:eastAsia="zh-CN"/>
                <w14:textFill>
                  <w14:solidFill>
                    <w14:schemeClr w14:val="tx1"/>
                  </w14:solidFill>
                </w14:textFill>
              </w:rPr>
              <w:t>技术科科长</w:t>
            </w:r>
          </w:p>
        </w:tc>
        <w:tc>
          <w:tcPr>
            <w:tcW w:w="1365" w:type="dxa"/>
            <w:shd w:val="clear" w:color="auto" w:fill="auto"/>
            <w:noWrap w:val="0"/>
            <w:vAlign w:val="center"/>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000000" w:themeColor="text1"/>
                <w:kern w:val="0"/>
                <w:sz w:val="24"/>
                <w:szCs w:val="24"/>
                <w:lang w:val="en-US" w:eastAsia="zh-CN"/>
                <w14:textFill>
                  <w14:solidFill>
                    <w14:schemeClr w14:val="tx1"/>
                  </w14:solidFill>
                </w14:textFill>
              </w:rPr>
            </w:pPr>
            <w:r>
              <w:rPr>
                <w:rFonts w:hint="eastAsia" w:ascii="仿宋_GB2312" w:hAnsi="仿宋_GB2312" w:eastAsia="仿宋_GB2312" w:cs="仿宋_GB2312"/>
                <w:color w:val="000000" w:themeColor="text1"/>
                <w:kern w:val="0"/>
                <w:sz w:val="24"/>
                <w:szCs w:val="24"/>
                <w:lang w:eastAsia="zh-CN"/>
                <w14:textFill>
                  <w14:solidFill>
                    <w14:schemeClr w14:val="tx1"/>
                  </w14:solidFill>
                </w14:textFill>
              </w:rPr>
              <w:t>助理工程师</w:t>
            </w:r>
          </w:p>
        </w:tc>
        <w:tc>
          <w:tcPr>
            <w:tcW w:w="1006" w:type="dxa"/>
            <w:shd w:val="clear" w:color="auto" w:fill="auto"/>
            <w:noWrap w:val="0"/>
            <w:vAlign w:val="top"/>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000000" w:themeColor="text1"/>
                <w:kern w:val="0"/>
                <w:sz w:val="24"/>
                <w:szCs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67" w:hRule="exact"/>
          <w:jc w:val="center"/>
        </w:trPr>
        <w:tc>
          <w:tcPr>
            <w:tcW w:w="1012" w:type="dxa"/>
            <w:shd w:val="clear" w:color="auto" w:fill="auto"/>
            <w:noWrap w:val="0"/>
            <w:vAlign w:val="center"/>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000000" w:themeColor="text1"/>
                <w:kern w:val="0"/>
                <w:sz w:val="24"/>
                <w:szCs w:val="24"/>
                <w:lang w:eastAsia="zh-CN"/>
                <w14:textFill>
                  <w14:solidFill>
                    <w14:schemeClr w14:val="tx1"/>
                  </w14:solidFill>
                </w14:textFill>
              </w:rPr>
            </w:pPr>
            <w:r>
              <w:rPr>
                <w:rFonts w:hint="eastAsia" w:ascii="仿宋_GB2312" w:hAnsi="仿宋_GB2312" w:eastAsia="仿宋_GB2312" w:cs="仿宋_GB2312"/>
                <w:color w:val="000000" w:themeColor="text1"/>
                <w:kern w:val="0"/>
                <w:sz w:val="24"/>
                <w:szCs w:val="24"/>
                <w:lang w:eastAsia="zh-CN"/>
                <w14:textFill>
                  <w14:solidFill>
                    <w14:schemeClr w14:val="tx1"/>
                  </w14:solidFill>
                </w14:textFill>
              </w:rPr>
              <w:t>崔晓鹏</w:t>
            </w:r>
          </w:p>
        </w:tc>
        <w:tc>
          <w:tcPr>
            <w:tcW w:w="3893" w:type="dxa"/>
            <w:shd w:val="clear" w:color="auto" w:fill="auto"/>
            <w:noWrap w:val="0"/>
            <w:vAlign w:val="center"/>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000000" w:themeColor="text1"/>
                <w:kern w:val="0"/>
                <w:sz w:val="24"/>
                <w:szCs w:val="24"/>
                <w:lang w:eastAsia="zh-CN"/>
                <w14:textFill>
                  <w14:solidFill>
                    <w14:schemeClr w14:val="tx1"/>
                  </w14:solidFill>
                </w14:textFill>
              </w:rPr>
            </w:pPr>
            <w:r>
              <w:rPr>
                <w:rFonts w:hint="eastAsia" w:ascii="仿宋_GB2312" w:hAnsi="仿宋_GB2312" w:eastAsia="仿宋_GB2312" w:cs="仿宋_GB2312"/>
                <w:color w:val="000000" w:themeColor="text1"/>
                <w:kern w:val="0"/>
                <w:sz w:val="24"/>
                <w:szCs w:val="24"/>
                <w:lang w:eastAsia="zh-CN"/>
                <w14:textFill>
                  <w14:solidFill>
                    <w14:schemeClr w14:val="tx1"/>
                  </w14:solidFill>
                </w14:textFill>
              </w:rPr>
              <w:t>石家庄市鹿泉区公路绿化管理中心</w:t>
            </w:r>
          </w:p>
        </w:tc>
        <w:tc>
          <w:tcPr>
            <w:tcW w:w="1372" w:type="dxa"/>
            <w:shd w:val="clear" w:color="auto" w:fill="auto"/>
            <w:noWrap w:val="0"/>
            <w:vAlign w:val="top"/>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000000" w:themeColor="text1"/>
                <w:kern w:val="0"/>
                <w:sz w:val="24"/>
                <w:szCs w:val="24"/>
                <w:lang w:val="en-US" w:eastAsia="zh-CN"/>
                <w14:textFill>
                  <w14:solidFill>
                    <w14:schemeClr w14:val="tx1"/>
                  </w14:solidFill>
                </w14:textFill>
              </w:rPr>
            </w:pPr>
            <w:r>
              <w:rPr>
                <w:rFonts w:hint="eastAsia" w:ascii="仿宋_GB2312" w:hAnsi="仿宋_GB2312" w:eastAsia="仿宋_GB2312" w:cs="仿宋_GB2312"/>
                <w:color w:val="000000" w:themeColor="text1"/>
                <w:kern w:val="0"/>
                <w:sz w:val="24"/>
                <w:szCs w:val="24"/>
                <w:lang w:val="en-US" w:eastAsia="zh-CN"/>
                <w14:textFill>
                  <w14:solidFill>
                    <w14:schemeClr w14:val="tx1"/>
                  </w14:solidFill>
                </w14:textFill>
              </w:rPr>
              <w:t>技术科科员</w:t>
            </w:r>
          </w:p>
        </w:tc>
        <w:tc>
          <w:tcPr>
            <w:tcW w:w="1365" w:type="dxa"/>
            <w:shd w:val="clear" w:color="auto" w:fill="auto"/>
            <w:noWrap w:val="0"/>
            <w:vAlign w:val="center"/>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000000" w:themeColor="text1"/>
                <w:kern w:val="0"/>
                <w:sz w:val="24"/>
                <w:szCs w:val="24"/>
                <w:lang w:val="en-US" w:eastAsia="zh-CN"/>
                <w14:textFill>
                  <w14:solidFill>
                    <w14:schemeClr w14:val="tx1"/>
                  </w14:solidFill>
                </w14:textFill>
              </w:rPr>
            </w:pPr>
            <w:r>
              <w:rPr>
                <w:rFonts w:hint="eastAsia" w:ascii="仿宋_GB2312" w:hAnsi="仿宋_GB2312" w:eastAsia="仿宋_GB2312" w:cs="仿宋_GB2312"/>
                <w:color w:val="000000" w:themeColor="text1"/>
                <w:kern w:val="0"/>
                <w:sz w:val="24"/>
                <w:szCs w:val="24"/>
                <w:lang w:val="en-US" w:eastAsia="zh-CN"/>
                <w14:textFill>
                  <w14:solidFill>
                    <w14:schemeClr w14:val="tx1"/>
                  </w14:solidFill>
                </w14:textFill>
              </w:rPr>
              <w:t>技术员</w:t>
            </w:r>
          </w:p>
        </w:tc>
        <w:tc>
          <w:tcPr>
            <w:tcW w:w="1006" w:type="dxa"/>
            <w:shd w:val="clear" w:color="auto" w:fill="auto"/>
            <w:noWrap w:val="0"/>
            <w:vAlign w:val="top"/>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000000" w:themeColor="text1"/>
                <w:kern w:val="0"/>
                <w:sz w:val="24"/>
                <w:szCs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67" w:hRule="exact"/>
          <w:jc w:val="center"/>
        </w:trPr>
        <w:tc>
          <w:tcPr>
            <w:tcW w:w="1012" w:type="dxa"/>
            <w:shd w:val="clear" w:color="auto" w:fill="auto"/>
            <w:noWrap w:val="0"/>
            <w:vAlign w:val="center"/>
          </w:tcPr>
          <w:p>
            <w:pPr>
              <w:keepNext w:val="0"/>
              <w:keepLines w:val="0"/>
              <w:pageBreakBefore w:val="0"/>
              <w:widowControl w:val="0"/>
              <w:kinsoku/>
              <w:wordWrap/>
              <w:overflowPunct/>
              <w:topLinePunct w:val="0"/>
              <w:autoSpaceDE/>
              <w:autoSpaceDN/>
              <w:bidi w:val="0"/>
              <w:spacing w:line="578" w:lineRule="exact"/>
              <w:jc w:val="center"/>
              <w:textAlignment w:val="auto"/>
              <w:rPr>
                <w:rFonts w:hint="default" w:ascii="仿宋_GB2312" w:hAnsi="仿宋_GB2312" w:eastAsia="仿宋_GB2312" w:cs="仿宋_GB2312"/>
                <w:color w:val="000000" w:themeColor="text1"/>
                <w:kern w:val="0"/>
                <w:sz w:val="24"/>
                <w:szCs w:val="24"/>
                <w:lang w:val="en-US" w:eastAsia="zh-CN"/>
                <w14:textFill>
                  <w14:solidFill>
                    <w14:schemeClr w14:val="tx1"/>
                  </w14:solidFill>
                </w14:textFill>
              </w:rPr>
            </w:pPr>
            <w:r>
              <w:rPr>
                <w:rFonts w:hint="eastAsia" w:ascii="仿宋_GB2312" w:hAnsi="仿宋_GB2312" w:eastAsia="仿宋_GB2312" w:cs="仿宋_GB2312"/>
                <w:color w:val="000000" w:themeColor="text1"/>
                <w:kern w:val="0"/>
                <w:sz w:val="24"/>
                <w:szCs w:val="24"/>
                <w:lang w:eastAsia="zh-CN"/>
                <w14:textFill>
                  <w14:solidFill>
                    <w14:schemeClr w14:val="tx1"/>
                  </w14:solidFill>
                </w14:textFill>
              </w:rPr>
              <w:t>胡明昊</w:t>
            </w:r>
          </w:p>
        </w:tc>
        <w:tc>
          <w:tcPr>
            <w:tcW w:w="3893" w:type="dxa"/>
            <w:shd w:val="clear" w:color="auto" w:fill="auto"/>
            <w:noWrap w:val="0"/>
            <w:vAlign w:val="center"/>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000000" w:themeColor="text1"/>
                <w:kern w:val="0"/>
                <w:sz w:val="24"/>
                <w:szCs w:val="24"/>
                <w:lang w:eastAsia="zh-CN"/>
                <w14:textFill>
                  <w14:solidFill>
                    <w14:schemeClr w14:val="tx1"/>
                  </w14:solidFill>
                </w14:textFill>
              </w:rPr>
            </w:pPr>
            <w:r>
              <w:rPr>
                <w:rFonts w:hint="eastAsia" w:ascii="仿宋_GB2312" w:hAnsi="仿宋_GB2312" w:eastAsia="仿宋_GB2312" w:cs="仿宋_GB2312"/>
                <w:color w:val="000000" w:themeColor="text1"/>
                <w:kern w:val="0"/>
                <w:sz w:val="24"/>
                <w:szCs w:val="24"/>
                <w:lang w:eastAsia="zh-CN"/>
                <w14:textFill>
                  <w14:solidFill>
                    <w14:schemeClr w14:val="tx1"/>
                  </w14:solidFill>
                </w14:textFill>
              </w:rPr>
              <w:t>石家庄市鹿泉区公路绿化管理中心</w:t>
            </w:r>
          </w:p>
        </w:tc>
        <w:tc>
          <w:tcPr>
            <w:tcW w:w="1372" w:type="dxa"/>
            <w:shd w:val="clear" w:color="auto" w:fill="auto"/>
            <w:noWrap w:val="0"/>
            <w:vAlign w:val="top"/>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000000" w:themeColor="text1"/>
                <w:kern w:val="0"/>
                <w:sz w:val="24"/>
                <w:szCs w:val="24"/>
                <w:lang w:val="en-US" w:eastAsia="zh-CN"/>
                <w14:textFill>
                  <w14:solidFill>
                    <w14:schemeClr w14:val="tx1"/>
                  </w14:solidFill>
                </w14:textFill>
              </w:rPr>
            </w:pPr>
            <w:r>
              <w:rPr>
                <w:rFonts w:hint="eastAsia" w:ascii="仿宋_GB2312" w:hAnsi="仿宋_GB2312" w:eastAsia="仿宋_GB2312" w:cs="仿宋_GB2312"/>
                <w:color w:val="000000" w:themeColor="text1"/>
                <w:kern w:val="0"/>
                <w:sz w:val="24"/>
                <w:szCs w:val="24"/>
                <w:lang w:val="en-US" w:eastAsia="zh-CN"/>
                <w14:textFill>
                  <w14:solidFill>
                    <w14:schemeClr w14:val="tx1"/>
                  </w14:solidFill>
                </w14:textFill>
              </w:rPr>
              <w:t>技术科科员</w:t>
            </w:r>
          </w:p>
        </w:tc>
        <w:tc>
          <w:tcPr>
            <w:tcW w:w="1365" w:type="dxa"/>
            <w:shd w:val="clear" w:color="auto" w:fill="auto"/>
            <w:noWrap w:val="0"/>
            <w:vAlign w:val="center"/>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000000" w:themeColor="text1"/>
                <w:kern w:val="0"/>
                <w:sz w:val="24"/>
                <w:szCs w:val="24"/>
                <w:lang w:val="en-US" w:eastAsia="zh-CN"/>
                <w14:textFill>
                  <w14:solidFill>
                    <w14:schemeClr w14:val="tx1"/>
                  </w14:solidFill>
                </w14:textFill>
              </w:rPr>
            </w:pPr>
            <w:r>
              <w:rPr>
                <w:rFonts w:hint="eastAsia" w:ascii="仿宋_GB2312" w:hAnsi="仿宋_GB2312" w:eastAsia="仿宋_GB2312" w:cs="仿宋_GB2312"/>
                <w:color w:val="000000" w:themeColor="text1"/>
                <w:kern w:val="0"/>
                <w:sz w:val="24"/>
                <w:szCs w:val="24"/>
                <w:lang w:val="en-US" w:eastAsia="zh-CN"/>
                <w14:textFill>
                  <w14:solidFill>
                    <w14:schemeClr w14:val="tx1"/>
                  </w14:solidFill>
                </w14:textFill>
              </w:rPr>
              <w:t>技术员</w:t>
            </w:r>
          </w:p>
        </w:tc>
        <w:tc>
          <w:tcPr>
            <w:tcW w:w="1006" w:type="dxa"/>
            <w:shd w:val="clear" w:color="auto" w:fill="auto"/>
            <w:noWrap w:val="0"/>
            <w:vAlign w:val="top"/>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000000" w:themeColor="text1"/>
                <w:kern w:val="0"/>
                <w:sz w:val="24"/>
                <w:szCs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15" w:type="dxa"/>
            <w:left w:w="15" w:type="dxa"/>
            <w:bottom w:w="15" w:type="dxa"/>
            <w:right w:w="15" w:type="dxa"/>
          </w:tblCellMar>
        </w:tblPrEx>
        <w:trPr>
          <w:trHeight w:val="567" w:hRule="exact"/>
          <w:jc w:val="center"/>
        </w:trPr>
        <w:tc>
          <w:tcPr>
            <w:tcW w:w="1012" w:type="dxa"/>
            <w:shd w:val="clear" w:color="auto" w:fill="auto"/>
            <w:noWrap w:val="0"/>
            <w:vAlign w:val="center"/>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000000" w:themeColor="text1"/>
                <w:kern w:val="0"/>
                <w:sz w:val="24"/>
                <w:szCs w:val="24"/>
                <w:lang w:val="en-US" w:eastAsia="zh-CN"/>
                <w14:textFill>
                  <w14:solidFill>
                    <w14:schemeClr w14:val="tx1"/>
                  </w14:solidFill>
                </w14:textFill>
              </w:rPr>
            </w:pPr>
            <w:r>
              <w:rPr>
                <w:rFonts w:hint="eastAsia" w:ascii="仿宋_GB2312" w:hAnsi="仿宋_GB2312" w:eastAsia="仿宋_GB2312" w:cs="仿宋_GB2312"/>
                <w:color w:val="000000" w:themeColor="text1"/>
                <w:kern w:val="0"/>
                <w:sz w:val="24"/>
                <w:szCs w:val="24"/>
                <w:lang w:val="en-US" w:eastAsia="zh-CN"/>
                <w14:textFill>
                  <w14:solidFill>
                    <w14:schemeClr w14:val="tx1"/>
                  </w14:solidFill>
                </w14:textFill>
              </w:rPr>
              <w:t>李彩蓉</w:t>
            </w:r>
          </w:p>
        </w:tc>
        <w:tc>
          <w:tcPr>
            <w:tcW w:w="3893" w:type="dxa"/>
            <w:shd w:val="clear" w:color="auto" w:fill="auto"/>
            <w:noWrap w:val="0"/>
            <w:vAlign w:val="center"/>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000000" w:themeColor="text1"/>
                <w:kern w:val="0"/>
                <w:sz w:val="24"/>
                <w:szCs w:val="24"/>
                <w:lang w:eastAsia="zh-CN"/>
                <w14:textFill>
                  <w14:solidFill>
                    <w14:schemeClr w14:val="tx1"/>
                  </w14:solidFill>
                </w14:textFill>
              </w:rPr>
            </w:pPr>
            <w:r>
              <w:rPr>
                <w:rFonts w:hint="eastAsia" w:ascii="仿宋_GB2312" w:hAnsi="仿宋_GB2312" w:eastAsia="仿宋_GB2312" w:cs="仿宋_GB2312"/>
                <w:color w:val="000000" w:themeColor="text1"/>
                <w:kern w:val="0"/>
                <w:sz w:val="24"/>
                <w:szCs w:val="24"/>
                <w:lang w:eastAsia="zh-CN"/>
                <w14:textFill>
                  <w14:solidFill>
                    <w14:schemeClr w14:val="tx1"/>
                  </w14:solidFill>
                </w14:textFill>
              </w:rPr>
              <w:t>石家庄市鹿泉区公路绿化管理中心</w:t>
            </w:r>
          </w:p>
        </w:tc>
        <w:tc>
          <w:tcPr>
            <w:tcW w:w="1372" w:type="dxa"/>
            <w:shd w:val="clear" w:color="auto" w:fill="auto"/>
            <w:noWrap w:val="0"/>
            <w:vAlign w:val="top"/>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000000" w:themeColor="text1"/>
                <w:kern w:val="0"/>
                <w:sz w:val="24"/>
                <w:szCs w:val="24"/>
                <w:lang w:val="en-US" w:eastAsia="zh-CN"/>
                <w14:textFill>
                  <w14:solidFill>
                    <w14:schemeClr w14:val="tx1"/>
                  </w14:solidFill>
                </w14:textFill>
              </w:rPr>
            </w:pPr>
            <w:r>
              <w:rPr>
                <w:rFonts w:hint="eastAsia" w:ascii="仿宋_GB2312" w:hAnsi="仿宋_GB2312" w:eastAsia="仿宋_GB2312" w:cs="仿宋_GB2312"/>
                <w:color w:val="000000" w:themeColor="text1"/>
                <w:kern w:val="0"/>
                <w:sz w:val="24"/>
                <w:szCs w:val="24"/>
                <w:lang w:val="en-US" w:eastAsia="zh-CN"/>
                <w14:textFill>
                  <w14:solidFill>
                    <w14:schemeClr w14:val="tx1"/>
                  </w14:solidFill>
                </w14:textFill>
              </w:rPr>
              <w:t>技术科科员</w:t>
            </w:r>
          </w:p>
        </w:tc>
        <w:tc>
          <w:tcPr>
            <w:tcW w:w="1365" w:type="dxa"/>
            <w:shd w:val="clear" w:color="auto" w:fill="auto"/>
            <w:noWrap w:val="0"/>
            <w:vAlign w:val="center"/>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000000" w:themeColor="text1"/>
                <w:kern w:val="0"/>
                <w:sz w:val="24"/>
                <w:szCs w:val="24"/>
                <w:lang w:val="en-US" w:eastAsia="zh-CN"/>
                <w14:textFill>
                  <w14:solidFill>
                    <w14:schemeClr w14:val="tx1"/>
                  </w14:solidFill>
                </w14:textFill>
              </w:rPr>
            </w:pPr>
            <w:r>
              <w:rPr>
                <w:rFonts w:hint="eastAsia" w:ascii="仿宋_GB2312" w:hAnsi="仿宋_GB2312" w:eastAsia="仿宋_GB2312" w:cs="仿宋_GB2312"/>
                <w:color w:val="000000" w:themeColor="text1"/>
                <w:kern w:val="0"/>
                <w:sz w:val="24"/>
                <w:szCs w:val="24"/>
                <w:lang w:val="en-US" w:eastAsia="zh-CN"/>
                <w14:textFill>
                  <w14:solidFill>
                    <w14:schemeClr w14:val="tx1"/>
                  </w14:solidFill>
                </w14:textFill>
              </w:rPr>
              <w:t>技术员</w:t>
            </w:r>
          </w:p>
        </w:tc>
        <w:tc>
          <w:tcPr>
            <w:tcW w:w="1006" w:type="dxa"/>
            <w:shd w:val="clear" w:color="auto" w:fill="auto"/>
            <w:noWrap w:val="0"/>
            <w:vAlign w:val="top"/>
          </w:tcPr>
          <w:p>
            <w:pPr>
              <w:keepNext w:val="0"/>
              <w:keepLines w:val="0"/>
              <w:pageBreakBefore w:val="0"/>
              <w:widowControl w:val="0"/>
              <w:kinsoku/>
              <w:wordWrap/>
              <w:overflowPunct/>
              <w:topLinePunct w:val="0"/>
              <w:autoSpaceDE/>
              <w:autoSpaceDN/>
              <w:bidi w:val="0"/>
              <w:spacing w:line="578" w:lineRule="exact"/>
              <w:jc w:val="center"/>
              <w:textAlignment w:val="auto"/>
              <w:rPr>
                <w:rFonts w:hint="eastAsia" w:ascii="仿宋_GB2312" w:hAnsi="仿宋_GB2312" w:eastAsia="仿宋_GB2312" w:cs="仿宋_GB2312"/>
                <w:color w:val="000000" w:themeColor="text1"/>
                <w:kern w:val="0"/>
                <w:sz w:val="24"/>
                <w:szCs w:val="24"/>
                <w14:textFill>
                  <w14:solidFill>
                    <w14:schemeClr w14:val="tx1"/>
                  </w14:solidFill>
                </w14:textFill>
              </w:rPr>
            </w:pPr>
          </w:p>
        </w:tc>
      </w:tr>
    </w:tbl>
    <w:p>
      <w:pPr>
        <w:keepNext w:val="0"/>
        <w:keepLines w:val="0"/>
        <w:pageBreakBefore w:val="0"/>
        <w:widowControl w:val="0"/>
        <w:kinsoku/>
        <w:wordWrap/>
        <w:overflowPunct/>
        <w:topLinePunct w:val="0"/>
        <w:autoSpaceDE/>
        <w:autoSpaceDN/>
        <w:bidi w:val="0"/>
        <w:spacing w:line="578" w:lineRule="exact"/>
        <w:textAlignment w:val="auto"/>
        <w:rPr>
          <w:rFonts w:hint="eastAsia" w:ascii="FangSong_GB2312" w:eastAsia="FangSong_GB2312"/>
          <w:sz w:val="32"/>
          <w:szCs w:val="32"/>
        </w:rPr>
      </w:pPr>
    </w:p>
    <w:p>
      <w:pPr>
        <w:keepNext w:val="0"/>
        <w:keepLines w:val="0"/>
        <w:pageBreakBefore w:val="0"/>
        <w:widowControl w:val="0"/>
        <w:kinsoku/>
        <w:wordWrap/>
        <w:overflowPunct/>
        <w:topLinePunct w:val="0"/>
        <w:autoSpaceDE/>
        <w:autoSpaceDN/>
        <w:bidi w:val="0"/>
        <w:spacing w:line="578" w:lineRule="exact"/>
        <w:textAlignment w:val="auto"/>
        <w:rPr>
          <w:rFonts w:hint="eastAsia" w:ascii="FangSong_GB2312" w:eastAsia="FangSong_GB2312"/>
          <w:sz w:val="32"/>
          <w:szCs w:val="32"/>
        </w:rPr>
      </w:pP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2880" w:firstLineChars="9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石家庄市鹿泉区公路绿化管理中心</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4800" w:firstLineChars="1500"/>
        <w:textAlignment w:val="auto"/>
        <w:rPr>
          <w:rFonts w:hint="default"/>
          <w:lang w:val="en-US" w:eastAsia="zh-CN"/>
        </w:rPr>
      </w:pPr>
      <w:r>
        <w:rPr>
          <w:rFonts w:hint="eastAsia" w:ascii="仿宋_GB2312" w:hAnsi="仿宋_GB2312" w:eastAsia="仿宋_GB2312" w:cs="仿宋_GB2312"/>
          <w:b w:val="0"/>
          <w:bCs w:val="0"/>
          <w:color w:val="auto"/>
          <w:sz w:val="32"/>
          <w:szCs w:val="32"/>
          <w:lang w:val="en-US" w:eastAsia="zh-CN"/>
        </w:rPr>
        <w:t>2020年1月5日</w:t>
      </w:r>
    </w:p>
    <w:p/>
    <w:p>
      <w:pPr>
        <w:keepNext w:val="0"/>
        <w:keepLines w:val="0"/>
        <w:pageBreakBefore w:val="0"/>
        <w:widowControl w:val="0"/>
        <w:kinsoku/>
        <w:wordWrap/>
        <w:overflowPunct/>
        <w:topLinePunct w:val="0"/>
        <w:autoSpaceDE/>
        <w:autoSpaceDN/>
        <w:bidi w:val="0"/>
        <w:spacing w:line="578" w:lineRule="exact"/>
        <w:textAlignment w:val="auto"/>
        <w:rPr>
          <w:rFonts w:hint="eastAsia" w:ascii="FangSong_GB2312" w:eastAsia="FangSong_GB2312"/>
          <w:sz w:val="32"/>
          <w:szCs w:val="32"/>
        </w:rPr>
      </w:pPr>
    </w:p>
    <w:p/>
    <w:sectPr>
      <w:footerReference r:id="rId5" w:type="first"/>
      <w:footerReference r:id="rId3" w:type="default"/>
      <w:footerReference r:id="rId4" w:type="even"/>
      <w:pgSz w:w="11906" w:h="16838"/>
      <w:pgMar w:top="1361" w:right="1644" w:bottom="1361" w:left="1644" w:header="851" w:footer="992" w:gutter="0"/>
      <w:pgNumType w:fmt="numberInDash"/>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楷体">
    <w:altName w:val="宋体"/>
    <w:panose1 w:val="02010600040101010101"/>
    <w:charset w:val="86"/>
    <w:family w:val="auto"/>
    <w:pitch w:val="default"/>
    <w:sig w:usb0="00000000" w:usb1="00000000" w:usb2="00000000" w:usb3="00000000" w:csb0="0004009F" w:csb1="DFD7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FangSong_GB2312">
    <w:altName w:val="仿宋"/>
    <w:panose1 w:val="02010609060101010101"/>
    <w:charset w:val="86"/>
    <w:family w:val="modern"/>
    <w:pitch w:val="default"/>
    <w:sig w:usb0="00000000" w:usb1="00000000"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asciiTheme="minorEastAsia" w:hAnsiTheme="minorEastAsia" w:eastAsiaTheme="minorEastAsia" w:cstheme="minorEastAsia"/>
                              <w:sz w:val="24"/>
                              <w:szCs w:val="24"/>
                              <w:lang w:eastAsia="zh-CN"/>
                            </w:rPr>
                            <w:fldChar w:fldCharType="begin"/>
                          </w:r>
                          <w:r>
                            <w:rPr>
                              <w:rFonts w:hint="eastAsia" w:asciiTheme="minorEastAsia" w:hAnsiTheme="minorEastAsia" w:eastAsiaTheme="minorEastAsia" w:cstheme="minorEastAsia"/>
                              <w:sz w:val="24"/>
                              <w:szCs w:val="24"/>
                              <w:lang w:eastAsia="zh-CN"/>
                            </w:rPr>
                            <w:instrText xml:space="preserve"> PAGE  \* MERGEFORMAT </w:instrText>
                          </w:r>
                          <w:r>
                            <w:rPr>
                              <w:rFonts w:hint="eastAsia" w:asciiTheme="minorEastAsia" w:hAnsiTheme="minorEastAsia" w:eastAsiaTheme="minorEastAsia" w:cstheme="minorEastAsia"/>
                              <w:sz w:val="24"/>
                              <w:szCs w:val="24"/>
                              <w:lang w:eastAsia="zh-CN"/>
                            </w:rPr>
                            <w:fldChar w:fldCharType="separate"/>
                          </w:r>
                          <w:r>
                            <w:rPr>
                              <w:rFonts w:hint="eastAsia" w:asciiTheme="minorEastAsia" w:hAnsiTheme="minorEastAsia" w:eastAsiaTheme="minorEastAsia" w:cstheme="minorEastAsia"/>
                              <w:sz w:val="24"/>
                              <w:szCs w:val="24"/>
                              <w:lang w:eastAsia="zh-CN"/>
                            </w:rPr>
                            <w:t>2</w:t>
                          </w:r>
                          <w:r>
                            <w:rPr>
                              <w:rFonts w:hint="eastAsia" w:asciiTheme="minorEastAsia" w:hAnsiTheme="minorEastAsia" w:eastAsiaTheme="minorEastAsia" w:cstheme="minorEastAsia"/>
                              <w:sz w:val="24"/>
                              <w:szCs w:val="24"/>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asciiTheme="minorEastAsia" w:hAnsiTheme="minorEastAsia" w:eastAsiaTheme="minorEastAsia" w:cstheme="minorEastAsia"/>
                        <w:sz w:val="24"/>
                        <w:szCs w:val="24"/>
                        <w:lang w:eastAsia="zh-CN"/>
                      </w:rPr>
                      <w:fldChar w:fldCharType="begin"/>
                    </w:r>
                    <w:r>
                      <w:rPr>
                        <w:rFonts w:hint="eastAsia" w:asciiTheme="minorEastAsia" w:hAnsiTheme="minorEastAsia" w:eastAsiaTheme="minorEastAsia" w:cstheme="minorEastAsia"/>
                        <w:sz w:val="24"/>
                        <w:szCs w:val="24"/>
                        <w:lang w:eastAsia="zh-CN"/>
                      </w:rPr>
                      <w:instrText xml:space="preserve"> PAGE  \* MERGEFORMAT </w:instrText>
                    </w:r>
                    <w:r>
                      <w:rPr>
                        <w:rFonts w:hint="eastAsia" w:asciiTheme="minorEastAsia" w:hAnsiTheme="minorEastAsia" w:eastAsiaTheme="minorEastAsia" w:cstheme="minorEastAsia"/>
                        <w:sz w:val="24"/>
                        <w:szCs w:val="24"/>
                        <w:lang w:eastAsia="zh-CN"/>
                      </w:rPr>
                      <w:fldChar w:fldCharType="separate"/>
                    </w:r>
                    <w:r>
                      <w:rPr>
                        <w:rFonts w:hint="eastAsia" w:asciiTheme="minorEastAsia" w:hAnsiTheme="minorEastAsia" w:eastAsiaTheme="minorEastAsia" w:cstheme="minorEastAsia"/>
                        <w:sz w:val="24"/>
                        <w:szCs w:val="24"/>
                        <w:lang w:eastAsia="zh-CN"/>
                      </w:rPr>
                      <w:t>2</w:t>
                    </w:r>
                    <w:r>
                      <w:rPr>
                        <w:rFonts w:hint="eastAsia" w:asciiTheme="minorEastAsia" w:hAnsiTheme="minorEastAsia" w:eastAsiaTheme="minorEastAsia" w:cstheme="minorEastAsia"/>
                        <w:sz w:val="24"/>
                        <w:szCs w:val="24"/>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8"/>
      </w:rPr>
    </w:pPr>
    <w:r>
      <w:fldChar w:fldCharType="begin"/>
    </w:r>
    <w:r>
      <w:rPr>
        <w:rStyle w:val="8"/>
      </w:rPr>
      <w:instrText xml:space="preserve">PAGE  </w:instrText>
    </w:r>
    <w:r>
      <w:fldChar w:fldCharType="separate"/>
    </w:r>
    <w:r>
      <w:rPr>
        <w:rStyle w:val="8"/>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sz w:val="24"/>
                              <w:szCs w:val="24"/>
                              <w:lang w:eastAsia="zh-CN"/>
                            </w:rPr>
                            <w:fldChar w:fldCharType="begin"/>
                          </w:r>
                          <w:r>
                            <w:rPr>
                              <w:rFonts w:hint="eastAsia" w:asciiTheme="majorEastAsia" w:hAnsiTheme="majorEastAsia" w:eastAsiaTheme="majorEastAsia" w:cstheme="majorEastAsia"/>
                              <w:sz w:val="24"/>
                              <w:szCs w:val="24"/>
                              <w:lang w:eastAsia="zh-CN"/>
                            </w:rPr>
                            <w:instrText xml:space="preserve"> PAGE  \* MERGEFORMAT </w:instrText>
                          </w:r>
                          <w:r>
                            <w:rPr>
                              <w:rFonts w:hint="eastAsia" w:asciiTheme="majorEastAsia" w:hAnsiTheme="majorEastAsia" w:eastAsiaTheme="majorEastAsia" w:cstheme="majorEastAsia"/>
                              <w:sz w:val="24"/>
                              <w:szCs w:val="24"/>
                              <w:lang w:eastAsia="zh-CN"/>
                            </w:rPr>
                            <w:fldChar w:fldCharType="separate"/>
                          </w:r>
                          <w:r>
                            <w:rPr>
                              <w:rFonts w:hint="eastAsia" w:asciiTheme="majorEastAsia" w:hAnsiTheme="majorEastAsia" w:eastAsiaTheme="majorEastAsia" w:cstheme="majorEastAsia"/>
                              <w:sz w:val="24"/>
                              <w:szCs w:val="24"/>
                              <w:lang w:eastAsia="zh-CN"/>
                            </w:rPr>
                            <w:t>- 1 -</w:t>
                          </w:r>
                          <w:r>
                            <w:rPr>
                              <w:rFonts w:hint="eastAsia" w:asciiTheme="majorEastAsia" w:hAnsiTheme="majorEastAsia" w:eastAsiaTheme="majorEastAsia" w:cstheme="majorEastAsia"/>
                              <w:sz w:val="24"/>
                              <w:szCs w:val="24"/>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v:fill on="f" focussize="0,0"/>
              <v:stroke on="f" weight="0.5pt"/>
              <v:imagedata o:title=""/>
              <o:lock v:ext="edit" aspectratio="f"/>
              <v:textbox inset="0mm,0mm,0mm,0mm" style="mso-fit-shape-to-text:t;">
                <w:txbxContent>
                  <w:p>
                    <w:pPr>
                      <w:pStyle w:val="2"/>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sz w:val="24"/>
                        <w:szCs w:val="24"/>
                        <w:lang w:eastAsia="zh-CN"/>
                      </w:rPr>
                      <w:fldChar w:fldCharType="begin"/>
                    </w:r>
                    <w:r>
                      <w:rPr>
                        <w:rFonts w:hint="eastAsia" w:asciiTheme="majorEastAsia" w:hAnsiTheme="majorEastAsia" w:eastAsiaTheme="majorEastAsia" w:cstheme="majorEastAsia"/>
                        <w:sz w:val="24"/>
                        <w:szCs w:val="24"/>
                        <w:lang w:eastAsia="zh-CN"/>
                      </w:rPr>
                      <w:instrText xml:space="preserve"> PAGE  \* MERGEFORMAT </w:instrText>
                    </w:r>
                    <w:r>
                      <w:rPr>
                        <w:rFonts w:hint="eastAsia" w:asciiTheme="majorEastAsia" w:hAnsiTheme="majorEastAsia" w:eastAsiaTheme="majorEastAsia" w:cstheme="majorEastAsia"/>
                        <w:sz w:val="24"/>
                        <w:szCs w:val="24"/>
                        <w:lang w:eastAsia="zh-CN"/>
                      </w:rPr>
                      <w:fldChar w:fldCharType="separate"/>
                    </w:r>
                    <w:r>
                      <w:rPr>
                        <w:rFonts w:hint="eastAsia" w:asciiTheme="majorEastAsia" w:hAnsiTheme="majorEastAsia" w:eastAsiaTheme="majorEastAsia" w:cstheme="majorEastAsia"/>
                        <w:sz w:val="24"/>
                        <w:szCs w:val="24"/>
                        <w:lang w:eastAsia="zh-CN"/>
                      </w:rPr>
                      <w:t>- 1 -</w:t>
                    </w:r>
                    <w:r>
                      <w:rPr>
                        <w:rFonts w:hint="eastAsia" w:asciiTheme="majorEastAsia" w:hAnsiTheme="majorEastAsia" w:eastAsiaTheme="majorEastAsia" w:cstheme="majorEastAsia"/>
                        <w:sz w:val="24"/>
                        <w:szCs w:val="24"/>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33370C0"/>
    <w:multiLevelType w:val="singleLevel"/>
    <w:tmpl w:val="D33370C0"/>
    <w:lvl w:ilvl="0" w:tentative="0">
      <w:start w:val="1"/>
      <w:numFmt w:val="decimal"/>
      <w:suff w:val="nothing"/>
      <w:lvlText w:val="（%1）"/>
      <w:lvlJc w:val="left"/>
    </w:lvl>
  </w:abstractNum>
  <w:abstractNum w:abstractNumId="1">
    <w:nsid w:val="25792B1F"/>
    <w:multiLevelType w:val="singleLevel"/>
    <w:tmpl w:val="25792B1F"/>
    <w:lvl w:ilvl="0" w:tentative="0">
      <w:start w:val="6"/>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14D070F"/>
    <w:rsid w:val="043E6959"/>
    <w:rsid w:val="0498455C"/>
    <w:rsid w:val="0529766A"/>
    <w:rsid w:val="06970593"/>
    <w:rsid w:val="087B1508"/>
    <w:rsid w:val="0944728E"/>
    <w:rsid w:val="095A69E4"/>
    <w:rsid w:val="0C397E04"/>
    <w:rsid w:val="0C483271"/>
    <w:rsid w:val="0CAE0617"/>
    <w:rsid w:val="11FE4322"/>
    <w:rsid w:val="17D53D04"/>
    <w:rsid w:val="1825067B"/>
    <w:rsid w:val="19C82CE1"/>
    <w:rsid w:val="1A583A53"/>
    <w:rsid w:val="1A6E40B7"/>
    <w:rsid w:val="1AF741E3"/>
    <w:rsid w:val="1B066295"/>
    <w:rsid w:val="1D4A39A8"/>
    <w:rsid w:val="20295C0F"/>
    <w:rsid w:val="21115B02"/>
    <w:rsid w:val="216F4C9F"/>
    <w:rsid w:val="22976E47"/>
    <w:rsid w:val="24927B3C"/>
    <w:rsid w:val="256E7F96"/>
    <w:rsid w:val="26FE6578"/>
    <w:rsid w:val="276C11CC"/>
    <w:rsid w:val="29096950"/>
    <w:rsid w:val="293E2D42"/>
    <w:rsid w:val="29457A7C"/>
    <w:rsid w:val="29AD799A"/>
    <w:rsid w:val="29FE5A0A"/>
    <w:rsid w:val="2A05682B"/>
    <w:rsid w:val="2A2047E7"/>
    <w:rsid w:val="2A2941B7"/>
    <w:rsid w:val="2ABA7420"/>
    <w:rsid w:val="2B2D1802"/>
    <w:rsid w:val="2CD758F8"/>
    <w:rsid w:val="2DA64DB4"/>
    <w:rsid w:val="2DC66BD0"/>
    <w:rsid w:val="2E4C006E"/>
    <w:rsid w:val="2EC763AA"/>
    <w:rsid w:val="2EE13AFC"/>
    <w:rsid w:val="2F1C7927"/>
    <w:rsid w:val="303916A2"/>
    <w:rsid w:val="30B078E5"/>
    <w:rsid w:val="30F13035"/>
    <w:rsid w:val="321C024D"/>
    <w:rsid w:val="349C102C"/>
    <w:rsid w:val="350F2ED9"/>
    <w:rsid w:val="364C2A93"/>
    <w:rsid w:val="366E5366"/>
    <w:rsid w:val="37911CA7"/>
    <w:rsid w:val="39A43459"/>
    <w:rsid w:val="39D80FBD"/>
    <w:rsid w:val="3AEC36C1"/>
    <w:rsid w:val="3C5654B4"/>
    <w:rsid w:val="461A564D"/>
    <w:rsid w:val="462248B7"/>
    <w:rsid w:val="464378B5"/>
    <w:rsid w:val="46A94E5F"/>
    <w:rsid w:val="47B876E4"/>
    <w:rsid w:val="48386125"/>
    <w:rsid w:val="48466709"/>
    <w:rsid w:val="493921E5"/>
    <w:rsid w:val="4A2213F6"/>
    <w:rsid w:val="4AD03C22"/>
    <w:rsid w:val="4BEE2068"/>
    <w:rsid w:val="4C924BCB"/>
    <w:rsid w:val="4CAD2D6B"/>
    <w:rsid w:val="4EF17ED5"/>
    <w:rsid w:val="50454157"/>
    <w:rsid w:val="52B87FC5"/>
    <w:rsid w:val="52C720CF"/>
    <w:rsid w:val="530B7F10"/>
    <w:rsid w:val="53110892"/>
    <w:rsid w:val="54D71A1D"/>
    <w:rsid w:val="55940458"/>
    <w:rsid w:val="55E63FA5"/>
    <w:rsid w:val="565416D6"/>
    <w:rsid w:val="58D4333D"/>
    <w:rsid w:val="59EC608B"/>
    <w:rsid w:val="5AB368CC"/>
    <w:rsid w:val="5C8151D6"/>
    <w:rsid w:val="5E0D322B"/>
    <w:rsid w:val="5E7C10AA"/>
    <w:rsid w:val="649B1214"/>
    <w:rsid w:val="64B21C8C"/>
    <w:rsid w:val="64F16CB7"/>
    <w:rsid w:val="656F3F11"/>
    <w:rsid w:val="65DE1D54"/>
    <w:rsid w:val="6699252E"/>
    <w:rsid w:val="669A7CA4"/>
    <w:rsid w:val="670C7884"/>
    <w:rsid w:val="67FB6FB2"/>
    <w:rsid w:val="686A7867"/>
    <w:rsid w:val="69614405"/>
    <w:rsid w:val="69813D10"/>
    <w:rsid w:val="69833C6F"/>
    <w:rsid w:val="6A68076E"/>
    <w:rsid w:val="6C0E7DDD"/>
    <w:rsid w:val="6C35177C"/>
    <w:rsid w:val="6D396779"/>
    <w:rsid w:val="6F757F10"/>
    <w:rsid w:val="726C648B"/>
    <w:rsid w:val="734E109C"/>
    <w:rsid w:val="73BC0AEF"/>
    <w:rsid w:val="73C87B1E"/>
    <w:rsid w:val="74173764"/>
    <w:rsid w:val="751F2DC9"/>
    <w:rsid w:val="76F45109"/>
    <w:rsid w:val="7A4D4362"/>
    <w:rsid w:val="7BB76B50"/>
    <w:rsid w:val="7DAA209C"/>
    <w:rsid w:val="7DAD7201"/>
    <w:rsid w:val="7E4D4205"/>
    <w:rsid w:val="7FFB672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link w:val="7"/>
    <w:semiHidden/>
    <w:uiPriority w:val="0"/>
    <w:rPr>
      <w:rFonts w:ascii="Times New Roman" w:hAnsi="Times New Roman" w:eastAsia="宋体"/>
      <w:sz w:val="21"/>
      <w:szCs w:val="24"/>
    </w:rPr>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Char Char Char Char Char Char Char"/>
    <w:basedOn w:val="1"/>
    <w:link w:val="6"/>
    <w:qFormat/>
    <w:uiPriority w:val="0"/>
    <w:rPr>
      <w:rFonts w:ascii="Times New Roman" w:hAnsi="Times New Roman" w:eastAsia="宋体"/>
      <w:sz w:val="21"/>
      <w:szCs w:val="24"/>
    </w:rPr>
  </w:style>
  <w:style w:type="character" w:styleId="8">
    <w:name w:val="page number"/>
    <w:basedOn w:val="6"/>
    <w:qFormat/>
    <w:uiPriority w:val="0"/>
  </w:style>
  <w:style w:type="paragraph" w:customStyle="1" w:styleId="9">
    <w:name w:val="默认段落字体 Para Char Char Char Char Char Char Char"/>
    <w:basedOn w:val="1"/>
    <w:link w:val="6"/>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Office_11.8.2.9067_F1E327BC-269C-435d-A152-05C5408002CA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cp:lastPrinted>2012-01-01T10:06:00Z</cp:lastPrinted>
  <dcterms:modified xsi:type="dcterms:W3CDTF">2024-07-04T02:00:35Z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2052-11.8.2.9067</vt:lpwstr>
  </property>
</Properties>
</file>