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-1028700</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1.05pt;height:277.9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石家庄市鹿泉区卫生和</w:t>
                  </w:r>
                </w:p>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计划生育局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 w:hAnsi="楷体" w:eastAsia="楷体" w:cs="楷体"/>
          <w:sz w:val="32"/>
          <w:szCs w:val="32"/>
          <w:highlight w:val="yellow"/>
        </w:r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r>
        <w:rPr>
          <w:rFonts w:hint="eastAsia" w:ascii="楷体" w:hAnsi="楷体" w:eastAsia="楷体" w:cs="楷体"/>
          <w:b/>
          <w:sz w:val="40"/>
          <w:szCs w:val="40"/>
        </w:rPr>
        <w:t>二十四</w:t>
      </w:r>
      <w:r>
        <w:rPr>
          <w:rFonts w:hint="eastAsia" w:ascii="楷体_GB2312" w:hAnsi="楷体" w:eastAsia="楷体_GB2312" w:cs="楷体"/>
          <w:b/>
          <w:sz w:val="40"/>
          <w:szCs w:val="40"/>
        </w:rPr>
        <w:t>日</w:t>
      </w:r>
      <w:r>
        <w:rPr>
          <w:rFonts w:hint="eastAsia" w:asciiTheme="minorEastAsia" w:hAnsiTheme="minorEastAsia" w:eastAsiaTheme="minorEastAsia" w:cstheme="minorEastAsia"/>
          <w:sz w:val="44"/>
          <w:szCs w:val="44"/>
        </w:rPr>
        <w:br w:type="page"/>
      </w:r>
    </w:p>
    <w:p>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73600;mso-width-relative:page;mso-height-relative:page;" coordorigin="4551,52615" coordsize="8546,1398203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卫生和计划生育</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72576;mso-width-relative:page;mso-height-relative:page;" coordorigin="4551,52615" coordsize="8546,1398203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62336;mso-width-relative:page;mso-height-relative:page;" coordorigin="4551,52615" coordsize="8546,1398203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ind w:firstLine="560"/>
        <w:jc w:val="left"/>
        <w:rPr>
          <w:rFonts w:ascii="方正仿宋_GBK" w:eastAsia="方正仿宋_GBK"/>
          <w:sz w:val="28"/>
        </w:rPr>
      </w:pPr>
      <w:r>
        <w:rPr>
          <w:rFonts w:ascii="方正仿宋_GBK" w:eastAsia="方正仿宋_GBK"/>
          <w:sz w:val="28"/>
        </w:rPr>
        <w:t>1</w:t>
      </w:r>
      <w:r>
        <w:rPr>
          <w:rFonts w:hint="eastAsia" w:ascii="方正仿宋_GBK" w:hAnsi="宋体" w:eastAsia="方正仿宋_GBK" w:cs="宋体"/>
          <w:sz w:val="28"/>
        </w:rPr>
        <w:t>、宣传、贯彻执行党和国家卫生人员及人口计划生育工作相关的方针、政策、法律、法规，推进医药卫生体制改革，推动人口和计划生育工作的综合治理，监督实施卫生和计划生育行业技术标准和技术规范</w:t>
      </w:r>
      <w:r>
        <w:rPr>
          <w:rFonts w:hint="eastAsia" w:ascii="方正仿宋_GBK" w:hAnsi="宋体" w:cs="宋体"/>
          <w:sz w:val="28"/>
        </w:rPr>
        <w:t>，</w:t>
      </w:r>
      <w:r>
        <w:rPr>
          <w:rFonts w:hint="eastAsia" w:ascii="方正仿宋_GBK" w:hAnsi="宋体" w:eastAsia="方正仿宋_GBK" w:cs="宋体"/>
          <w:sz w:val="28"/>
        </w:rPr>
        <w:t>推进医药卫生体制改革。</w:t>
      </w:r>
    </w:p>
    <w:p>
      <w:pPr>
        <w:ind w:firstLine="560"/>
        <w:rPr>
          <w:rFonts w:ascii="方正仿宋_GBK" w:eastAsia="方正仿宋_GBK"/>
          <w:sz w:val="28"/>
        </w:rPr>
      </w:pPr>
      <w:r>
        <w:rPr>
          <w:rFonts w:ascii="方正仿宋_GBK" w:eastAsia="方正仿宋_GBK"/>
          <w:sz w:val="28"/>
        </w:rPr>
        <w:t>2</w:t>
      </w:r>
      <w:r>
        <w:rPr>
          <w:rFonts w:hint="eastAsia" w:ascii="方正仿宋_GBK" w:hAnsi="宋体" w:eastAsia="方正仿宋_GBK" w:cs="宋体"/>
          <w:sz w:val="28"/>
        </w:rPr>
        <w:t>、统筹协调全区卫生和计划生育服务资源配置，拟定实施全区卫生事业发展规划和目标。</w:t>
      </w:r>
    </w:p>
    <w:p>
      <w:pPr>
        <w:ind w:firstLine="560"/>
        <w:rPr>
          <w:rFonts w:ascii="方正仿宋_GBK" w:eastAsia="方正仿宋_GBK"/>
          <w:sz w:val="28"/>
        </w:rPr>
      </w:pPr>
      <w:r>
        <w:rPr>
          <w:rFonts w:ascii="方正仿宋_GBK" w:eastAsia="方正仿宋_GBK"/>
          <w:sz w:val="28"/>
        </w:rPr>
        <w:t>3</w:t>
      </w:r>
      <w:r>
        <w:rPr>
          <w:rFonts w:hint="eastAsia" w:ascii="方正仿宋_GBK" w:hAnsi="宋体" w:eastAsia="方正仿宋_GBK" w:cs="宋体"/>
          <w:sz w:val="28"/>
        </w:rPr>
        <w:t>、组织实施国家基本药物制度，拟定全区基本药物采购、配送、使用的管理措施，监督和规范医疗机构基本药物使用。</w:t>
      </w:r>
    </w:p>
    <w:p>
      <w:pPr>
        <w:ind w:firstLine="560"/>
        <w:rPr>
          <w:rFonts w:ascii="方正仿宋_GBK" w:eastAsia="方正仿宋_GBK"/>
          <w:sz w:val="28"/>
        </w:rPr>
      </w:pPr>
      <w:r>
        <w:rPr>
          <w:rFonts w:ascii="方正仿宋_GBK" w:eastAsia="方正仿宋_GBK"/>
          <w:sz w:val="28"/>
        </w:rPr>
        <w:t>4</w:t>
      </w:r>
      <w:r>
        <w:rPr>
          <w:rFonts w:hint="eastAsia" w:ascii="方正仿宋_GBK" w:hAnsi="宋体" w:eastAsia="方正仿宋_GBK" w:cs="宋体"/>
          <w:sz w:val="28"/>
        </w:rPr>
        <w:t>、依据</w:t>
      </w:r>
      <w:bookmarkStart w:id="0" w:name="_GoBack"/>
      <w:bookmarkEnd w:id="0"/>
      <w:r>
        <w:rPr>
          <w:rFonts w:hint="eastAsia" w:ascii="方正仿宋_GBK" w:hAnsi="宋体" w:eastAsia="方正仿宋_GBK" w:cs="宋体"/>
          <w:sz w:val="28"/>
          <w:lang w:eastAsia="zh-CN"/>
        </w:rPr>
        <w:t>《中华人民共和国执业医师法》</w:t>
      </w:r>
      <w:r>
        <w:rPr>
          <w:rFonts w:hint="eastAsia" w:ascii="方正仿宋_GBK" w:hAnsi="宋体" w:eastAsia="方正仿宋_GBK" w:cs="宋体"/>
          <w:sz w:val="28"/>
        </w:rPr>
        <w:t>、《医疗机构管理条例》等卫生法律、法规、规章和技术标准，负责对医疗机构医疗质量进行监督，负责医护人员执业注册，负责医疗机构设置审批、执业登记和校验，对执业活动实施行政执法检查。</w:t>
      </w:r>
    </w:p>
    <w:p>
      <w:pPr>
        <w:ind w:firstLine="560"/>
        <w:rPr>
          <w:rFonts w:ascii="方正仿宋_GBK" w:eastAsia="方正仿宋_GBK"/>
          <w:sz w:val="28"/>
        </w:rPr>
      </w:pPr>
      <w:r>
        <w:rPr>
          <w:rFonts w:ascii="方正仿宋_GBK" w:eastAsia="方正仿宋_GBK"/>
          <w:sz w:val="28"/>
        </w:rPr>
        <w:t>5</w:t>
      </w:r>
      <w:r>
        <w:rPr>
          <w:rFonts w:hint="eastAsia" w:ascii="方正仿宋_GBK" w:hAnsi="宋体" w:eastAsia="方正仿宋_GBK" w:cs="宋体"/>
          <w:sz w:val="28"/>
        </w:rPr>
        <w:t>、拟定并实施农村卫生发展规划和政策措施，推行乡村卫生组织一体化管理，加强对乡村卫生工作的监督管理、指导。</w:t>
      </w:r>
    </w:p>
    <w:p>
      <w:pPr>
        <w:ind w:firstLine="560"/>
        <w:rPr>
          <w:rFonts w:ascii="方正仿宋_GBK" w:eastAsia="方正仿宋_GBK"/>
          <w:sz w:val="28"/>
        </w:rPr>
      </w:pPr>
      <w:r>
        <w:rPr>
          <w:rFonts w:ascii="方正仿宋_GBK" w:eastAsia="方正仿宋_GBK"/>
          <w:sz w:val="28"/>
        </w:rPr>
        <w:t>6</w:t>
      </w:r>
      <w:r>
        <w:rPr>
          <w:rFonts w:hint="eastAsia" w:ascii="方正仿宋_GBK" w:hAnsi="宋体" w:eastAsia="方正仿宋_GBK" w:cs="宋体"/>
          <w:sz w:val="28"/>
        </w:rPr>
        <w:t>、拟定并实施妇幼卫生发展规划和政策措施，负责妇幼保健工作的综合管理和监督。</w:t>
      </w:r>
    </w:p>
    <w:p>
      <w:pPr>
        <w:ind w:firstLine="560"/>
        <w:rPr>
          <w:rFonts w:ascii="方正仿宋_GBK" w:eastAsia="方正仿宋_GBK"/>
          <w:sz w:val="28"/>
        </w:rPr>
      </w:pPr>
      <w:r>
        <w:rPr>
          <w:rFonts w:ascii="方正仿宋_GBK" w:eastAsia="方正仿宋_GBK"/>
          <w:sz w:val="28"/>
        </w:rPr>
        <w:t>7</w:t>
      </w:r>
      <w:r>
        <w:rPr>
          <w:rFonts w:hint="eastAsia" w:ascii="方正仿宋_GBK" w:hAnsi="宋体" w:eastAsia="方正仿宋_GBK" w:cs="宋体"/>
          <w:sz w:val="28"/>
        </w:rPr>
        <w:t>、负责疾病预防控制工作，负责制定重大疾病防治规划、免疫规划并组织实施，协调有关部门对重大疾病实施防控与干预。</w:t>
      </w:r>
    </w:p>
    <w:p>
      <w:pPr>
        <w:ind w:firstLine="560"/>
        <w:rPr>
          <w:rFonts w:ascii="方正仿宋_GBK" w:eastAsia="方正仿宋_GBK"/>
          <w:sz w:val="28"/>
        </w:rPr>
      </w:pPr>
      <w:r>
        <w:rPr>
          <w:rFonts w:ascii="方正仿宋_GBK" w:eastAsia="方正仿宋_GBK"/>
          <w:sz w:val="28"/>
        </w:rPr>
        <w:t>8</w:t>
      </w:r>
      <w:r>
        <w:rPr>
          <w:rFonts w:hint="eastAsia" w:ascii="方正仿宋_GBK" w:hAnsi="宋体" w:eastAsia="方正仿宋_GBK" w:cs="宋体"/>
          <w:sz w:val="28"/>
        </w:rPr>
        <w:t>、负责卫生应急工作，制定卫生应急预案和紧急医学救援预案，组织指导突发公共卫生事件预防控制和各类突发公共事件的医疗救援。</w:t>
      </w:r>
    </w:p>
    <w:p>
      <w:pPr>
        <w:ind w:firstLine="560"/>
        <w:rPr>
          <w:rFonts w:ascii="方正仿宋_GBK" w:eastAsia="方正仿宋_GBK"/>
          <w:sz w:val="28"/>
        </w:rPr>
      </w:pPr>
      <w:r>
        <w:rPr>
          <w:rFonts w:ascii="方正仿宋_GBK" w:eastAsia="方正仿宋_GBK"/>
          <w:sz w:val="28"/>
        </w:rPr>
        <w:t>9</w:t>
      </w:r>
      <w:r>
        <w:rPr>
          <w:rFonts w:hint="eastAsia" w:ascii="方正仿宋_GBK" w:hAnsi="宋体" w:eastAsia="方正仿宋_GBK" w:cs="宋体"/>
          <w:sz w:val="28"/>
        </w:rPr>
        <w:t>、拟定中医药发展规划，监督管理和指导中医药发展规划</w:t>
      </w:r>
      <w:r>
        <w:rPr>
          <w:rFonts w:hint="eastAsia" w:ascii="方正仿宋_GBK" w:hAnsi="宋体" w:cs="宋体"/>
          <w:sz w:val="28"/>
        </w:rPr>
        <w:t>，</w:t>
      </w:r>
      <w:r>
        <w:rPr>
          <w:rFonts w:hint="eastAsia" w:ascii="方正仿宋_GBK" w:hAnsi="宋体" w:eastAsia="方正仿宋_GBK" w:cs="宋体"/>
          <w:sz w:val="28"/>
        </w:rPr>
        <w:t>监督管理和指导中医医疗、预防、保健、康复、护理及临床用药工作。</w:t>
      </w:r>
    </w:p>
    <w:p>
      <w:pPr>
        <w:ind w:firstLine="560"/>
        <w:rPr>
          <w:rFonts w:ascii="方正仿宋_GBK" w:eastAsia="方正仿宋_GBK"/>
          <w:sz w:val="28"/>
        </w:rPr>
      </w:pPr>
      <w:r>
        <w:rPr>
          <w:rFonts w:ascii="方正仿宋_GBK" w:eastAsia="方正仿宋_GBK"/>
          <w:sz w:val="28"/>
        </w:rPr>
        <w:t>10</w:t>
      </w:r>
      <w:r>
        <w:rPr>
          <w:rFonts w:hint="eastAsia" w:ascii="方正仿宋_GBK" w:hAnsi="宋体" w:eastAsia="方正仿宋_GBK" w:cs="宋体"/>
          <w:sz w:val="28"/>
        </w:rPr>
        <w:t>、承办区政府交办的其他事项。</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560" w:firstLineChars="200"/>
        <w:rPr>
          <w:rFonts w:ascii="方正仿宋_GBK" w:hAnsi="宋体" w:eastAsia="方正仿宋_GBK" w:cs="宋体"/>
          <w:sz w:val="28"/>
        </w:rPr>
      </w:pPr>
      <w:r>
        <w:rPr>
          <w:rFonts w:hint="eastAsia" w:ascii="方正仿宋_GBK" w:hAnsi="宋体" w:eastAsia="方正仿宋_GBK" w:cs="宋体"/>
          <w:sz w:val="28"/>
        </w:rPr>
        <w:t>从决算编报单位构成看，纳入2018 年度本部门决算汇编范围的独立核算单位（以下简称“单位”）共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vAlign w:val="center"/>
          </w:tcPr>
          <w:p>
            <w:pPr>
              <w:spacing w:line="300" w:lineRule="exact"/>
              <w:jc w:val="left"/>
              <w:rPr>
                <w:rFonts w:ascii="宋体" w:hAnsi="宋体"/>
                <w:kern w:val="0"/>
                <w:sz w:val="24"/>
              </w:rPr>
            </w:pPr>
            <w:r>
              <w:rPr>
                <w:rFonts w:hint="eastAsia" w:ascii="方正书宋_GBK" w:eastAsia="方正书宋_GBK"/>
              </w:rPr>
              <w:t>石家庄市鹿泉区卫生和计划生育局</w:t>
            </w:r>
          </w:p>
        </w:tc>
        <w:tc>
          <w:tcPr>
            <w:tcW w:w="2445" w:type="dxa"/>
            <w:vAlign w:val="center"/>
          </w:tcPr>
          <w:p>
            <w:pPr>
              <w:spacing w:line="300" w:lineRule="exact"/>
              <w:jc w:val="center"/>
              <w:rPr>
                <w:rFonts w:ascii="宋体" w:hAnsi="宋体"/>
                <w:kern w:val="0"/>
                <w:sz w:val="24"/>
              </w:rPr>
            </w:pPr>
            <w:r>
              <w:rPr>
                <w:rFonts w:hint="eastAsia" w:ascii="方正书宋_GBK" w:eastAsia="方正书宋_GBK"/>
              </w:rPr>
              <w:t>行政</w:t>
            </w:r>
          </w:p>
        </w:tc>
        <w:tc>
          <w:tcPr>
            <w:tcW w:w="2665" w:type="dxa"/>
            <w:vAlign w:val="center"/>
          </w:tcPr>
          <w:p>
            <w:pPr>
              <w:spacing w:line="300" w:lineRule="exact"/>
              <w:jc w:val="center"/>
              <w:rPr>
                <w:rFonts w:ascii="宋体" w:hAnsi="宋体" w:cs="宋体"/>
                <w:kern w:val="0"/>
                <w:sz w:val="24"/>
              </w:rPr>
            </w:pPr>
            <w:r>
              <w:rPr>
                <w:rFonts w:hint="eastAsia" w:ascii="方正书宋_GBK" w:eastAsia="方正书宋_GBK"/>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vAlign w:val="center"/>
          </w:tcPr>
          <w:p>
            <w:pPr>
              <w:spacing w:line="300" w:lineRule="exact"/>
              <w:jc w:val="left"/>
              <w:rPr>
                <w:rFonts w:ascii="宋体" w:hAnsi="宋体"/>
                <w:kern w:val="0"/>
                <w:sz w:val="24"/>
              </w:rPr>
            </w:pPr>
            <w:r>
              <w:rPr>
                <w:rFonts w:hint="eastAsia" w:ascii="方正书宋_GBK" w:eastAsia="方正书宋_GBK"/>
              </w:rPr>
              <w:t>石家庄市鹿泉区疾病预防控制中心</w:t>
            </w:r>
          </w:p>
        </w:tc>
        <w:tc>
          <w:tcPr>
            <w:tcW w:w="2445" w:type="dxa"/>
            <w:vAlign w:val="center"/>
          </w:tcPr>
          <w:p>
            <w:pPr>
              <w:spacing w:line="300" w:lineRule="exact"/>
              <w:jc w:val="center"/>
              <w:rPr>
                <w:rFonts w:ascii="宋体" w:hAnsi="宋体"/>
                <w:kern w:val="0"/>
                <w:sz w:val="24"/>
              </w:rPr>
            </w:pPr>
            <w:r>
              <w:rPr>
                <w:rFonts w:hint="eastAsia" w:ascii="方正书宋_GBK" w:eastAsia="方正书宋_GBK"/>
              </w:rPr>
              <w:t>事业</w:t>
            </w:r>
          </w:p>
        </w:tc>
        <w:tc>
          <w:tcPr>
            <w:tcW w:w="2665" w:type="dxa"/>
          </w:tcPr>
          <w:p>
            <w:pPr>
              <w:jc w:val="center"/>
            </w:pPr>
            <w:r>
              <w:rPr>
                <w:rFonts w:hint="eastAsia" w:ascii="方正书宋_GBK" w:eastAsia="方正书宋_GBK"/>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vAlign w:val="center"/>
          </w:tcPr>
          <w:p>
            <w:pPr>
              <w:spacing w:line="300" w:lineRule="exact"/>
              <w:jc w:val="left"/>
              <w:rPr>
                <w:rFonts w:ascii="宋体" w:hAnsi="宋体"/>
                <w:kern w:val="0"/>
                <w:sz w:val="24"/>
              </w:rPr>
            </w:pPr>
            <w:r>
              <w:rPr>
                <w:rFonts w:hint="eastAsia" w:ascii="方正书宋_GBK" w:eastAsia="方正书宋_GBK"/>
              </w:rPr>
              <w:t>石家庄市鹿泉区卫生和计划生育局综合监督执法所</w:t>
            </w:r>
          </w:p>
        </w:tc>
        <w:tc>
          <w:tcPr>
            <w:tcW w:w="2445" w:type="dxa"/>
            <w:vAlign w:val="center"/>
          </w:tcPr>
          <w:p>
            <w:pPr>
              <w:spacing w:line="300" w:lineRule="exact"/>
              <w:jc w:val="center"/>
              <w:rPr>
                <w:rFonts w:ascii="宋体" w:hAnsi="宋体"/>
                <w:kern w:val="0"/>
                <w:sz w:val="24"/>
              </w:rPr>
            </w:pPr>
            <w:r>
              <w:rPr>
                <w:rFonts w:hint="eastAsia" w:ascii="方正书宋_GBK" w:eastAsia="方正书宋_GBK"/>
              </w:rPr>
              <w:t>事业</w:t>
            </w:r>
          </w:p>
        </w:tc>
        <w:tc>
          <w:tcPr>
            <w:tcW w:w="2665" w:type="dxa"/>
          </w:tcPr>
          <w:p>
            <w:pPr>
              <w:jc w:val="center"/>
            </w:pPr>
            <w:r>
              <w:rPr>
                <w:rFonts w:hint="eastAsia" w:ascii="方正书宋_GBK" w:eastAsia="方正书宋_GBK"/>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w:pict>
                <v:group id="_x0000_s1110" o:spid="_x0000_s1110" o:spt="203" style="position:absolute;left:0pt;margin-left:-70.25pt;margin-top:-81.85pt;height:41.2pt;width:243.2pt;mso-position-vertical-relative:page;z-index:251674624;mso-width-relative:page;mso-height-relative:page;" coordorigin="4551,52615" coordsize="8546,1398203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v:rect id="矩形 13" o:spid="_x0000_s1112"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1"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Cs w:val="21"/>
              </w:rPr>
              <w:t>石家庄市鹿泉区卫生和计划生育局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12668.66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698.83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13109.52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13367.48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13252.84</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488.73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603.37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13856.21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13856.21</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w:pict>
                <v:group id="_x0000_s1107" o:spid="_x0000_s1107" o:spt="203" style="position:absolute;left:0pt;margin-left:-82.75pt;margin-top:-81.1pt;height:41.2pt;width:243.2pt;mso-position-vertical-relative:page;z-index:251675648;mso-width-relative:page;mso-height-relative:page;" coordorigin="4551,52615" coordsize="8546,1398203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v:rect id="矩形 13" o:spid="_x0000_s1109"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8"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部门：石家庄市鹿泉区卫生和计划生育局</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13367.48</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12668.66</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ascii="宋体" w:hAnsi="宋体" w:cs="宋体"/>
                <w:b/>
                <w:color w:val="000000"/>
                <w:sz w:val="18"/>
                <w:szCs w:val="18"/>
              </w:rPr>
              <w:t>698.83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98.30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98.30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94.15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94.15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2080505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94.15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94.15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退役安置</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退役士兵安置</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13212.70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12513.87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698.83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医疗卫生与计划生育管理事务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1177.48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1177.48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775.62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775.62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27.62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27.62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其他医疗卫生与计划生育管理事务支出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374.24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374.24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公立医院</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2176.61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2176.61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综合医院</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1762.61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1762.61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中医(民族)医院</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其他公立医院支出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394.00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394.00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基层医疗卫生机构</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2726.15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2726.15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2100302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乡镇卫生院</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1946.96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1946.96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2100399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其他基层医疗卫生机构支出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779.19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779.19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公共卫生</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5419.08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5400.47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18.61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疾病预防控制机构</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897.65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right="105"/>
              <w:jc w:val="right"/>
              <w:rPr>
                <w:rFonts w:ascii="宋体" w:hAnsi="宋体" w:cs="宋体"/>
                <w:color w:val="000000"/>
                <w:szCs w:val="21"/>
              </w:rPr>
            </w:pPr>
            <w:r>
              <w:rPr>
                <w:rFonts w:hint="eastAsia" w:ascii="宋体" w:hAnsi="宋体" w:cs="宋体"/>
                <w:color w:val="000000"/>
                <w:szCs w:val="21"/>
              </w:rPr>
              <w:t>897.65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卫生监督机构</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398.66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391.70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妇幼保健机构</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594.19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594.19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6.96</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基本公共卫生服务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2535.40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2535.40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重大公共卫生专项</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right="105"/>
              <w:jc w:val="right"/>
              <w:rPr>
                <w:rFonts w:ascii="宋体" w:hAnsi="宋体" w:cs="宋体"/>
                <w:color w:val="000000"/>
                <w:szCs w:val="21"/>
              </w:rPr>
            </w:pPr>
            <w:r>
              <w:rPr>
                <w:rFonts w:hint="eastAsia" w:ascii="宋体" w:hAnsi="宋体" w:cs="宋体"/>
                <w:color w:val="000000"/>
                <w:szCs w:val="21"/>
              </w:rPr>
              <w:t>364.18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352.53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11.65</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其他公共卫生支出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629.00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629.00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中医药</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2100699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其他中医药支出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961.01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961.01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2100717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计划生育服务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706.78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706.78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2100799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其他计划生育事务支出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254.23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254.23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70.14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70.14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2101101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21.45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21.45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2101102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事业单位医疗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48.69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48.69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其他医疗卫生与计划生育支出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680.22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680.22</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2109901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其他医疗卫生与计划生育支出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680.22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680.22</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56.49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56.49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56.49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56.49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住房公积金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56.49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56.49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Cs w:val="21"/>
              </w:rP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303" w:type="dxa"/>
        <w:tblInd w:w="15" w:type="dxa"/>
        <w:tblLayout w:type="fixed"/>
        <w:tblCellMar>
          <w:top w:w="0" w:type="dxa"/>
          <w:left w:w="0" w:type="dxa"/>
          <w:bottom w:w="0" w:type="dxa"/>
          <w:right w:w="0" w:type="dxa"/>
        </w:tblCellMar>
      </w:tblPr>
      <w:tblGrid>
        <w:gridCol w:w="275"/>
        <w:gridCol w:w="289"/>
        <w:gridCol w:w="803"/>
        <w:gridCol w:w="1117"/>
        <w:gridCol w:w="647"/>
        <w:gridCol w:w="436"/>
        <w:gridCol w:w="682"/>
        <w:gridCol w:w="402"/>
        <w:gridCol w:w="718"/>
        <w:gridCol w:w="365"/>
        <w:gridCol w:w="753"/>
        <w:gridCol w:w="331"/>
        <w:gridCol w:w="789"/>
        <w:gridCol w:w="294"/>
        <w:gridCol w:w="1084"/>
        <w:gridCol w:w="1318"/>
      </w:tblGrid>
      <w:tr>
        <w:tblPrEx>
          <w:tblCellMar>
            <w:top w:w="0" w:type="dxa"/>
            <w:left w:w="0" w:type="dxa"/>
            <w:bottom w:w="0" w:type="dxa"/>
            <w:right w:w="0" w:type="dxa"/>
          </w:tblCellMar>
        </w:tblPrEx>
        <w:trPr>
          <w:gridAfter w:val="1"/>
          <w:wAfter w:w="1318" w:type="dxa"/>
          <w:trHeight w:val="798" w:hRule="atLeast"/>
        </w:trPr>
        <w:tc>
          <w:tcPr>
            <w:tcW w:w="8985"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w:pict>
                <v:group id="_x0000_s1104" o:spid="_x0000_s1104" o:spt="203" style="position:absolute;left:0pt;margin-left:-80.9pt;margin-top:-81.1pt;height:41.2pt;width:243.2pt;mso-position-vertical-relative:page;z-index:251676672;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v:rect id="矩形 13" o:spid="_x0000_s1106"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5"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gridAfter w:val="1"/>
          <w:wAfter w:w="1318" w:type="dxa"/>
          <w:trHeight w:val="404" w:hRule="atLeast"/>
        </w:trPr>
        <w:tc>
          <w:tcPr>
            <w:tcW w:w="27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gridAfter w:val="1"/>
          <w:wAfter w:w="1318" w:type="dxa"/>
          <w:trHeight w:val="380" w:hRule="atLeast"/>
        </w:trPr>
        <w:tc>
          <w:tcPr>
            <w:tcW w:w="3131"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部门：石家庄市鹿泉区卫生和计划生育局</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1318" w:type="dxa"/>
          <w:trHeight w:val="837" w:hRule="atLeast"/>
        </w:trPr>
        <w:tc>
          <w:tcPr>
            <w:tcW w:w="248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gridAfter w:val="1"/>
          <w:wAfter w:w="1318" w:type="dxa"/>
          <w:trHeight w:val="782" w:hRule="atLeast"/>
        </w:trPr>
        <w:tc>
          <w:tcPr>
            <w:tcW w:w="13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395" w:hRule="atLeast"/>
        </w:trPr>
        <w:tc>
          <w:tcPr>
            <w:tcW w:w="248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1"/>
          <w:wAfter w:w="1318" w:type="dxa"/>
          <w:trHeight w:val="440" w:hRule="atLeast"/>
        </w:trPr>
        <w:tc>
          <w:tcPr>
            <w:tcW w:w="248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ascii="宋体" w:hAnsi="宋体" w:cs="宋体"/>
                <w:b/>
                <w:color w:val="000000"/>
                <w:szCs w:val="21"/>
              </w:rPr>
              <w:t>13252.84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ascii="宋体" w:hAnsi="宋体" w:cs="宋体"/>
                <w:b/>
                <w:color w:val="000000"/>
                <w:szCs w:val="21"/>
              </w:rPr>
              <w:t>2015.92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ascii="宋体" w:hAnsi="宋体" w:cs="宋体"/>
                <w:b/>
                <w:color w:val="000000"/>
                <w:szCs w:val="21"/>
              </w:rPr>
              <w:t>11236.92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86.80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82.65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82.65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82.65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2080505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82.65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82.65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退役安置</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2080901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退役士兵安置</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13109.52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1876.74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11232.77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1164.14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776.61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387.53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776.61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776.61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27.62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27.62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其他医疗卫生与计划生育管理事务支出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359.91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359.91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公立医院</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2176.61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2176.61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综合医院</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1762.61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1762.61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中医(民族)医院</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其他公立医院支出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394.00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394.00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基层医疗卫生机构</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2563.23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2563.23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2100302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乡镇卫生院</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1946.96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1946.96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2100399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其他基层医疗卫生机构支出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616.27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616.27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公共卫生</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5453.19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1029.75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4423.44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疾病预防控制机构</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871.73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646.48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225.24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卫生监督机构</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383.27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383.27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妇幼保健机构</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594.19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594.19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基本公共卫生服务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2512.32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2512.32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重大公共卫生专项</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366.60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366.60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其他公共卫生支出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725.09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725.09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21006</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中医药</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2100699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其他中医药支出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21007</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900.75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900.75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2100717</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计划生育服务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647.90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647.90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2100799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其他计划生育事务支出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252.85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252.85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21011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70.38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70.38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2101101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行政单位医疗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20.31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20.31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2101102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事业单位医疗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其他医疗卫生与计划生育支出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779.21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779.21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2109901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其他医疗卫生与计划生育支出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779.21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779.21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18" w:type="dxa"/>
          <w:trHeight w:val="468" w:hRule="atLeast"/>
        </w:trPr>
        <w:tc>
          <w:tcPr>
            <w:tcW w:w="13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2210201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住房公积金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8985"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vAlign w:val="center"/>
          </w:tcPr>
          <w:p>
            <w:pPr>
              <w:widowControl/>
              <w:spacing w:after="0" w:line="240" w:lineRule="atLeast"/>
              <w:jc w:val="left"/>
              <w:rPr>
                <w:rFonts w:ascii="宋体" w:hAnsi="宋体" w:cs="宋体"/>
                <w:color w:val="000000"/>
                <w:szCs w:val="21"/>
              </w:rPr>
            </w:pPr>
          </w:p>
          <w:p>
            <w:pPr>
              <w:widowControl/>
              <w:spacing w:after="0" w:line="240" w:lineRule="atLeast"/>
              <w:jc w:val="left"/>
              <w:rPr>
                <w:rFonts w:ascii="宋体" w:hAnsi="宋体" w:cs="宋体"/>
                <w:color w:val="000000"/>
                <w:szCs w:val="21"/>
              </w:rPr>
            </w:pPr>
          </w:p>
        </w:tc>
      </w:tr>
      <w:tr>
        <w:trPr>
          <w:trHeight w:val="748" w:hRule="atLeast"/>
        </w:trPr>
        <w:tc>
          <w:tcPr>
            <w:tcW w:w="8985"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8985"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vAlign w:val="center"/>
          </w:tcPr>
          <w:p>
            <w:pPr>
              <w:widowControl/>
              <w:spacing w:after="0" w:line="240" w:lineRule="atLeast"/>
              <w:jc w:val="left"/>
              <w:rPr>
                <w:rFonts w:ascii="宋体" w:hAnsi="宋体" w:cs="宋体"/>
                <w:color w:val="000000"/>
                <w:szCs w:val="21"/>
              </w:rPr>
            </w:pP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w:pict>
                <v:group id="_x0000_s1101" o:spid="_x0000_s1101" o:spt="203" style="position:absolute;left:0pt;margin-left:-80.9pt;margin-top:-81.1pt;height:41.2pt;width:243.2pt;mso-position-vertical-relative:page;z-index:251677696;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v:rect id="矩形 13" o:spid="_x0000_s1103" o:spt="1" style="position:absolute;left:4551;top:52615;height:1175;width:8546;v-text-anchor:middle;" fillcolor="#D9D9D9"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2"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Cs w:val="21"/>
              </w:rPr>
              <w:t>石家庄市鹿泉区卫生和计划生育局</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12668.66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12311.70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12311.70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56.52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56.52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12668.66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12455.03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12455.03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379.67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593.30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593.30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379.67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13048.33</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13048.33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13048.33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098" o:spid="_x0000_s1098" o:spt="203" style="position:absolute;left:0pt;margin-left:-80.9pt;margin-top:-81.1pt;height:41.2pt;width:243.2pt;mso-position-vertical-relative:page;z-index:251678720;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v:rect id="矩形 13" o:spid="_x0000_s1100" o:spt="1" style="position:absolute;left:4551;top:52615;height:1175;width:8546;v-text-anchor:middle;" fillcolor="#D9D9D9"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9"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部门：石家庄市鹿泉区卫生和计划生育局</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12455.03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2008.97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10446.06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86.80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82.65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82.65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82.65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82.65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82.65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2080901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退役士兵安置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12311.70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1869.79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10441.91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1164.14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776.61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387.53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776.61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776.61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27.62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27.62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2100199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其他医疗卫生与计划生育管理事务支出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359.91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公立医院</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2176.61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2176.61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综合医院</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1762.61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1762.61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中医(民族)医院</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2100299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其他公立医院支出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394.00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394.00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基层医疗卫生机构</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2563.23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2563.23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2100302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乡镇卫生院</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1946.96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1946.96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2100399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其他基层医疗卫生机构支出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616.27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616.27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公共卫生</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5434.59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1022.80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4411.79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疾病预防控制机构</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871.73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646.48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225.24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卫生监督机构</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376.31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376.31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妇幼保健机构</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594.19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594.19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基本公共卫生服务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2512.32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2512.32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2100409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重大公共卫生专项</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354.95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354.95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2100499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其他公共卫生支出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725.09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725.09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中医药</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2100699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其他中医药支出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900.75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900.75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2100717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计划生育服务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647.90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647.90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2100799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其他计划生育事务支出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252.85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252.85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70.38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70.38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20.31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20.31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2101102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住房公积金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Cs w:val="21"/>
              </w:rPr>
              <w:t>石家庄市鹿泉区卫生和计划生育局</w:t>
            </w:r>
            <w:r>
              <w:rPr>
                <w:sz w:val="44"/>
              </w:rPr>
              <w:pict>
                <v:group id="_x0000_s1095" o:spid="_x0000_s1095" o:spt="203" style="position:absolute;left:0pt;margin-left:-73.25pt;margin-top:-129.4pt;height:41.2pt;width:243.2pt;mso-position-vertical-relative:page;z-index:251679744;mso-width-relative:page;mso-height-relative:page;" coordorigin="4551,52615" coordsize="8546,1398203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v:rect id="矩形 13" o:spid="_x0000_s1097" o:spt="1" style="position:absolute;left:4551;top:52615;height:1175;width:8546;v-text-anchor:middle;" fillcolor="#D9D9D9"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9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1517.64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278.51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532.05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23.01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141.31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17.36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130.20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6.30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174.63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6.30</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125.07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5.55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16.97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73.22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91.54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32.03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12.50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18.68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24.04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86.52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41.69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182.80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206.52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17.90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14.78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118.61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4.76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9.07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10.32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45.26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7.11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14.39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1724.16</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284.80</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092" o:spid="_x0000_s1092" o:spt="203" style="position:absolute;left:0pt;margin-left:-82.75pt;margin-top:-81.1pt;height:41.2pt;width:243.2pt;mso-position-vertical-relative:page;z-index:251680768;mso-width-relative:page;mso-height-relative:page;" coordorigin="4551,52615" coordsize="8546,1398203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v:rect id="矩形 13" o:spid="_x0000_s1094" o:spt="1" style="position:absolute;left:4551;top:52615;height:1175;width:8546;v-text-anchor:middle;" fillcolor="#D9D9D9"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3"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部门：石家庄市鹿泉区卫生和计划生育局</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16.20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16.20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16.20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10.32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10.32</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10.32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089" o:spid="_x0000_s1089" o:spt="203" style="position:absolute;left:0pt;margin-left:-80.9pt;margin-top:-81.1pt;height:41.2pt;width:243.2pt;mso-position-vertical-relative:page;z-index:251681792;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091"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0"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石家庄市鹿泉区卫生和计划生育局</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注：本部门本年度无相关收入（或支出、收支及结转结余等）情况，按要求空表列示。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086" o:spid="_x0000_s1086" o:spt="203" style="position:absolute;left:0pt;margin-left:-80.9pt;margin-top:-81.1pt;height:41.2pt;width:243.2pt;mso-position-vertical-relative:page;z-index:251682816;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088"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7"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编制单位：石家庄市鹿泉区卫生和计划生育局</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w:t>
            </w: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083" o:spid="_x0000_s1083" o:spt="203" style="position:absolute;left:0pt;margin-left:-80.9pt;margin-top:-81.1pt;height:41.2pt;width:243.2pt;mso-position-vertical-relative:page;z-index:251683840;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085"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4"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2"/>
                <w:szCs w:val="22"/>
              </w:rPr>
              <w:t>石家庄市鹿泉区卫生和计划生育局</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1853.12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1853.12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1853.12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1833.12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1833.12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1833.12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1700.97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1700.97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1700.97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1680.97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1680.97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1680.97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9100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 w:hAnsi="仿宋" w:eastAsia="仿宋" w:cs="DengXian-Regular"/>
          <w:sz w:val="32"/>
          <w:szCs w:val="32"/>
        </w:rPr>
        <w:t>本部门2018年度收支总计（含结转和结余）27223.69万元。与2017年度决算相比，收入增加1597.98万元，增长13.58%，支出增加1354.98万元，增长10.84%，主要原因是日常公用经费人均补助标准提高，收支增长，项目资金的人均补助标准也调高，收支也随着增长，根据政府工作要求，追加啤酒节除四害、创建国家卫生城市、永壁分院门诊病房楼建设项目等</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pPr>
      <w:r>
        <w:rPr>
          <w:rFonts w:hint="eastAsia" w:ascii="仿宋_GB2312" w:eastAsia="仿宋_GB2312" w:cs="DengXian-Regular"/>
          <w:sz w:val="32"/>
          <w:szCs w:val="32"/>
        </w:rPr>
        <w:t>本部门2018年度本年收入合计13367.48万元，其中：财政拨款收入12668.66万元，占</w:t>
      </w:r>
      <w:r>
        <w:rPr>
          <w:rFonts w:hint="eastAsia" w:ascii="宋体" w:hAnsi="宋体" w:cs="宋体"/>
          <w:sz w:val="32"/>
          <w:szCs w:val="32"/>
        </w:rPr>
        <w:t>94.77</w:t>
      </w:r>
      <w:r>
        <w:rPr>
          <w:rFonts w:hint="eastAsia" w:ascii="仿宋_GB2312" w:eastAsia="仿宋_GB2312" w:cs="DengXian-Regular"/>
          <w:sz w:val="32"/>
          <w:szCs w:val="32"/>
        </w:rPr>
        <w:t>%；其他收入6</w:t>
      </w:r>
      <w:r>
        <w:rPr>
          <w:rFonts w:hint="eastAsia" w:ascii="宋体" w:hAnsi="宋体" w:cs="宋体"/>
          <w:sz w:val="32"/>
          <w:szCs w:val="32"/>
        </w:rPr>
        <w:t>98.83</w:t>
      </w:r>
      <w:r>
        <w:rPr>
          <w:rFonts w:hint="eastAsia" w:ascii="仿宋_GB2312" w:eastAsia="仿宋_GB2312" w:cs="DengXian-Regular"/>
          <w:sz w:val="32"/>
          <w:szCs w:val="32"/>
        </w:rPr>
        <w:t>万元，占5.23%。如图所示：</w:t>
      </w:r>
    </w:p>
    <w:p>
      <w:pPr>
        <w:jc w:val="center"/>
      </w:pPr>
      <w:r>
        <w:drawing>
          <wp:inline distT="0" distB="0" distL="0" distR="0">
            <wp:extent cx="3732530" cy="1381125"/>
            <wp:effectExtent l="19050" t="0" r="1270" b="0"/>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102"/>
                    <pic:cNvPicPr>
                      <a:picLocks noChangeAspect="1" noChangeArrowheads="1"/>
                    </pic:cNvPicPr>
                  </pic:nvPicPr>
                  <pic:blipFill>
                    <a:blip r:embed="rId8" cstate="print"/>
                    <a:srcRect/>
                    <a:stretch>
                      <a:fillRect/>
                    </a:stretch>
                  </pic:blipFill>
                  <pic:spPr>
                    <a:xfrm>
                      <a:off x="0" y="0"/>
                      <a:ext cx="3737377" cy="1382919"/>
                    </a:xfrm>
                    <a:prstGeom prst="rect">
                      <a:avLst/>
                    </a:prstGeom>
                    <a:noFill/>
                  </pic:spPr>
                </pic:pic>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cs="DengXian-Regular" w:eastAsiaTheme="minorEastAsia"/>
          <w:color w:val="00B0F0"/>
          <w:sz w:val="32"/>
          <w:szCs w:val="32"/>
        </w:rPr>
      </w:pPr>
      <w:r>
        <w:rPr>
          <w:rFonts w:hint="eastAsia" w:ascii="仿宋_GB2312" w:eastAsia="仿宋_GB2312" w:cs="DengXian-Regular"/>
          <w:sz w:val="32"/>
          <w:szCs w:val="32"/>
        </w:rPr>
        <w:t>本部门2018年度本年支出合计13252.84万元，其中：基本支出2015.</w:t>
      </w:r>
      <w:r>
        <w:rPr>
          <w:rFonts w:hint="eastAsia" w:ascii="宋体" w:hAnsi="宋体" w:cs="宋体"/>
          <w:sz w:val="32"/>
          <w:szCs w:val="32"/>
        </w:rPr>
        <w:t>9</w:t>
      </w:r>
      <w:r>
        <w:rPr>
          <w:rFonts w:hint="eastAsia" w:ascii="仿宋_GB2312" w:eastAsia="仿宋_GB2312" w:cs="DengXian-Regular"/>
          <w:sz w:val="32"/>
          <w:szCs w:val="32"/>
        </w:rPr>
        <w:t>2万元，占15.21%；项目支出11236.</w:t>
      </w:r>
      <w:r>
        <w:rPr>
          <w:rFonts w:hint="eastAsia" w:ascii="宋体" w:hAnsi="宋体" w:cs="宋体"/>
          <w:sz w:val="32"/>
          <w:szCs w:val="32"/>
        </w:rPr>
        <w:t>92</w:t>
      </w:r>
      <w:r>
        <w:rPr>
          <w:rFonts w:hint="eastAsia" w:ascii="仿宋_GB2312" w:eastAsia="仿宋_GB2312" w:cs="DengXian-Regular"/>
          <w:sz w:val="32"/>
          <w:szCs w:val="32"/>
        </w:rPr>
        <w:t>万元，占84.7</w:t>
      </w:r>
      <w:r>
        <w:rPr>
          <w:rFonts w:hint="eastAsia" w:ascii="宋体" w:hAnsi="宋体" w:cs="宋体"/>
          <w:sz w:val="32"/>
          <w:szCs w:val="32"/>
        </w:rPr>
        <w:t>9</w:t>
      </w:r>
      <w:r>
        <w:rPr>
          <w:rFonts w:hint="eastAsia" w:ascii="仿宋_GB2312" w:eastAsia="仿宋_GB2312" w:cs="DengXian-Regular"/>
          <w:sz w:val="32"/>
          <w:szCs w:val="32"/>
        </w:rPr>
        <w:t xml:space="preserve">%。如图所示： </w:t>
      </w:r>
      <w:r>
        <w:rPr>
          <w:rFonts w:hint="eastAsia" w:ascii="仿宋_GB2312" w:eastAsia="仿宋_GB2312" w:cs="DengXian-Regular"/>
          <w:color w:val="00B0F0"/>
          <w:sz w:val="32"/>
          <w:szCs w:val="32"/>
        </w:rPr>
        <w:t xml:space="preserve">  </w:t>
      </w:r>
    </w:p>
    <w:p>
      <w:r>
        <w:drawing>
          <wp:inline distT="0" distB="0" distL="0" distR="0">
            <wp:extent cx="5743575" cy="2009775"/>
            <wp:effectExtent l="19050" t="0" r="0" b="0"/>
            <wp:docPr id="2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形成的财政拨款收支均为一般公共预算财政拨款，其中一般公共预算财政拨款本年收入12668.66万元,比2017年度增加1307.44万元，增长11.51%，主要是基本公共卫生项目人均补助标准提高5元，共计比2017年增加268.25万元，永壁分院门诊病房楼建设项目为新增项目，共计1368万元，公立医院药品零差补助随着药品收入增长，比上年度增加87.40万元；本年支出13048.33万元，增加1802.71万元，增长16.03%，主要是基本公共卫生项目人均补助标准提高5元，共计比2017年增加268.25万元，永壁分院门诊病房楼建设项目为新增项目，共计1368万元，公立医院药品零差补助随着药品收入增长，比上年度增加87.40万元。</w:t>
      </w: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580" w:lineRule="exact"/>
        <w:ind w:firstLine="640" w:firstLineChars="200"/>
        <w:rPr>
          <w:rFonts w:ascii="仿宋" w:hAnsi="仿宋" w:eastAsia="仿宋" w:cs="DengXian-Regular"/>
          <w:sz w:val="32"/>
          <w:szCs w:val="32"/>
        </w:rPr>
      </w:pPr>
    </w:p>
    <w:p>
      <w:pPr>
        <w:spacing w:after="0" w:line="580" w:lineRule="exact"/>
        <w:ind w:firstLine="643" w:firstLineChars="200"/>
        <w:jc w:val="center"/>
        <w:rPr>
          <w:rFonts w:ascii="楷体_GB2312" w:cs="DengXian-Bold" w:eastAsiaTheme="minorEastAsia"/>
          <w:b/>
          <w:bCs/>
          <w:sz w:val="32"/>
          <w:szCs w:val="32"/>
        </w:rPr>
      </w:pPr>
      <w:r>
        <w:rPr>
          <w:rFonts w:ascii="楷体_GB2312" w:cs="DengXian-Bold" w:eastAsiaTheme="minorEastAsia"/>
          <w:b/>
          <w:bCs/>
          <w:sz w:val="32"/>
          <w:szCs w:val="32"/>
        </w:rPr>
        <w:drawing>
          <wp:anchor distT="0" distB="0" distL="114300" distR="114300" simplePos="0" relativeHeight="251693056" behindDoc="0" locked="0" layoutInCell="1" allowOverlap="1">
            <wp:simplePos x="0" y="0"/>
            <wp:positionH relativeFrom="column">
              <wp:posOffset>991870</wp:posOffset>
            </wp:positionH>
            <wp:positionV relativeFrom="paragraph">
              <wp:posOffset>-1903730</wp:posOffset>
            </wp:positionV>
            <wp:extent cx="4067175" cy="2200275"/>
            <wp:effectExtent l="19050" t="0" r="9525" b="0"/>
            <wp:wrapNone/>
            <wp:docPr id="105" name="图片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104"/>
                    <pic:cNvPicPr>
                      <a:picLocks noChangeAspect="1" noChangeArrowheads="1"/>
                    </pic:cNvPicPr>
                  </pic:nvPicPr>
                  <pic:blipFill>
                    <a:blip r:embed="rId10" cstate="print"/>
                    <a:srcRect/>
                    <a:stretch>
                      <a:fillRect/>
                    </a:stretch>
                  </pic:blipFill>
                  <pic:spPr>
                    <a:xfrm>
                      <a:off x="0" y="0"/>
                      <a:ext cx="4067175" cy="2200275"/>
                    </a:xfrm>
                    <a:prstGeom prst="rect">
                      <a:avLst/>
                    </a:prstGeom>
                    <a:noFill/>
                  </pic:spPr>
                </pic:pic>
              </a:graphicData>
            </a:graphic>
          </wp:anchor>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一般公共预算财政拨款收入12668.66万元，完成年初预算的125.54%,比年初预算增加2577.30万元，决算数大于预算数主要原因是中央下达永壁分院门诊病房楼建设资金1368万元，基本公共卫生项目年中中央下达282.97万元区级下达55.85万元，公立医院综合医改年中中央下达155万元，村卫生室药品零差补助根据资金需要区级下达127.09万元，公立医院药品零差补助根据实际工作追加82.81万元，根据实际工作追加项目有啤酒节除四害27.62万元、创建国家卫生城市51.27万元、创卫优胜单位奖励12万元等；本年支出12455.03万元，完成年初预算的123.42%,比年初预算增加2363.67万元，决算数大于预算数主要原因是支付永壁分院门诊病房楼建设资金1368万元，基本公共卫生项目年中中央下达282.97万元区级下达55.85万元，公立医院综合医改年中中央下达155万元，村卫生室药品零差补助根据资金需要区级下达127.09万元，公立医院药品零差补助根据实际工作追加82.81万元，根据实际工作追加项目有啤酒节除四害27.62万元、创建国家卫生城市51.27万元、创卫优胜单位奖励12万元等。</w:t>
      </w: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580" w:lineRule="exact"/>
        <w:ind w:firstLine="640" w:firstLineChars="200"/>
        <w:jc w:val="center"/>
        <w:rPr>
          <w:rFonts w:ascii="仿宋" w:hAnsi="仿宋" w:eastAsia="仿宋" w:cs="DengXian-Regular"/>
          <w:sz w:val="32"/>
          <w:szCs w:val="32"/>
        </w:rPr>
      </w:pPr>
      <w:r>
        <w:rPr>
          <w:rFonts w:ascii="仿宋" w:hAnsi="仿宋" w:eastAsia="仿宋" w:cs="DengXian-Regular"/>
          <w:sz w:val="32"/>
          <w:szCs w:val="32"/>
        </w:rPr>
        <w:drawing>
          <wp:anchor distT="0" distB="0" distL="114300" distR="114300" simplePos="0" relativeHeight="251692032" behindDoc="0" locked="0" layoutInCell="1" allowOverlap="1">
            <wp:simplePos x="0" y="0"/>
            <wp:positionH relativeFrom="column">
              <wp:posOffset>1049020</wp:posOffset>
            </wp:positionH>
            <wp:positionV relativeFrom="paragraph">
              <wp:posOffset>-2072005</wp:posOffset>
            </wp:positionV>
            <wp:extent cx="3933825" cy="2371725"/>
            <wp:effectExtent l="19050" t="0" r="9525" b="0"/>
            <wp:wrapNone/>
            <wp:docPr id="29"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03"/>
                    <pic:cNvPicPr>
                      <a:picLocks noChangeAspect="1" noChangeArrowheads="1"/>
                    </pic:cNvPicPr>
                  </pic:nvPicPr>
                  <pic:blipFill>
                    <a:blip r:embed="rId11" cstate="print"/>
                    <a:srcRect/>
                    <a:stretch>
                      <a:fillRect/>
                    </a:stretch>
                  </pic:blipFill>
                  <pic:spPr>
                    <a:xfrm>
                      <a:off x="0" y="0"/>
                      <a:ext cx="3933825" cy="2371725"/>
                    </a:xfrm>
                    <a:prstGeom prst="rect">
                      <a:avLst/>
                    </a:prstGeom>
                    <a:noFill/>
                  </pic:spPr>
                </pic:pic>
              </a:graphicData>
            </a:graphic>
          </wp:anchor>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2018 年度财政拨款支出12455.03万元，主要用于以下方面：社会保障和就业支出（类）支出86.80万元，占0.7%；医疗</w:t>
      </w:r>
      <w:r>
        <w:rPr>
          <w:rFonts w:hint="eastAsia" w:ascii="宋体" w:hAnsi="宋体" w:cs="宋体"/>
          <w:sz w:val="32"/>
          <w:szCs w:val="32"/>
        </w:rPr>
        <w:t>卫</w:t>
      </w:r>
      <w:r>
        <w:rPr>
          <w:rFonts w:hint="eastAsia" w:ascii="___WRD_EMBED_SUB_41" w:hAnsi="___WRD_EMBED_SUB_41" w:eastAsia="___WRD_EMBED_SUB_41" w:cs="___WRD_EMBED_SUB_41"/>
          <w:sz w:val="32"/>
          <w:szCs w:val="32"/>
        </w:rPr>
        <w:t>生与计</w:t>
      </w:r>
      <w:r>
        <w:rPr>
          <w:rFonts w:hint="eastAsia" w:ascii="宋体" w:hAnsi="宋体" w:cs="宋体"/>
          <w:sz w:val="32"/>
          <w:szCs w:val="32"/>
        </w:rPr>
        <w:t>划</w:t>
      </w:r>
      <w:r>
        <w:rPr>
          <w:rFonts w:hint="eastAsia" w:ascii="___WRD_EMBED_SUB_41" w:hAnsi="___WRD_EMBED_SUB_41" w:eastAsia="___WRD_EMBED_SUB_41" w:cs="___WRD_EMBED_SUB_41"/>
          <w:sz w:val="32"/>
          <w:szCs w:val="32"/>
        </w:rPr>
        <w:t>生育（类）支出</w:t>
      </w:r>
      <w:r>
        <w:rPr>
          <w:rFonts w:hint="eastAsia" w:ascii="仿宋_GB2312" w:eastAsia="仿宋_GB2312" w:cs="DengXian-Regular"/>
          <w:sz w:val="32"/>
          <w:szCs w:val="32"/>
        </w:rPr>
        <w:t>12311.70万元，占</w:t>
      </w:r>
      <w:r>
        <w:rPr>
          <w:rFonts w:hint="eastAsia" w:ascii="宋体" w:hAnsi="宋体" w:cs="宋体"/>
          <w:sz w:val="32"/>
          <w:szCs w:val="32"/>
        </w:rPr>
        <w:t>9</w:t>
      </w:r>
      <w:r>
        <w:rPr>
          <w:rFonts w:hint="eastAsia" w:ascii="仿宋_GB2312" w:eastAsia="仿宋_GB2312" w:cs="DengXian-Regular"/>
          <w:sz w:val="32"/>
          <w:szCs w:val="32"/>
        </w:rPr>
        <w:t>8.85%；住房保障（类）支出56.52万元，占 0.45%。</w:t>
      </w:r>
    </w:p>
    <w:p>
      <w:pPr>
        <w:adjustRightInd w:val="0"/>
        <w:snapToGrid w:val="0"/>
        <w:spacing w:after="0" w:line="580" w:lineRule="exact"/>
        <w:ind w:firstLine="640" w:firstLineChars="200"/>
        <w:rPr>
          <w:rFonts w:ascii="仿宋_GB2312" w:cs="DengXian-Regular" w:eastAsiaTheme="minorEastAsia"/>
          <w:sz w:val="32"/>
          <w:szCs w:val="32"/>
        </w:rPr>
      </w:pPr>
    </w:p>
    <w:p>
      <w:pPr>
        <w:adjustRightInd w:val="0"/>
        <w:snapToGrid w:val="0"/>
        <w:spacing w:after="0" w:line="580" w:lineRule="exact"/>
        <w:ind w:firstLine="640" w:firstLineChars="200"/>
        <w:rPr>
          <w:rFonts w:ascii="仿宋_GB2312" w:cs="DengXian-Regular" w:eastAsiaTheme="minorEastAsia"/>
          <w:sz w:val="32"/>
          <w:szCs w:val="32"/>
        </w:rPr>
      </w:pPr>
    </w:p>
    <w:p>
      <w:pPr>
        <w:adjustRightInd w:val="0"/>
        <w:snapToGrid w:val="0"/>
        <w:spacing w:after="0" w:line="580" w:lineRule="exact"/>
        <w:ind w:firstLine="640" w:firstLineChars="200"/>
        <w:rPr>
          <w:rFonts w:ascii="仿宋_GB2312" w:cs="DengXian-Regular" w:eastAsiaTheme="minorEastAsia"/>
          <w:sz w:val="32"/>
          <w:szCs w:val="32"/>
        </w:rPr>
      </w:pPr>
    </w:p>
    <w:p>
      <w:pPr>
        <w:adjustRightInd w:val="0"/>
        <w:snapToGrid w:val="0"/>
        <w:spacing w:after="0" w:line="580" w:lineRule="exact"/>
        <w:ind w:firstLine="640" w:firstLineChars="200"/>
        <w:rPr>
          <w:rFonts w:ascii="仿宋_GB2312" w:cs="DengXian-Regular" w:eastAsiaTheme="minorEastAsia"/>
          <w:sz w:val="32"/>
          <w:szCs w:val="32"/>
        </w:rPr>
      </w:pPr>
    </w:p>
    <w:p>
      <w:pPr>
        <w:adjustRightInd w:val="0"/>
        <w:snapToGrid w:val="0"/>
        <w:spacing w:after="0" w:line="580" w:lineRule="exact"/>
        <w:ind w:firstLine="643" w:firstLineChars="200"/>
        <w:rPr>
          <w:rFonts w:ascii="楷体_GB2312" w:cs="DengXian-Bold" w:eastAsiaTheme="minorEastAsia"/>
          <w:b/>
          <w:bCs/>
          <w:sz w:val="32"/>
          <w:szCs w:val="32"/>
        </w:rPr>
      </w:pPr>
    </w:p>
    <w:p>
      <w:pPr>
        <w:adjustRightInd w:val="0"/>
        <w:snapToGrid w:val="0"/>
        <w:spacing w:after="0" w:line="580" w:lineRule="exact"/>
        <w:ind w:firstLine="643" w:firstLineChars="200"/>
        <w:rPr>
          <w:rFonts w:ascii="楷体_GB2312" w:cs="DengXian-Bold" w:eastAsiaTheme="minorEastAsia"/>
          <w:b/>
          <w:bCs/>
          <w:sz w:val="32"/>
          <w:szCs w:val="32"/>
        </w:rPr>
      </w:pPr>
      <w:r>
        <w:rPr>
          <w:rFonts w:ascii="楷体_GB2312" w:cs="DengXian-Bold" w:eastAsiaTheme="minorEastAsia"/>
          <w:b/>
          <w:bCs/>
          <w:sz w:val="32"/>
          <w:szCs w:val="32"/>
        </w:rPr>
        <w:drawing>
          <wp:anchor distT="0" distB="0" distL="114300" distR="114300" simplePos="0" relativeHeight="251694080" behindDoc="0" locked="0" layoutInCell="1" allowOverlap="1">
            <wp:simplePos x="0" y="0"/>
            <wp:positionH relativeFrom="column">
              <wp:posOffset>429895</wp:posOffset>
            </wp:positionH>
            <wp:positionV relativeFrom="paragraph">
              <wp:posOffset>-1617980</wp:posOffset>
            </wp:positionV>
            <wp:extent cx="4600575" cy="1914525"/>
            <wp:effectExtent l="19050" t="0" r="9525" b="0"/>
            <wp:wrapNone/>
            <wp:docPr id="112"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05"/>
                    <pic:cNvPicPr>
                      <a:picLocks noChangeAspect="1" noChangeArrowheads="1"/>
                    </pic:cNvPicPr>
                  </pic:nvPicPr>
                  <pic:blipFill>
                    <a:blip r:embed="rId12" cstate="print"/>
                    <a:srcRect/>
                    <a:stretch>
                      <a:fillRect/>
                    </a:stretch>
                  </pic:blipFill>
                  <pic:spPr>
                    <a:xfrm>
                      <a:off x="0" y="0"/>
                      <a:ext cx="4600575" cy="1914525"/>
                    </a:xfrm>
                    <a:prstGeom prst="rect">
                      <a:avLst/>
                    </a:prstGeom>
                    <a:noFill/>
                  </pic:spPr>
                </pic:pic>
              </a:graphicData>
            </a:graphic>
          </wp:anchor>
        </w:drawing>
      </w:r>
    </w:p>
    <w:p>
      <w:pPr>
        <w:adjustRightInd w:val="0"/>
        <w:snapToGrid w:val="0"/>
        <w:spacing w:after="0" w:line="580" w:lineRule="exact"/>
        <w:ind w:left="420" w:leftChars="2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84864;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style="mso-next-textbox:#矩形 14;">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年度一般公共预算财政拨款基本支出2008.</w:t>
      </w:r>
      <w:r>
        <w:rPr>
          <w:rFonts w:hint="eastAsia" w:ascii="宋体" w:hAnsi="宋体" w:cs="宋体"/>
          <w:sz w:val="32"/>
          <w:szCs w:val="32"/>
        </w:rPr>
        <w:t>97</w:t>
      </w:r>
      <w:r>
        <w:rPr>
          <w:rFonts w:hint="eastAsia" w:ascii="仿宋_GB2312" w:eastAsia="仿宋_GB2312" w:cs="DengXian-Regular"/>
          <w:sz w:val="32"/>
          <w:szCs w:val="32"/>
        </w:rPr>
        <w:t>万元，其中：人员经费1724.16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284.80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“三公”经费支出共计10.32万元，</w:t>
      </w:r>
      <w:r>
        <w:rPr>
          <w:rFonts w:hint="eastAsia" w:ascii="仿宋_GB2312" w:eastAsia="仿宋_GB2312" w:cs="DengXian-Regular"/>
          <w:b/>
          <w:bCs/>
          <w:sz w:val="32"/>
          <w:szCs w:val="32"/>
        </w:rPr>
        <w:t>较年初预算减少5.88万元，降低36.3%，</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8588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本部门2018年度因公出国（境）团组0个、共0人/参加其他单位组织的因公出国（境）团组0个、共0人/无本单位组织的出国（境）团组。因公出国（境）费支出较年初预算增加0万元，增长0%,主要是无此项工作任务。</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w:t>
      </w:r>
      <w:r>
        <w:rPr>
          <w:rFonts w:hint="eastAsia" w:ascii="宋体" w:hAnsi="宋体" w:cs="宋体"/>
          <w:b/>
          <w:bCs/>
          <w:sz w:val="32"/>
          <w:szCs w:val="32"/>
        </w:rPr>
        <w:t>0.32</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本部门2018年度公务用车购置及运行维护费较年初预算减少5.88万元，降低36.3%,主要是认真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本部门2018年度单位公务用车保有量5辆。公车运行维护费支出较年初预算减少5.88万元，降低36.3%,主要是认真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w:pict>
          <v:group id="_x0000_s1043" o:spid="_x0000_s1043" o:spt="203" style="position:absolute;left:0pt;margin-left:-0.55pt;margin-top:29.3pt;height:43.95pt;width:301.85pt;mso-position-horizontal-relative:page;mso-position-vertical-relative:page;z-index:251686912;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本部门2018年度公务接待共0批次、0人次。公务接待费支出较年初预算增加0万元，增长0%。</w:t>
      </w:r>
    </w:p>
    <w:p>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绩效预算管理改革督察要求，我局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优秀。</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（二）预算项目绩效评价开展情况。根据预算绩效管理要求，本单位组织对2018年度一般公共预算项目支出全面开展绩效自评，涉及1个项目，涉及资金</w:t>
      </w:r>
      <w:r>
        <w:rPr>
          <w:rFonts w:hint="eastAsia" w:cs="DengXian-Regular" w:asciiTheme="majorEastAsia" w:hAnsiTheme="majorEastAsia" w:eastAsiaTheme="majorEastAsia"/>
          <w:sz w:val="32"/>
          <w:szCs w:val="32"/>
        </w:rPr>
        <w:t>2510.5905</w:t>
      </w:r>
      <w:r>
        <w:rPr>
          <w:rFonts w:hint="eastAsia" w:ascii="仿宋_GB2312" w:eastAsia="仿宋_GB2312" w:cs="DengXian-Regular"/>
          <w:sz w:val="32"/>
          <w:szCs w:val="32"/>
        </w:rPr>
        <w:t>万元。从评价情况看，评价结果为优秀。</w:t>
      </w:r>
    </w:p>
    <w:p>
      <w:pPr>
        <w:adjustRightInd w:val="0"/>
        <w:snapToGrid w:val="0"/>
        <w:spacing w:after="0" w:line="580" w:lineRule="exact"/>
        <w:ind w:firstLine="640" w:firstLineChars="200"/>
        <w:rPr>
          <w:rFonts w:ascii="仿宋_GB2312" w:hAnsi="仿宋_GB2312" w:eastAsia="仿宋_GB2312" w:cs="仿宋_GB2312"/>
          <w:kern w:val="0"/>
          <w:sz w:val="32"/>
          <w:szCs w:val="32"/>
        </w:rPr>
      </w:pPr>
      <w:r>
        <w:rPr>
          <w:rFonts w:hint="eastAsia" w:ascii="仿宋_GB2312" w:eastAsia="仿宋_GB2312" w:cs="DengXian-Regular"/>
          <w:sz w:val="32"/>
          <w:szCs w:val="32"/>
        </w:rPr>
        <w:t>（三）预算项目绩效自评选例。本单位基本公共卫生服务项目绩效自评：根据年初设定的绩效目标，基本公共卫生服务项目绩效自评结果为优秀。项目全年预算数为</w:t>
      </w:r>
      <w:r>
        <w:rPr>
          <w:rFonts w:hint="eastAsia" w:cs="DengXian-Regular" w:asciiTheme="majorEastAsia" w:hAnsiTheme="majorEastAsia" w:eastAsiaTheme="majorEastAsia"/>
          <w:sz w:val="32"/>
          <w:szCs w:val="32"/>
        </w:rPr>
        <w:t>2510.5905</w:t>
      </w:r>
      <w:r>
        <w:rPr>
          <w:rFonts w:hint="eastAsia" w:ascii="仿宋_GB2312" w:eastAsia="仿宋_GB2312" w:cs="DengXian-Regular"/>
          <w:sz w:val="32"/>
          <w:szCs w:val="32"/>
        </w:rPr>
        <w:t>万元，执行数为</w:t>
      </w:r>
      <w:r>
        <w:rPr>
          <w:rFonts w:hint="eastAsia" w:cs="DengXian-Regular" w:asciiTheme="majorEastAsia" w:hAnsiTheme="majorEastAsia" w:eastAsiaTheme="majorEastAsia"/>
          <w:sz w:val="32"/>
          <w:szCs w:val="32"/>
        </w:rPr>
        <w:t>2510.5905</w:t>
      </w:r>
      <w:r>
        <w:rPr>
          <w:rFonts w:hint="eastAsia" w:ascii="仿宋_GB2312" w:eastAsia="仿宋_GB2312" w:cs="DengXian-Regular"/>
          <w:sz w:val="32"/>
          <w:szCs w:val="32"/>
        </w:rPr>
        <w:t>万元，完成预算的</w:t>
      </w:r>
      <w:r>
        <w:rPr>
          <w:rFonts w:hint="eastAsia" w:cs="DengXian-Regular" w:asciiTheme="majorEastAsia" w:hAnsiTheme="majorEastAsia" w:eastAsiaTheme="majorEastAsia"/>
          <w:sz w:val="32"/>
          <w:szCs w:val="32"/>
        </w:rPr>
        <w:t>100%。</w:t>
      </w:r>
      <w:r>
        <w:rPr>
          <w:rFonts w:hint="eastAsia" w:ascii="仿宋_GB2312" w:eastAsia="仿宋_GB2312" w:cs="DengXian-Regular"/>
          <w:sz w:val="32"/>
          <w:szCs w:val="32"/>
        </w:rPr>
        <w:t>主要产出和效果是：1.全区城乡居民建立电子化健康档案</w:t>
      </w:r>
      <w:r>
        <w:rPr>
          <w:rFonts w:hint="eastAsia" w:cs="DengXian-Regular" w:asciiTheme="majorEastAsia" w:hAnsiTheme="majorEastAsia" w:eastAsiaTheme="majorEastAsia"/>
          <w:sz w:val="32"/>
          <w:szCs w:val="32"/>
        </w:rPr>
        <w:t>41.90</w:t>
      </w:r>
      <w:r>
        <w:rPr>
          <w:rFonts w:hint="eastAsia" w:ascii="仿宋_GB2312" w:eastAsia="仿宋_GB2312" w:cs="DengXian-Regular"/>
          <w:sz w:val="32"/>
          <w:szCs w:val="32"/>
        </w:rPr>
        <w:t>万人份，电子健康档案建档</w:t>
      </w:r>
      <w:r>
        <w:rPr>
          <w:rFonts w:hint="eastAsia" w:cs="DengXian-Regular" w:asciiTheme="majorEastAsia" w:hAnsiTheme="majorEastAsia" w:eastAsiaTheme="majorEastAsia"/>
          <w:sz w:val="32"/>
          <w:szCs w:val="32"/>
        </w:rPr>
        <w:t>率91.79%</w:t>
      </w:r>
      <w:r>
        <w:rPr>
          <w:rFonts w:hint="eastAsia" w:ascii="仿宋_GB2312" w:eastAsia="仿宋_GB2312" w:cs="DengXian-Regular"/>
          <w:sz w:val="32"/>
          <w:szCs w:val="32"/>
        </w:rPr>
        <w:t>，健康档案合格率达到</w:t>
      </w:r>
      <w:r>
        <w:rPr>
          <w:rFonts w:hint="eastAsia" w:cs="DengXian-Regular" w:asciiTheme="majorEastAsia" w:hAnsiTheme="majorEastAsia" w:eastAsiaTheme="majorEastAsia"/>
          <w:sz w:val="32"/>
          <w:szCs w:val="32"/>
        </w:rPr>
        <w:t>90%</w:t>
      </w:r>
      <w:r>
        <w:rPr>
          <w:rFonts w:hint="eastAsia" w:ascii="仿宋_GB2312" w:eastAsia="仿宋_GB2312" w:cs="DengXian-Regular"/>
          <w:sz w:val="32"/>
          <w:szCs w:val="32"/>
        </w:rPr>
        <w:t>以上。2.全区</w:t>
      </w:r>
      <w:r>
        <w:rPr>
          <w:rFonts w:hint="eastAsia" w:cs="DengXian-Regular" w:asciiTheme="majorEastAsia" w:hAnsiTheme="majorEastAsia" w:eastAsiaTheme="majorEastAsia"/>
          <w:sz w:val="32"/>
          <w:szCs w:val="32"/>
        </w:rPr>
        <w:t>0—6</w:t>
      </w:r>
      <w:r>
        <w:rPr>
          <w:rFonts w:hint="eastAsia" w:ascii="仿宋_GB2312" w:eastAsia="仿宋_GB2312" w:cs="DengXian-Regular"/>
          <w:sz w:val="32"/>
          <w:szCs w:val="32"/>
        </w:rPr>
        <w:t>岁儿童共</w:t>
      </w:r>
      <w:r>
        <w:rPr>
          <w:rFonts w:hint="eastAsia" w:cs="DengXian-Regular" w:asciiTheme="majorEastAsia" w:hAnsiTheme="majorEastAsia" w:eastAsiaTheme="majorEastAsia"/>
          <w:sz w:val="32"/>
          <w:szCs w:val="32"/>
        </w:rPr>
        <w:t>46237</w:t>
      </w:r>
      <w:r>
        <w:rPr>
          <w:rFonts w:hint="eastAsia" w:ascii="仿宋_GB2312" w:eastAsia="仿宋_GB2312" w:cs="DengXian-Regular"/>
          <w:sz w:val="32"/>
          <w:szCs w:val="32"/>
        </w:rPr>
        <w:t>人，系统管理人数</w:t>
      </w:r>
      <w:r>
        <w:rPr>
          <w:rFonts w:hint="eastAsia" w:cs="DengXian-Regular" w:asciiTheme="majorEastAsia" w:hAnsiTheme="majorEastAsia" w:eastAsiaTheme="majorEastAsia"/>
          <w:sz w:val="32"/>
          <w:szCs w:val="32"/>
        </w:rPr>
        <w:t>41111</w:t>
      </w:r>
      <w:r>
        <w:rPr>
          <w:rFonts w:hint="eastAsia" w:ascii="仿宋_GB2312" w:eastAsia="仿宋_GB2312" w:cs="DengXian-Regular"/>
          <w:sz w:val="32"/>
          <w:szCs w:val="32"/>
        </w:rPr>
        <w:t>，系统管理率</w:t>
      </w:r>
      <w:r>
        <w:rPr>
          <w:rFonts w:hint="eastAsia" w:cs="DengXian-Regular" w:asciiTheme="majorEastAsia" w:hAnsiTheme="majorEastAsia" w:eastAsiaTheme="majorEastAsia"/>
          <w:sz w:val="32"/>
          <w:szCs w:val="32"/>
        </w:rPr>
        <w:t>88.91%</w:t>
      </w:r>
      <w:r>
        <w:rPr>
          <w:rFonts w:hint="eastAsia" w:ascii="仿宋_GB2312" w:eastAsia="仿宋_GB2312" w:cs="DengXian-Regular"/>
          <w:sz w:val="32"/>
          <w:szCs w:val="32"/>
        </w:rPr>
        <w:t>，新生儿访视人数</w:t>
      </w:r>
      <w:r>
        <w:rPr>
          <w:rFonts w:hint="eastAsia" w:cs="DengXian-Regular" w:asciiTheme="majorEastAsia" w:hAnsiTheme="majorEastAsia" w:eastAsiaTheme="majorEastAsia"/>
          <w:sz w:val="32"/>
          <w:szCs w:val="32"/>
        </w:rPr>
        <w:t>5918</w:t>
      </w:r>
      <w:r>
        <w:rPr>
          <w:rFonts w:hint="eastAsia" w:ascii="仿宋_GB2312" w:eastAsia="仿宋_GB2312" w:cs="DengXian-Regular"/>
          <w:sz w:val="32"/>
          <w:szCs w:val="32"/>
        </w:rPr>
        <w:t>，新生儿访视</w:t>
      </w:r>
      <w:r>
        <w:rPr>
          <w:rFonts w:hint="eastAsia" w:cs="DengXian-Regular" w:asciiTheme="majorEastAsia" w:hAnsiTheme="majorEastAsia" w:eastAsiaTheme="majorEastAsia"/>
          <w:sz w:val="32"/>
          <w:szCs w:val="32"/>
        </w:rPr>
        <w:t>率96.18%</w:t>
      </w:r>
      <w:r>
        <w:rPr>
          <w:rFonts w:hint="eastAsia" w:ascii="仿宋_GB2312" w:eastAsia="仿宋_GB2312" w:cs="DengXian-Regular"/>
          <w:sz w:val="32"/>
          <w:szCs w:val="32"/>
        </w:rPr>
        <w:t>。3.辖区内65岁及以上老年人提供健康管理服务</w:t>
      </w:r>
      <w:r>
        <w:rPr>
          <w:rFonts w:hint="eastAsia" w:cs="DengXian-Regular" w:asciiTheme="majorEastAsia" w:hAnsiTheme="majorEastAsia" w:eastAsiaTheme="majorEastAsia"/>
          <w:sz w:val="32"/>
          <w:szCs w:val="32"/>
        </w:rPr>
        <w:t>37491</w:t>
      </w:r>
      <w:r>
        <w:rPr>
          <w:rFonts w:hint="eastAsia" w:ascii="仿宋_GB2312" w:eastAsia="仿宋_GB2312" w:cs="DengXian-Regular"/>
          <w:sz w:val="32"/>
          <w:szCs w:val="32"/>
        </w:rPr>
        <w:t>人，老年人健康管理率达到</w:t>
      </w:r>
      <w:r>
        <w:rPr>
          <w:rFonts w:hint="eastAsia" w:cs="DengXian-Regular" w:asciiTheme="majorEastAsia" w:hAnsiTheme="majorEastAsia" w:eastAsiaTheme="majorEastAsia"/>
          <w:sz w:val="32"/>
          <w:szCs w:val="32"/>
        </w:rPr>
        <w:t>70%</w:t>
      </w:r>
      <w:r>
        <w:rPr>
          <w:rFonts w:hint="eastAsia" w:ascii="仿宋_GB2312" w:eastAsia="仿宋_GB2312" w:cs="DengXian-Regular"/>
          <w:sz w:val="32"/>
          <w:szCs w:val="32"/>
        </w:rPr>
        <w:t>。4.应管理高血压和糖尿病分别为</w:t>
      </w:r>
      <w:r>
        <w:rPr>
          <w:rFonts w:hint="eastAsia" w:cs="DengXian-Regular" w:asciiTheme="majorEastAsia" w:hAnsiTheme="majorEastAsia" w:eastAsiaTheme="majorEastAsia"/>
          <w:sz w:val="32"/>
          <w:szCs w:val="32"/>
        </w:rPr>
        <w:t>9.03</w:t>
      </w:r>
      <w:r>
        <w:rPr>
          <w:rFonts w:hint="eastAsia" w:ascii="仿宋_GB2312" w:eastAsia="仿宋_GB2312" w:cs="DengXian-Regular"/>
          <w:sz w:val="32"/>
          <w:szCs w:val="32"/>
        </w:rPr>
        <w:t>万人和</w:t>
      </w:r>
      <w:r>
        <w:rPr>
          <w:rFonts w:hint="eastAsia" w:cs="DengXian-Regular" w:asciiTheme="majorEastAsia" w:hAnsiTheme="majorEastAsia" w:eastAsiaTheme="majorEastAsia"/>
          <w:sz w:val="32"/>
          <w:szCs w:val="32"/>
        </w:rPr>
        <w:t>3.59</w:t>
      </w:r>
      <w:r>
        <w:rPr>
          <w:rFonts w:hint="eastAsia" w:ascii="仿宋_GB2312" w:eastAsia="仿宋_GB2312" w:cs="DengXian-Regular"/>
          <w:sz w:val="32"/>
          <w:szCs w:val="32"/>
        </w:rPr>
        <w:t>万人，已管理高血压和糖尿病分别为</w:t>
      </w:r>
      <w:r>
        <w:rPr>
          <w:rFonts w:hint="eastAsia" w:cs="DengXian-Regular" w:asciiTheme="majorEastAsia" w:hAnsiTheme="majorEastAsia" w:eastAsiaTheme="majorEastAsia"/>
          <w:sz w:val="32"/>
          <w:szCs w:val="32"/>
        </w:rPr>
        <w:t>4.61</w:t>
      </w:r>
      <w:r>
        <w:rPr>
          <w:rFonts w:hint="eastAsia" w:ascii="仿宋_GB2312" w:eastAsia="仿宋_GB2312" w:cs="DengXian-Regular"/>
          <w:sz w:val="32"/>
          <w:szCs w:val="32"/>
        </w:rPr>
        <w:t>万人和</w:t>
      </w:r>
      <w:r>
        <w:rPr>
          <w:rFonts w:hint="eastAsia" w:cs="DengXian-Regular" w:asciiTheme="majorEastAsia" w:hAnsiTheme="majorEastAsia" w:eastAsiaTheme="majorEastAsia"/>
          <w:sz w:val="32"/>
          <w:szCs w:val="32"/>
        </w:rPr>
        <w:t>1.78</w:t>
      </w:r>
      <w:r>
        <w:rPr>
          <w:rFonts w:hint="eastAsia" w:ascii="仿宋_GB2312" w:eastAsia="仿宋_GB2312" w:cs="DengXian-Regular"/>
          <w:sz w:val="32"/>
          <w:szCs w:val="32"/>
        </w:rPr>
        <w:t>万人。规范管理高血压和糖尿病患者</w:t>
      </w:r>
      <w:r>
        <w:rPr>
          <w:rFonts w:hint="eastAsia" w:cs="DengXian-Regular" w:asciiTheme="majorEastAsia" w:hAnsiTheme="majorEastAsia" w:eastAsiaTheme="majorEastAsia"/>
          <w:sz w:val="32"/>
          <w:szCs w:val="32"/>
        </w:rPr>
        <w:t>3.29</w:t>
      </w:r>
      <w:r>
        <w:rPr>
          <w:rFonts w:hint="eastAsia" w:ascii="仿宋_GB2312" w:eastAsia="仿宋_GB2312" w:cs="DengXian-Regular"/>
          <w:sz w:val="32"/>
          <w:szCs w:val="32"/>
        </w:rPr>
        <w:t>万人和</w:t>
      </w:r>
      <w:r>
        <w:rPr>
          <w:rFonts w:hint="eastAsia" w:cs="DengXian-Regular" w:asciiTheme="majorEastAsia" w:hAnsiTheme="majorEastAsia" w:eastAsiaTheme="majorEastAsia"/>
          <w:sz w:val="32"/>
          <w:szCs w:val="32"/>
        </w:rPr>
        <w:t>1.27</w:t>
      </w:r>
      <w:r>
        <w:rPr>
          <w:rFonts w:hint="eastAsia" w:ascii="仿宋_GB2312" w:eastAsia="仿宋_GB2312" w:cs="DengXian-Regular"/>
          <w:sz w:val="32"/>
          <w:szCs w:val="32"/>
        </w:rPr>
        <w:t>万人，规范管理率分别达到了</w:t>
      </w:r>
      <w:r>
        <w:rPr>
          <w:rFonts w:hint="eastAsia" w:cs="DengXian-Regular" w:asciiTheme="majorEastAsia" w:hAnsiTheme="majorEastAsia" w:eastAsiaTheme="majorEastAsia"/>
          <w:sz w:val="32"/>
          <w:szCs w:val="32"/>
        </w:rPr>
        <w:t>70.35%</w:t>
      </w:r>
      <w:r>
        <w:rPr>
          <w:rFonts w:hint="eastAsia" w:ascii="仿宋_GB2312" w:eastAsia="仿宋_GB2312" w:cs="DengXian-Regular"/>
          <w:sz w:val="32"/>
          <w:szCs w:val="32"/>
        </w:rPr>
        <w:t>和</w:t>
      </w:r>
      <w:r>
        <w:rPr>
          <w:rFonts w:hint="eastAsia" w:cs="DengXian-Regular" w:asciiTheme="majorEastAsia" w:hAnsiTheme="majorEastAsia" w:eastAsiaTheme="majorEastAsia"/>
          <w:sz w:val="32"/>
          <w:szCs w:val="32"/>
        </w:rPr>
        <w:t>70.69%</w:t>
      </w:r>
      <w:r>
        <w:rPr>
          <w:rFonts w:hint="eastAsia" w:ascii="仿宋_GB2312" w:eastAsia="仿宋_GB2312" w:cs="DengXian-Regular"/>
          <w:sz w:val="32"/>
          <w:szCs w:val="32"/>
        </w:rPr>
        <w:t>。5.辖区居民健康档案动态使用率达到</w:t>
      </w:r>
      <w:r>
        <w:rPr>
          <w:rFonts w:hint="eastAsia" w:cs="DengXian-Regular" w:asciiTheme="majorEastAsia" w:hAnsiTheme="majorEastAsia" w:eastAsiaTheme="majorEastAsia"/>
          <w:sz w:val="32"/>
          <w:szCs w:val="32"/>
        </w:rPr>
        <w:t>52.76%</w:t>
      </w:r>
      <w:r>
        <w:rPr>
          <w:rFonts w:hint="eastAsia" w:ascii="仿宋_GB2312" w:eastAsia="仿宋_GB2312" w:cs="DengXian-Regular"/>
          <w:sz w:val="32"/>
          <w:szCs w:val="32"/>
        </w:rPr>
        <w:t>，高血压患者血压控制率</w:t>
      </w:r>
      <w:r>
        <w:rPr>
          <w:rFonts w:hint="eastAsia" w:cs="DengXian-Regular" w:asciiTheme="majorEastAsia" w:hAnsiTheme="majorEastAsia" w:eastAsiaTheme="majorEastAsia"/>
          <w:sz w:val="32"/>
          <w:szCs w:val="32"/>
        </w:rPr>
        <w:t>75.82%</w:t>
      </w:r>
      <w:r>
        <w:rPr>
          <w:rFonts w:hint="eastAsia" w:ascii="仿宋_GB2312" w:eastAsia="仿宋_GB2312" w:cs="DengXian-Regular"/>
          <w:sz w:val="32"/>
          <w:szCs w:val="32"/>
        </w:rPr>
        <w:t>，糖尿病患者血糖控制</w:t>
      </w:r>
      <w:r>
        <w:rPr>
          <w:rFonts w:hint="eastAsia" w:cs="DengXian-Regular" w:asciiTheme="majorEastAsia" w:hAnsiTheme="majorEastAsia" w:eastAsiaTheme="majorEastAsia"/>
          <w:sz w:val="32"/>
          <w:szCs w:val="32"/>
        </w:rPr>
        <w:t>率69.91</w:t>
      </w:r>
      <w:r>
        <w:rPr>
          <w:rFonts w:hint="eastAsia" w:ascii="仿宋_GB2312" w:eastAsia="仿宋_GB2312" w:cs="DengXian-Regular"/>
          <w:sz w:val="32"/>
          <w:szCs w:val="32"/>
        </w:rPr>
        <w:t>%，严重精神障碍患者稳定率</w:t>
      </w:r>
      <w:r>
        <w:rPr>
          <w:rFonts w:hint="eastAsia" w:cs="DengXian-Regular" w:asciiTheme="majorEastAsia" w:hAnsiTheme="majorEastAsia" w:eastAsiaTheme="majorEastAsia"/>
          <w:sz w:val="32"/>
          <w:szCs w:val="32"/>
        </w:rPr>
        <w:t>98.29%。</w:t>
      </w:r>
      <w:r>
        <w:rPr>
          <w:rFonts w:hint="eastAsia" w:ascii="仿宋_GB2312" w:eastAsia="仿宋_GB2312" w:cs="DengXian-Regular"/>
          <w:sz w:val="32"/>
          <w:szCs w:val="32"/>
        </w:rPr>
        <w:t>发现存在的问题是：1.对项目宣传重视程度不足，项目宣传形式较少。基本公共卫生服务知晓率、满意度需要进一步提高。2.基层基本公共卫生服务新增人员业务不熟练，能力有待进一步提高。3.高血压、糖尿病患者档案内容填写不规范，存在空项、错项、逻辑错误。下一步改进措施是：1.加强辖区内公共卫生服务、健康知识宣传力度，积极协调相关部门合作，采用多种途径、多种形式进行项目宣传，并增加国家公益广告播出范围和时间。结合地方特色和居民喜闻乐见方式，提高宣传质量，及时推广国家新举措、新政策，培养居民主动获取基本公共卫生服务的意识，提高居民获得感。2.加强对国家规范、国家年度项目工作任务等政策的培训，重点加强基层公共卫生人员业务知识水平和服务技能培训，尤其是老年人、慢性病患者、严重精神障碍患者、孕产妇和儿童等重点人群服务实用技能培训，确保项目规范实施。3.加强慢病管理质量，增加控制不满意患者的随访次数，认真开展患者自我管理活动，加强慢病患者自我管理能力，有效提升慢病干预效果，降低心脑血管疾病发病率</w:t>
      </w:r>
      <w:r>
        <w:rPr>
          <w:rFonts w:hint="eastAsia" w:ascii="仿宋_GB2312" w:hAnsi="仿宋_GB2312" w:eastAsia="仿宋_GB2312" w:cs="仿宋_GB2312"/>
          <w:kern w:val="0"/>
          <w:sz w:val="32"/>
          <w:szCs w:val="32"/>
        </w:rPr>
        <w:t>。</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pStyle w:val="4"/>
        <w:spacing w:before="0" w:after="0" w:line="580" w:lineRule="exact"/>
        <w:ind w:firstLine="640" w:firstLineChars="200"/>
        <w:rPr>
          <w:rFonts w:ascii="楷体_GB2312" w:eastAsia="楷体_GB2312" w:cs="DengXian-Bold"/>
        </w:rPr>
      </w:pPr>
      <w:r>
        <w:rPr>
          <w:rFonts w:hint="eastAsia" w:ascii="仿宋_GB2312" w:hAnsi="仿宋_GB2312" w:eastAsia="仿宋_GB2312" w:cs="仿宋_GB2312"/>
          <w:b w:val="0"/>
          <w:bCs w:val="0"/>
          <w:kern w:val="0"/>
        </w:rPr>
        <w:t>本部门2018年度机关运行</w:t>
      </w:r>
      <w:r>
        <w:rPr>
          <w:rFonts w:hint="eastAsia" w:ascii="仿宋_GB2312" w:hAnsi="仿宋_GB2312" w:eastAsia="仿宋_GB2312" w:cs="仿宋_GB2312"/>
          <w:b w:val="0"/>
          <w:bCs w:val="0"/>
          <w:color w:val="000000"/>
          <w:kern w:val="0"/>
        </w:rPr>
        <w:t xml:space="preserve">经费支出38.11万元，比年初预算数增加5.1万元，增长15.45%。主要原因是随着部门业务不断增加，邮电费和报销差旅费以及办公耗材支出有一定增长。      </w:t>
      </w:r>
      <w:r>
        <w:rPr>
          <w:rFonts w:hint="eastAsia" w:ascii="仿宋_GB2312" w:hAnsi="仿宋_GB2312" w:cs="仿宋_GB2312" w:eastAsiaTheme="minorEastAsia"/>
          <w:b w:val="0"/>
          <w:bCs w:val="0"/>
          <w:color w:val="000000"/>
          <w:kern w:val="0"/>
        </w:rPr>
        <w:t xml:space="preserve">         </w:t>
      </w:r>
      <w:r>
        <w:rPr>
          <w:rFonts w:hint="eastAsia" w:ascii="楷体_GB2312" w:eastAsia="楷体_GB2312" w:cs="DengXian-Bold"/>
        </w:rPr>
        <w:t>（二）政府采购情况</w:t>
      </w:r>
    </w:p>
    <w:p>
      <w:pPr>
        <w:widowControl/>
        <w:spacing w:after="0" w:line="580" w:lineRule="exact"/>
        <w:ind w:firstLine="640" w:firstLineChars="200"/>
        <w:rPr>
          <w:rFonts w:hint="eastAsia" w:ascii="仿宋_GB2312" w:hAnsi="仿宋_GB2312" w:eastAsia="仿宋_GB2312" w:cs="仿宋_GB2312"/>
          <w:color w:val="000000"/>
          <w:kern w:val="0"/>
          <w:sz w:val="32"/>
          <w:szCs w:val="32"/>
        </w:rPr>
      </w:pPr>
      <w:r>
        <w:rPr>
          <w:rFonts w:hint="eastAsia" w:ascii="仿宋_GB2312" w:eastAsia="仿宋_GB2312" w:cs="DengXian-Regular"/>
          <w:sz w:val="32"/>
          <w:szCs w:val="32"/>
        </w:rPr>
        <w:t>本部门2018年度政府采购支出总额1700.</w:t>
      </w:r>
      <w:r>
        <w:rPr>
          <w:rFonts w:hint="eastAsia" w:ascii="宋体" w:hAnsi="宋体" w:cs="宋体"/>
          <w:sz w:val="32"/>
          <w:szCs w:val="32"/>
        </w:rPr>
        <w:t>97</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20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1680.</w:t>
      </w:r>
      <w:r>
        <w:rPr>
          <w:rFonts w:hint="eastAsia" w:ascii="宋体" w:hAnsi="宋体" w:cs="宋体"/>
          <w:color w:val="000000"/>
          <w:kern w:val="0"/>
          <w:sz w:val="32"/>
          <w:szCs w:val="32"/>
        </w:rPr>
        <w:t>97</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rPr>
        <w:t>其中：授予小微企业合同金额0元，占政府采购支出总额的0%。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宋体" w:hAnsi="宋体" w:cs="宋体"/>
          <w:sz w:val="32"/>
          <w:szCs w:val="32"/>
        </w:rPr>
        <w:t>9</w:t>
      </w:r>
      <w:r>
        <w:rPr>
          <w:rFonts w:hint="eastAsia" w:ascii="仿宋_GB2312" w:eastAsia="仿宋_GB2312" w:cs="DengXian-Regular"/>
          <w:sz w:val="32"/>
          <w:szCs w:val="32"/>
        </w:rPr>
        <w:t>辆，比上年增加1辆，主要是上级调拨1辆给区疾病预防控制中心。其中，副部（省）级及以上领导用车0辆，主要领导干部用车0辆，机要通信用车0辆，应急保障用车0辆，执法执勤用车2辆，特种专业技术用车4辆，离退休干部用车0辆，其他用车3辆，其他用车主</w:t>
      </w:r>
      <w:r>
        <w:rPr>
          <w:rFonts w:hint="eastAsia" w:ascii="仿宋" w:hAnsi="仿宋" w:eastAsia="仿宋" w:cs="DengXian-Regular"/>
          <w:sz w:val="32"/>
          <w:szCs w:val="32"/>
        </w:rPr>
        <w:t>要是</w:t>
      </w:r>
      <w:r>
        <w:rPr>
          <w:rFonts w:hint="eastAsia" w:ascii="仿宋" w:hAnsi="仿宋" w:eastAsia="仿宋" w:cs="宋体"/>
          <w:sz w:val="32"/>
          <w:szCs w:val="32"/>
        </w:rPr>
        <w:t>公务用车</w:t>
      </w:r>
      <w:r>
        <w:rPr>
          <w:rFonts w:hint="eastAsia" w:ascii="仿宋" w:hAnsi="仿宋" w:eastAsia="仿宋" w:cs="DengXian-Regular"/>
          <w:sz w:val="32"/>
          <w:szCs w:val="32"/>
        </w:rPr>
        <w:t>；单位价值</w:t>
      </w:r>
      <w:r>
        <w:rPr>
          <w:rFonts w:hint="eastAsia" w:ascii="仿宋" w:hAnsi="仿宋" w:eastAsia="仿宋" w:cs="TimesNewRomanPSMT"/>
          <w:sz w:val="32"/>
          <w:szCs w:val="32"/>
        </w:rPr>
        <w:t>50</w:t>
      </w:r>
      <w:r>
        <w:rPr>
          <w:rFonts w:hint="eastAsia" w:ascii="仿宋" w:hAnsi="仿宋" w:eastAsia="仿宋" w:cs="DengXian-Regular"/>
          <w:sz w:val="32"/>
          <w:szCs w:val="32"/>
        </w:rPr>
        <w:t>万元以上通用设备2台（套），与上年持平，单位价值</w:t>
      </w:r>
      <w:r>
        <w:rPr>
          <w:rFonts w:hint="eastAsia" w:ascii="仿宋" w:hAnsi="仿宋" w:eastAsia="仿宋" w:cs="TimesNewRomanPSMT"/>
          <w:sz w:val="32"/>
          <w:szCs w:val="32"/>
        </w:rPr>
        <w:t>100</w:t>
      </w:r>
      <w:r>
        <w:rPr>
          <w:rFonts w:hint="eastAsia" w:ascii="仿宋" w:hAnsi="仿宋" w:eastAsia="仿宋" w:cs="DengXian-Regular"/>
          <w:sz w:val="32"/>
          <w:szCs w:val="32"/>
        </w:rPr>
        <w:t>万元以上专用设备1台（套）与上年度持平</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1、本部门2018年度政府性基金预算财政拨款收入支出、国有资本经营预算财政拨款无收支及结转结余情况，故政府性基金预算财政拨款收入支出表和国有资本经营预算财政拨款支出表以空表列示。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87936;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1552;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88960;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89984;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D4E1B87C-5735-4597-995E-4C8C3871270A}"/>
  </w:font>
  <w:font w:name="黑体">
    <w:panose1 w:val="02010609060101010101"/>
    <w:charset w:val="86"/>
    <w:family w:val="auto"/>
    <w:pitch w:val="default"/>
    <w:sig w:usb0="800002BF" w:usb1="38CF7CFA" w:usb2="00000016" w:usb3="00000000" w:csb0="00040001" w:csb1="00000000"/>
    <w:embedRegular r:id="rId2" w:fontKey="{8B6689FA-868B-4F86-85FD-2F10970C027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3" w:fontKey="{5792E604-3F3E-48A4-BA0A-8D1935EA7610}"/>
  </w:font>
  <w:font w:name="楷体">
    <w:panose1 w:val="02010609060101010101"/>
    <w:charset w:val="86"/>
    <w:family w:val="modern"/>
    <w:pitch w:val="default"/>
    <w:sig w:usb0="800002BF" w:usb1="38CF7CFA" w:usb2="00000016" w:usb3="00000000" w:csb0="00040001" w:csb1="00000000"/>
    <w:embedRegular r:id="rId4" w:fontKey="{10DF0122-C2E5-4338-83D3-A78FF93EA0CD}"/>
  </w:font>
  <w:font w:name="楷体_GB2312">
    <w:panose1 w:val="02010609030101010101"/>
    <w:charset w:val="86"/>
    <w:family w:val="modern"/>
    <w:pitch w:val="default"/>
    <w:sig w:usb0="00000001" w:usb1="080E0000" w:usb2="00000000" w:usb3="00000000" w:csb0="00040000" w:csb1="00000000"/>
    <w:embedRegular r:id="rId5" w:fontKey="{5C9BD4B1-07B4-4096-A9FF-512D39EDAB80}"/>
  </w:font>
  <w:font w:name="仿宋_GB2312">
    <w:panose1 w:val="02010609030101010101"/>
    <w:charset w:val="86"/>
    <w:family w:val="modern"/>
    <w:pitch w:val="default"/>
    <w:sig w:usb0="00000001" w:usb1="080E0000" w:usb2="00000000" w:usb3="00000000" w:csb0="00040000" w:csb1="00000000"/>
    <w:embedRegular r:id="rId6" w:fontKey="{5E6EA410-6F38-41DB-B7EF-129FDFB1C916}"/>
  </w:font>
  <w:font w:name="ArialUnicodeMS">
    <w:altName w:val="Malgun Gothic"/>
    <w:panose1 w:val="00000000000000000000"/>
    <w:charset w:val="81"/>
    <w:family w:val="auto"/>
    <w:pitch w:val="default"/>
    <w:sig w:usb0="00000000" w:usb1="00000000" w:usb2="00000010" w:usb3="00000000" w:csb0="00080001" w:csb1="00000000"/>
    <w:embedRegular r:id="rId7" w:fontKey="{362C9E6D-380B-4BB2-BD7E-FF3D944DDAC8}"/>
  </w:font>
  <w:font w:name="方正仿宋_GBK">
    <w:panose1 w:val="02000000000000000000"/>
    <w:charset w:val="86"/>
    <w:family w:val="script"/>
    <w:pitch w:val="default"/>
    <w:sig w:usb0="A00002BF" w:usb1="38CF7CFA" w:usb2="00082016" w:usb3="00000000" w:csb0="00040001" w:csb1="00000000"/>
    <w:embedRegular r:id="rId8" w:fontKey="{9541F1B5-EB22-4669-A84D-E71BE1BF7362}"/>
  </w:font>
  <w:font w:name="方正书宋_GBK">
    <w:panose1 w:val="02000000000000000000"/>
    <w:charset w:val="86"/>
    <w:family w:val="roman"/>
    <w:pitch w:val="default"/>
    <w:sig w:usb0="A00002BF" w:usb1="38CF7CFA" w:usb2="00082016" w:usb3="00000000" w:csb0="00040001" w:csb1="00000000"/>
    <w:embedRegular r:id="rId9" w:fontKey="{3F6E0780-23F2-4D7E-AA17-55A485602488}"/>
  </w:font>
  <w:font w:name="MS-UIGothic,Bold">
    <w:altName w:val="Malgun Gothic"/>
    <w:panose1 w:val="00000000000000000000"/>
    <w:charset w:val="81"/>
    <w:family w:val="auto"/>
    <w:pitch w:val="default"/>
    <w:sig w:usb0="00000000" w:usb1="00000000" w:usb2="00000010" w:usb3="00000000" w:csb0="00080000" w:csb1="00000000"/>
    <w:embedRegular r:id="rId10" w:fontKey="{BCC3C579-8159-43E2-B64C-32412B2EBD04}"/>
  </w:font>
  <w:font w:name="DengXian-Regular">
    <w:altName w:val="宋体"/>
    <w:panose1 w:val="00000000000000000000"/>
    <w:charset w:val="86"/>
    <w:family w:val="auto"/>
    <w:pitch w:val="default"/>
    <w:sig w:usb0="00000000" w:usb1="00000000" w:usb2="00000010" w:usb3="00000000" w:csb0="00040001" w:csb1="00000000"/>
    <w:embedRegular r:id="rId11" w:fontKey="{877D94AD-4902-4C50-ADB7-A4D8ECA005DD}"/>
  </w:font>
  <w:font w:name="仿宋">
    <w:panose1 w:val="02010609060101010101"/>
    <w:charset w:val="86"/>
    <w:family w:val="modern"/>
    <w:pitch w:val="default"/>
    <w:sig w:usb0="800002BF" w:usb1="38CF7CFA" w:usb2="00000016" w:usb3="00000000" w:csb0="00040001" w:csb1="00000000"/>
    <w:embedRegular r:id="rId12" w:fontKey="{2F758B4F-7C62-4EB1-AB21-D4352CFE2337}"/>
  </w:font>
  <w:font w:name="DengXian-Bold">
    <w:altName w:val="宋体"/>
    <w:panose1 w:val="00000000000000000000"/>
    <w:charset w:val="86"/>
    <w:family w:val="auto"/>
    <w:pitch w:val="default"/>
    <w:sig w:usb0="00000000" w:usb1="00000000" w:usb2="00000010" w:usb3="00000000" w:csb0="00040001" w:csb1="00000000"/>
    <w:embedRegular r:id="rId13" w:fontKey="{827BE224-3C0B-4E24-BE2F-AEAA7D947362}"/>
  </w:font>
  <w:font w:name="___WRD_EMBED_SUB_41">
    <w:panose1 w:val="02010609030101010101"/>
    <w:charset w:val="86"/>
    <w:family w:val="modern"/>
    <w:pitch w:val="default"/>
    <w:sig w:usb0="00000001" w:usb1="080E0000" w:usb2="00000000" w:usb3="00000000" w:csb0="00040000" w:csb1="00000000"/>
    <w:embedRegular r:id="rId14" w:fontKey="{7EAD44EE-51CA-4463-A227-E45783450311}"/>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63D5F"/>
    <w:rsid w:val="000652C6"/>
    <w:rsid w:val="00080CCE"/>
    <w:rsid w:val="000838C3"/>
    <w:rsid w:val="00084D41"/>
    <w:rsid w:val="00093704"/>
    <w:rsid w:val="000B182A"/>
    <w:rsid w:val="000B2446"/>
    <w:rsid w:val="000B4186"/>
    <w:rsid w:val="000D1774"/>
    <w:rsid w:val="000D7C65"/>
    <w:rsid w:val="000E2F81"/>
    <w:rsid w:val="00117946"/>
    <w:rsid w:val="00117E2C"/>
    <w:rsid w:val="00144CC6"/>
    <w:rsid w:val="00146C47"/>
    <w:rsid w:val="00151828"/>
    <w:rsid w:val="00152FB8"/>
    <w:rsid w:val="00164F64"/>
    <w:rsid w:val="00176658"/>
    <w:rsid w:val="0018239E"/>
    <w:rsid w:val="001B3410"/>
    <w:rsid w:val="001B7395"/>
    <w:rsid w:val="001C030D"/>
    <w:rsid w:val="001C452D"/>
    <w:rsid w:val="001C4A84"/>
    <w:rsid w:val="001D44F9"/>
    <w:rsid w:val="001E5902"/>
    <w:rsid w:val="001F099B"/>
    <w:rsid w:val="002239B3"/>
    <w:rsid w:val="00233705"/>
    <w:rsid w:val="00235F61"/>
    <w:rsid w:val="00241C17"/>
    <w:rsid w:val="00275CA2"/>
    <w:rsid w:val="002A65A5"/>
    <w:rsid w:val="002C04C4"/>
    <w:rsid w:val="002D08B0"/>
    <w:rsid w:val="002D1AE3"/>
    <w:rsid w:val="002E1EBC"/>
    <w:rsid w:val="002E713F"/>
    <w:rsid w:val="002F2ECE"/>
    <w:rsid w:val="00341C8F"/>
    <w:rsid w:val="0035463A"/>
    <w:rsid w:val="00391D9D"/>
    <w:rsid w:val="00391E1D"/>
    <w:rsid w:val="00394635"/>
    <w:rsid w:val="003B4C4F"/>
    <w:rsid w:val="003B6C51"/>
    <w:rsid w:val="003C02E7"/>
    <w:rsid w:val="003C1413"/>
    <w:rsid w:val="003C549F"/>
    <w:rsid w:val="003D5A16"/>
    <w:rsid w:val="003E2462"/>
    <w:rsid w:val="003E7DB3"/>
    <w:rsid w:val="003F1E65"/>
    <w:rsid w:val="003F7EC9"/>
    <w:rsid w:val="00415C6B"/>
    <w:rsid w:val="004245BA"/>
    <w:rsid w:val="00431175"/>
    <w:rsid w:val="00435EE9"/>
    <w:rsid w:val="004363F8"/>
    <w:rsid w:val="004421FE"/>
    <w:rsid w:val="00446935"/>
    <w:rsid w:val="00462F77"/>
    <w:rsid w:val="00474D31"/>
    <w:rsid w:val="00494AA3"/>
    <w:rsid w:val="004B3798"/>
    <w:rsid w:val="004B6E37"/>
    <w:rsid w:val="004C32BA"/>
    <w:rsid w:val="004C48E2"/>
    <w:rsid w:val="004D0894"/>
    <w:rsid w:val="0050772C"/>
    <w:rsid w:val="00512EEB"/>
    <w:rsid w:val="005476CA"/>
    <w:rsid w:val="00575922"/>
    <w:rsid w:val="005866F2"/>
    <w:rsid w:val="005A04B9"/>
    <w:rsid w:val="005A111D"/>
    <w:rsid w:val="005A6C90"/>
    <w:rsid w:val="005B7544"/>
    <w:rsid w:val="005E3FB0"/>
    <w:rsid w:val="005E6FC5"/>
    <w:rsid w:val="005F0D84"/>
    <w:rsid w:val="005F4B66"/>
    <w:rsid w:val="005F5208"/>
    <w:rsid w:val="005F666F"/>
    <w:rsid w:val="006272CF"/>
    <w:rsid w:val="00641318"/>
    <w:rsid w:val="0064405D"/>
    <w:rsid w:val="00644CD0"/>
    <w:rsid w:val="006537EF"/>
    <w:rsid w:val="00685302"/>
    <w:rsid w:val="00686FBD"/>
    <w:rsid w:val="00695557"/>
    <w:rsid w:val="006C039B"/>
    <w:rsid w:val="006C0593"/>
    <w:rsid w:val="006D4EA7"/>
    <w:rsid w:val="006E493D"/>
    <w:rsid w:val="006E49F4"/>
    <w:rsid w:val="006F11DE"/>
    <w:rsid w:val="006F1E04"/>
    <w:rsid w:val="006F3F17"/>
    <w:rsid w:val="006F48D1"/>
    <w:rsid w:val="0070012A"/>
    <w:rsid w:val="0070664B"/>
    <w:rsid w:val="007071B8"/>
    <w:rsid w:val="00713B23"/>
    <w:rsid w:val="007162E9"/>
    <w:rsid w:val="007414DE"/>
    <w:rsid w:val="00763F0B"/>
    <w:rsid w:val="00765BC5"/>
    <w:rsid w:val="007723A7"/>
    <w:rsid w:val="0077549B"/>
    <w:rsid w:val="007905A9"/>
    <w:rsid w:val="00792265"/>
    <w:rsid w:val="007964C4"/>
    <w:rsid w:val="00797746"/>
    <w:rsid w:val="007A4227"/>
    <w:rsid w:val="007B3969"/>
    <w:rsid w:val="007C5CE0"/>
    <w:rsid w:val="007D2229"/>
    <w:rsid w:val="007E5500"/>
    <w:rsid w:val="007F055B"/>
    <w:rsid w:val="00802923"/>
    <w:rsid w:val="0080644C"/>
    <w:rsid w:val="00811C2F"/>
    <w:rsid w:val="00825718"/>
    <w:rsid w:val="0082716F"/>
    <w:rsid w:val="00833D46"/>
    <w:rsid w:val="00834724"/>
    <w:rsid w:val="00840A97"/>
    <w:rsid w:val="0088158F"/>
    <w:rsid w:val="008C0149"/>
    <w:rsid w:val="008D351B"/>
    <w:rsid w:val="008D46C4"/>
    <w:rsid w:val="008D5DED"/>
    <w:rsid w:val="008E25CA"/>
    <w:rsid w:val="008F34FC"/>
    <w:rsid w:val="008F37EA"/>
    <w:rsid w:val="00901C45"/>
    <w:rsid w:val="00902EA4"/>
    <w:rsid w:val="00933343"/>
    <w:rsid w:val="00933E82"/>
    <w:rsid w:val="00937BE0"/>
    <w:rsid w:val="00944CD7"/>
    <w:rsid w:val="00964393"/>
    <w:rsid w:val="00970307"/>
    <w:rsid w:val="009831B2"/>
    <w:rsid w:val="009964CD"/>
    <w:rsid w:val="009A1ABE"/>
    <w:rsid w:val="009A1D67"/>
    <w:rsid w:val="009B4876"/>
    <w:rsid w:val="009D7524"/>
    <w:rsid w:val="009E21A4"/>
    <w:rsid w:val="009F22C6"/>
    <w:rsid w:val="00A07E50"/>
    <w:rsid w:val="00A15397"/>
    <w:rsid w:val="00A2453E"/>
    <w:rsid w:val="00A26C64"/>
    <w:rsid w:val="00A271C5"/>
    <w:rsid w:val="00A33FAF"/>
    <w:rsid w:val="00A35CE0"/>
    <w:rsid w:val="00A41DC3"/>
    <w:rsid w:val="00A4462E"/>
    <w:rsid w:val="00A44AA4"/>
    <w:rsid w:val="00A471CA"/>
    <w:rsid w:val="00A61623"/>
    <w:rsid w:val="00A67143"/>
    <w:rsid w:val="00A84687"/>
    <w:rsid w:val="00A94552"/>
    <w:rsid w:val="00AA65F5"/>
    <w:rsid w:val="00AB0A0E"/>
    <w:rsid w:val="00AC2CBE"/>
    <w:rsid w:val="00AD29DB"/>
    <w:rsid w:val="00AD3B6E"/>
    <w:rsid w:val="00AE6AD0"/>
    <w:rsid w:val="00B1751F"/>
    <w:rsid w:val="00B56722"/>
    <w:rsid w:val="00B600FC"/>
    <w:rsid w:val="00B61CEC"/>
    <w:rsid w:val="00B7325F"/>
    <w:rsid w:val="00B74D39"/>
    <w:rsid w:val="00B838B0"/>
    <w:rsid w:val="00B91DA4"/>
    <w:rsid w:val="00BA6B85"/>
    <w:rsid w:val="00BB5C47"/>
    <w:rsid w:val="00C03783"/>
    <w:rsid w:val="00C12630"/>
    <w:rsid w:val="00C12C35"/>
    <w:rsid w:val="00C34562"/>
    <w:rsid w:val="00C35D5F"/>
    <w:rsid w:val="00C3774E"/>
    <w:rsid w:val="00C57456"/>
    <w:rsid w:val="00C65387"/>
    <w:rsid w:val="00C7377D"/>
    <w:rsid w:val="00C81112"/>
    <w:rsid w:val="00C87FAB"/>
    <w:rsid w:val="00C91996"/>
    <w:rsid w:val="00C91FF7"/>
    <w:rsid w:val="00C94E53"/>
    <w:rsid w:val="00CB3EA9"/>
    <w:rsid w:val="00CD5D0D"/>
    <w:rsid w:val="00CE6F39"/>
    <w:rsid w:val="00D0048E"/>
    <w:rsid w:val="00D076FF"/>
    <w:rsid w:val="00D14A01"/>
    <w:rsid w:val="00D15159"/>
    <w:rsid w:val="00D1644F"/>
    <w:rsid w:val="00D23E7A"/>
    <w:rsid w:val="00D27E49"/>
    <w:rsid w:val="00D345FC"/>
    <w:rsid w:val="00D61063"/>
    <w:rsid w:val="00D6571A"/>
    <w:rsid w:val="00D663B7"/>
    <w:rsid w:val="00D76F4A"/>
    <w:rsid w:val="00DA5ABF"/>
    <w:rsid w:val="00DB35AF"/>
    <w:rsid w:val="00DB6AD1"/>
    <w:rsid w:val="00DD72D7"/>
    <w:rsid w:val="00DF0957"/>
    <w:rsid w:val="00DF5B88"/>
    <w:rsid w:val="00E049CE"/>
    <w:rsid w:val="00E0589E"/>
    <w:rsid w:val="00E2006B"/>
    <w:rsid w:val="00E23329"/>
    <w:rsid w:val="00E241FA"/>
    <w:rsid w:val="00E2595E"/>
    <w:rsid w:val="00E35374"/>
    <w:rsid w:val="00E50C19"/>
    <w:rsid w:val="00E60EA8"/>
    <w:rsid w:val="00E6209E"/>
    <w:rsid w:val="00E64655"/>
    <w:rsid w:val="00E72FBD"/>
    <w:rsid w:val="00E73081"/>
    <w:rsid w:val="00E856C9"/>
    <w:rsid w:val="00EA1DCF"/>
    <w:rsid w:val="00EB3A41"/>
    <w:rsid w:val="00EB6A8B"/>
    <w:rsid w:val="00ED5A1A"/>
    <w:rsid w:val="00EF33BC"/>
    <w:rsid w:val="00EF38C6"/>
    <w:rsid w:val="00EF4287"/>
    <w:rsid w:val="00EF52A9"/>
    <w:rsid w:val="00F06F95"/>
    <w:rsid w:val="00F679C7"/>
    <w:rsid w:val="00F7711A"/>
    <w:rsid w:val="00FA0D58"/>
    <w:rsid w:val="00FA56F4"/>
    <w:rsid w:val="00FB4EDA"/>
    <w:rsid w:val="00FC64A7"/>
    <w:rsid w:val="00FD3BD5"/>
    <w:rsid w:val="00FE2E9D"/>
    <w:rsid w:val="00FE3DC8"/>
    <w:rsid w:val="036B1F1F"/>
    <w:rsid w:val="04073F84"/>
    <w:rsid w:val="0AEB7066"/>
    <w:rsid w:val="0B60750A"/>
    <w:rsid w:val="10686488"/>
    <w:rsid w:val="10DF728A"/>
    <w:rsid w:val="1264200E"/>
    <w:rsid w:val="13A61B93"/>
    <w:rsid w:val="141C5B77"/>
    <w:rsid w:val="18D8339D"/>
    <w:rsid w:val="1905632E"/>
    <w:rsid w:val="19A514A8"/>
    <w:rsid w:val="1A21388F"/>
    <w:rsid w:val="1A570D2F"/>
    <w:rsid w:val="1A820BBD"/>
    <w:rsid w:val="28FB0B8D"/>
    <w:rsid w:val="2A9870FC"/>
    <w:rsid w:val="2D2B7942"/>
    <w:rsid w:val="2D46481D"/>
    <w:rsid w:val="2E733B28"/>
    <w:rsid w:val="314F4639"/>
    <w:rsid w:val="31852B5A"/>
    <w:rsid w:val="32D01238"/>
    <w:rsid w:val="330A44EB"/>
    <w:rsid w:val="35991D2C"/>
    <w:rsid w:val="35FC287E"/>
    <w:rsid w:val="3D97099D"/>
    <w:rsid w:val="3DFC59A8"/>
    <w:rsid w:val="3ECF245E"/>
    <w:rsid w:val="3FB96314"/>
    <w:rsid w:val="4041395F"/>
    <w:rsid w:val="4419696C"/>
    <w:rsid w:val="496A611A"/>
    <w:rsid w:val="4F444E8E"/>
    <w:rsid w:val="51A4764E"/>
    <w:rsid w:val="52AA577D"/>
    <w:rsid w:val="53A44FAF"/>
    <w:rsid w:val="54A62FDB"/>
    <w:rsid w:val="57DD76EE"/>
    <w:rsid w:val="594329EC"/>
    <w:rsid w:val="5B9A73B1"/>
    <w:rsid w:val="5BEE1540"/>
    <w:rsid w:val="5C65016C"/>
    <w:rsid w:val="5DE61A5D"/>
    <w:rsid w:val="5FF82C78"/>
    <w:rsid w:val="62F52EA3"/>
    <w:rsid w:val="63C04243"/>
    <w:rsid w:val="649C01C7"/>
    <w:rsid w:val="67BE680E"/>
    <w:rsid w:val="699A3F60"/>
    <w:rsid w:val="6ABD6D38"/>
    <w:rsid w:val="6ED50A1D"/>
    <w:rsid w:val="6F3C0729"/>
    <w:rsid w:val="712A0393"/>
    <w:rsid w:val="72902E62"/>
    <w:rsid w:val="73C61104"/>
    <w:rsid w:val="776452EA"/>
    <w:rsid w:val="7C443B55"/>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7.jpe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Microsoft%20Office%20Word%20&#20013;&#30340;&#22270;&#34920;"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590" b="1" i="0" u="none" strike="noStrike" kern="1200" baseline="0">
                <a:solidFill>
                  <a:schemeClr val="tx1"/>
                </a:solidFill>
                <a:latin typeface="+mn-lt"/>
                <a:ea typeface="+mn-ea"/>
                <a:cs typeface="+mn-cs"/>
              </a:defRPr>
            </a:pPr>
            <a:r>
              <a:rPr lang="zh-CN" altLang="zh-CN" sz="1000" b="0" i="0" u="none" strike="noStrike" baseline="0"/>
              <a:t>支出构成情况（按支出性质）</a:t>
            </a:r>
            <a:endParaRPr lang="zh-CN" altLang="en-US" sz="1000" b="0" i="0" baseline="0">
              <a:latin typeface="楷体" panose="02010609060101010101" pitchFamily="3" charset="-122"/>
              <a:ea typeface="楷体" panose="02010609060101010101" pitchFamily="3" charset="-122"/>
            </a:endParaRPr>
          </a:p>
        </c:rich>
      </c:tx>
      <c:layout>
        <c:manualLayout>
          <c:xMode val="edge"/>
          <c:yMode val="edge"/>
          <c:x val="0.382814636941633"/>
          <c:y val="0.897539016977812"/>
        </c:manualLayout>
      </c:layout>
      <c:overlay val="0"/>
    </c:title>
    <c:autoTitleDeleted val="0"/>
    <c:view3D>
      <c:rotX val="75"/>
      <c:rotY val="15"/>
      <c:depthPercent val="100"/>
      <c:rAngAx val="0"/>
      <c:perspective val="30"/>
    </c:view3D>
    <c:floor>
      <c:thickness val="0"/>
    </c:floor>
    <c:sideWall>
      <c:thickness val="0"/>
      <c:spPr>
        <a:noFill/>
        <a:ln>
          <a:noFill/>
        </a:ln>
        <a:effectLst/>
      </c:spPr>
    </c:sideWall>
    <c:backWall>
      <c:thickness val="0"/>
      <c:spPr>
        <a:noFill/>
        <a:ln>
          <a:noFill/>
        </a:ln>
        <a:effectLst/>
      </c:spPr>
    </c:backWall>
    <c:plotArea>
      <c:layout/>
      <c:pie3DChart>
        <c:varyColors val="1"/>
        <c:ser>
          <c:idx val="0"/>
          <c:order val="0"/>
          <c:tx>
            <c:strRef>
              <c:f>'[Microsoft Office Word 中的图表]Sheet1'!$B$1</c:f>
              <c:strCache>
                <c:ptCount val="1"/>
                <c:pt idx="0">
                  <c:v>支出决算情况</c:v>
                </c:pt>
              </c:strCache>
            </c:strRef>
          </c:tx>
          <c:explosion val="0"/>
          <c:dPt>
            <c:idx val="0"/>
            <c:bubble3D val="0"/>
          </c:dPt>
          <c:dPt>
            <c:idx val="1"/>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en-US"/>
                      <a:t>15.21%</a:t>
                    </a:r>
                    <a:endParaRPr lang="en-US" altLang="en-US"/>
                  </a:p>
                  <a:p>
                    <a:pPr>
                      <a:defRPr lang="zh-CN" sz="1000" b="0" i="0" u="none" strike="noStrike" kern="1200" baseline="0">
                        <a:solidFill>
                          <a:schemeClr val="tx1"/>
                        </a:solidFill>
                        <a:latin typeface="+mn-lt"/>
                        <a:ea typeface="+mn-ea"/>
                        <a:cs typeface="+mn-cs"/>
                      </a:defRPr>
                    </a:pPr>
                    <a:r>
                      <a:rPr lang="zh-CN" altLang="en-US"/>
                      <a:t>基本支出</a:t>
                    </a:r>
                    <a:endParaRPr lang="en-US" altLang="en-US"/>
                  </a:p>
                </c:rich>
              </c:tx>
              <c:dLblPos val="bestFit"/>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en-US"/>
                      <a:t>84.79%</a:t>
                    </a:r>
                    <a:endParaRPr lang="en-US" altLang="en-US"/>
                  </a:p>
                  <a:p>
                    <a:pPr>
                      <a:defRPr lang="zh-CN" sz="1000" b="0" i="0" u="none" strike="noStrike" kern="1200" baseline="0">
                        <a:solidFill>
                          <a:schemeClr val="tx1"/>
                        </a:solidFill>
                        <a:latin typeface="+mn-lt"/>
                        <a:ea typeface="+mn-ea"/>
                        <a:cs typeface="+mn-cs"/>
                      </a:defRPr>
                    </a:pPr>
                    <a:r>
                      <a:rPr lang="zh-CN" altLang="en-US"/>
                      <a:t>项目支出</a:t>
                    </a:r>
                    <a:endParaRPr lang="en-US" altLang="en-US"/>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'[Microsoft Office Word 中的图表]Sheet1'!$A$2:$A$3</c:f>
              <c:strCache>
                <c:ptCount val="2"/>
                <c:pt idx="0">
                  <c:v>基本支出</c:v>
                </c:pt>
                <c:pt idx="1">
                  <c:v>项目支出</c:v>
                </c:pt>
              </c:strCache>
            </c:strRef>
          </c:cat>
          <c:val>
            <c:numRef>
              <c:f>'[Microsoft Office Word 中的图表]Sheet1'!$B$2:$B$3</c:f>
              <c:numCache>
                <c:formatCode>0.00%</c:formatCode>
                <c:ptCount val="2"/>
                <c:pt idx="0">
                  <c:v>0.1521</c:v>
                </c:pt>
                <c:pt idx="1">
                  <c:v>0.847900000000002</c:v>
                </c:pt>
              </c:numCache>
            </c:numRef>
          </c:val>
        </c:ser>
        <c:dLbls>
          <c:showLegendKey val="0"/>
          <c:showVal val="1"/>
          <c:showCatName val="0"/>
          <c:showSerName val="0"/>
          <c:showPercent val="0"/>
          <c:showBubbleSize val="0"/>
        </c:dLbls>
      </c:pie3DChart>
    </c:plotArea>
    <c:plotVisOnly val="1"/>
    <c:dispBlanksAs val="zero"/>
    <c:showDLblsOverMax val="0"/>
  </c:chart>
  <c:spPr>
    <a:ln w="12700" cap="flat" cmpd="sng" algn="ctr">
      <a:no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112"/>
    <customShpInfo spid="_x0000_s1111"/>
    <customShpInfo spid="_x0000_s1110"/>
    <customShpInfo spid="_x0000_s1109"/>
    <customShpInfo spid="_x0000_s1108"/>
    <customShpInfo spid="_x0000_s1107"/>
    <customShpInfo spid="_x0000_s1106"/>
    <customShpInfo spid="_x0000_s1105"/>
    <customShpInfo spid="_x0000_s1104"/>
    <customShpInfo spid="_x0000_s1103"/>
    <customShpInfo spid="_x0000_s1102"/>
    <customShpInfo spid="_x0000_s1101"/>
    <customShpInfo spid="_x0000_s1100"/>
    <customShpInfo spid="_x0000_s1099"/>
    <customShpInfo spid="_x0000_s1098"/>
    <customShpInfo spid="_x0000_s1097"/>
    <customShpInfo spid="_x0000_s1096"/>
    <customShpInfo spid="_x0000_s1095"/>
    <customShpInfo spid="_x0000_s1094"/>
    <customShpInfo spid="_x0000_s1093"/>
    <customShpInfo spid="_x0000_s1092"/>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Info spid="_x0000_s1081"/>
    <customShpInfo spid="_x0000_s1080"/>
    <customShpInfo spid="_x0000_s1079"/>
    <customShpInfo spid="_x0000_s1054"/>
    <customShpInfo spid="_x0000_s1053"/>
    <customShpInfo spid="_x0000_s1052"/>
    <customShpInfo spid="_x0000_s1048"/>
    <customShpInfo spid="_x0000_s1047"/>
    <customShpInfo spid="_x0000_s1046"/>
    <customShpInfo spid="_x0000_s1045"/>
    <customShpInfo spid="_x0000_s1044"/>
    <customShpInfo spid="_x0000_s1043"/>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F98A5791-A530-4CE5-8C6C-1A6D73F523AD}">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38</Pages>
  <Words>2357</Words>
  <Characters>13437</Characters>
  <Lines>111</Lines>
  <Paragraphs>31</Paragraphs>
  <TotalTime>101</TotalTime>
  <ScaleCrop>false</ScaleCrop>
  <LinksUpToDate>false</LinksUpToDate>
  <CharactersWithSpaces>15763</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乔家二小姐</cp:lastModifiedBy>
  <cp:lastPrinted>2019-09-23T09:01:00Z</cp:lastPrinted>
  <dcterms:modified xsi:type="dcterms:W3CDTF">2024-07-04T03:36:08Z</dcterms:modified>
  <dc:subject>石家庄市xxx部门</dc:subject>
  <dc:title>2017年度部门决算</dc:title>
  <cp:revision>111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17BB9A7C481E48ABAECC632C32B33DCF</vt:lpwstr>
  </property>
</Properties>
</file>