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874.17</w:t>
            </w:r>
          </w:p>
        </w:tc>
        <w:tc>
          <w:tcPr>
            <w:tcW w:w="4535" w:type="dxa"/>
            <w:vAlign w:val="center"/>
          </w:tcPr>
          <w:p>
            <w:pPr>
              <w:pStyle w:val="14"/>
            </w:pPr>
            <w:r>
              <w:t>一、一般公共服务支出</w:t>
            </w:r>
          </w:p>
        </w:tc>
        <w:tc>
          <w:tcPr>
            <w:tcW w:w="2126" w:type="dxa"/>
            <w:vAlign w:val="center"/>
          </w:tcPr>
          <w:p>
            <w:pPr>
              <w:pStyle w:val="13"/>
            </w:pPr>
            <w:r>
              <w:t>569.73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874.17</w:t>
            </w:r>
          </w:p>
        </w:tc>
        <w:tc>
          <w:tcPr>
            <w:tcW w:w="4535" w:type="dxa"/>
            <w:vAlign w:val="center"/>
          </w:tcPr>
          <w:p>
            <w:pPr>
              <w:pStyle w:val="16"/>
            </w:pPr>
            <w:r>
              <w:t>本年支出合计</w:t>
            </w:r>
          </w:p>
        </w:tc>
        <w:tc>
          <w:tcPr>
            <w:tcW w:w="2126" w:type="dxa"/>
            <w:vAlign w:val="center"/>
          </w:tcPr>
          <w:p>
            <w:pPr>
              <w:pStyle w:val="17"/>
            </w:pPr>
            <w:r>
              <w:t>874.17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874.17</w:t>
            </w:r>
          </w:p>
        </w:tc>
        <w:tc>
          <w:tcPr>
            <w:tcW w:w="4535" w:type="dxa"/>
            <w:vAlign w:val="center"/>
          </w:tcPr>
          <w:p>
            <w:pPr>
              <w:pStyle w:val="16"/>
            </w:pPr>
            <w:r>
              <w:t>支出总计</w:t>
            </w:r>
          </w:p>
        </w:tc>
        <w:tc>
          <w:tcPr>
            <w:tcW w:w="2126" w:type="dxa"/>
            <w:vAlign w:val="center"/>
          </w:tcPr>
          <w:p>
            <w:pPr>
              <w:pStyle w:val="17"/>
            </w:pPr>
            <w:r>
              <w:t>874.17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874.17</w:t>
            </w:r>
          </w:p>
        </w:tc>
        <w:tc>
          <w:tcPr>
            <w:tcW w:w="1134" w:type="dxa"/>
            <w:vAlign w:val="center"/>
          </w:tcPr>
          <w:p>
            <w:pPr>
              <w:pStyle w:val="17"/>
            </w:pPr>
            <w:r>
              <w:t>874.17</w:t>
            </w:r>
          </w:p>
        </w:tc>
        <w:tc>
          <w:tcPr>
            <w:tcW w:w="1134" w:type="dxa"/>
            <w:vAlign w:val="center"/>
          </w:tcPr>
          <w:p>
            <w:pPr>
              <w:pStyle w:val="17"/>
            </w:pPr>
            <w:r>
              <w:t>874.17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20102</w:t>
            </w:r>
          </w:p>
        </w:tc>
        <w:tc>
          <w:tcPr>
            <w:tcW w:w="1559" w:type="dxa"/>
            <w:vAlign w:val="center"/>
          </w:tcPr>
          <w:p>
            <w:pPr>
              <w:pStyle w:val="14"/>
            </w:pPr>
            <w:r>
              <w:t>政协事务</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r>
              <w:t>569.73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2010201</w:t>
            </w:r>
          </w:p>
        </w:tc>
        <w:tc>
          <w:tcPr>
            <w:tcW w:w="1559" w:type="dxa"/>
            <w:vAlign w:val="center"/>
          </w:tcPr>
          <w:p>
            <w:pPr>
              <w:pStyle w:val="14"/>
            </w:pPr>
            <w:r>
              <w:t>行政运行</w:t>
            </w:r>
          </w:p>
        </w:tc>
        <w:tc>
          <w:tcPr>
            <w:tcW w:w="1134" w:type="dxa"/>
            <w:vAlign w:val="center"/>
          </w:tcPr>
          <w:p>
            <w:pPr>
              <w:pStyle w:val="13"/>
            </w:pPr>
            <w:r>
              <w:t>470.23</w:t>
            </w:r>
          </w:p>
        </w:tc>
        <w:tc>
          <w:tcPr>
            <w:tcW w:w="1134" w:type="dxa"/>
            <w:vAlign w:val="center"/>
          </w:tcPr>
          <w:p>
            <w:pPr>
              <w:pStyle w:val="13"/>
            </w:pPr>
            <w:r>
              <w:t>470.23</w:t>
            </w:r>
          </w:p>
        </w:tc>
        <w:tc>
          <w:tcPr>
            <w:tcW w:w="1134" w:type="dxa"/>
            <w:vAlign w:val="center"/>
          </w:tcPr>
          <w:p>
            <w:pPr>
              <w:pStyle w:val="13"/>
            </w:pPr>
            <w:r>
              <w:t>470.23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2010202</w:t>
            </w:r>
          </w:p>
        </w:tc>
        <w:tc>
          <w:tcPr>
            <w:tcW w:w="1559" w:type="dxa"/>
            <w:vAlign w:val="center"/>
          </w:tcPr>
          <w:p>
            <w:pPr>
              <w:pStyle w:val="14"/>
            </w:pPr>
            <w:r>
              <w:t>一般行政管理事务</w:t>
            </w:r>
          </w:p>
        </w:tc>
        <w:tc>
          <w:tcPr>
            <w:tcW w:w="1134" w:type="dxa"/>
            <w:vAlign w:val="center"/>
          </w:tcPr>
          <w:p>
            <w:pPr>
              <w:pStyle w:val="13"/>
            </w:pPr>
            <w:r>
              <w:t>99.50</w:t>
            </w:r>
          </w:p>
        </w:tc>
        <w:tc>
          <w:tcPr>
            <w:tcW w:w="1134" w:type="dxa"/>
            <w:vAlign w:val="center"/>
          </w:tcPr>
          <w:p>
            <w:pPr>
              <w:pStyle w:val="13"/>
            </w:pPr>
            <w:r>
              <w:t>99.50</w:t>
            </w:r>
          </w:p>
        </w:tc>
        <w:tc>
          <w:tcPr>
            <w:tcW w:w="1134" w:type="dxa"/>
            <w:vAlign w:val="center"/>
          </w:tcPr>
          <w:p>
            <w:pPr>
              <w:pStyle w:val="13"/>
            </w:pPr>
            <w:r>
              <w:t>99.50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232.67</w:t>
            </w:r>
          </w:p>
        </w:tc>
        <w:tc>
          <w:tcPr>
            <w:tcW w:w="1134" w:type="dxa"/>
            <w:vAlign w:val="center"/>
          </w:tcPr>
          <w:p>
            <w:pPr>
              <w:pStyle w:val="13"/>
            </w:pPr>
            <w:r>
              <w:t>232.67</w:t>
            </w:r>
          </w:p>
        </w:tc>
        <w:tc>
          <w:tcPr>
            <w:tcW w:w="1134" w:type="dxa"/>
            <w:vAlign w:val="center"/>
          </w:tcPr>
          <w:p>
            <w:pPr>
              <w:pStyle w:val="13"/>
            </w:pPr>
            <w:r>
              <w:t>232.67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222.07</w:t>
            </w:r>
          </w:p>
        </w:tc>
        <w:tc>
          <w:tcPr>
            <w:tcW w:w="1134" w:type="dxa"/>
            <w:vAlign w:val="center"/>
          </w:tcPr>
          <w:p>
            <w:pPr>
              <w:pStyle w:val="13"/>
            </w:pPr>
            <w:r>
              <w:t>222.07</w:t>
            </w:r>
          </w:p>
        </w:tc>
        <w:tc>
          <w:tcPr>
            <w:tcW w:w="1134" w:type="dxa"/>
            <w:vAlign w:val="center"/>
          </w:tcPr>
          <w:p>
            <w:pPr>
              <w:pStyle w:val="13"/>
            </w:pPr>
            <w:r>
              <w:t>222.07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180.34</w:t>
            </w:r>
          </w:p>
        </w:tc>
        <w:tc>
          <w:tcPr>
            <w:tcW w:w="1134" w:type="dxa"/>
            <w:vAlign w:val="center"/>
          </w:tcPr>
          <w:p>
            <w:pPr>
              <w:pStyle w:val="13"/>
            </w:pPr>
            <w:r>
              <w:t>180.34</w:t>
            </w:r>
          </w:p>
        </w:tc>
        <w:tc>
          <w:tcPr>
            <w:tcW w:w="1134" w:type="dxa"/>
            <w:vAlign w:val="center"/>
          </w:tcPr>
          <w:p>
            <w:pPr>
              <w:pStyle w:val="13"/>
            </w:pPr>
            <w:r>
              <w:t>180.34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41.73</w:t>
            </w:r>
          </w:p>
        </w:tc>
        <w:tc>
          <w:tcPr>
            <w:tcW w:w="1134" w:type="dxa"/>
            <w:vAlign w:val="center"/>
          </w:tcPr>
          <w:p>
            <w:pPr>
              <w:pStyle w:val="13"/>
            </w:pPr>
            <w:r>
              <w:t>41.73</w:t>
            </w:r>
          </w:p>
        </w:tc>
        <w:tc>
          <w:tcPr>
            <w:tcW w:w="1134" w:type="dxa"/>
            <w:vAlign w:val="center"/>
          </w:tcPr>
          <w:p>
            <w:pPr>
              <w:pStyle w:val="13"/>
            </w:pPr>
            <w:r>
              <w:t>41.73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r>
              <w:t>10.60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r>
              <w:t>29.95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r>
              <w:t>41.82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874.17</w:t>
            </w:r>
          </w:p>
        </w:tc>
        <w:tc>
          <w:tcPr>
            <w:tcW w:w="1361" w:type="dxa"/>
            <w:vAlign w:val="center"/>
          </w:tcPr>
          <w:p>
            <w:pPr>
              <w:pStyle w:val="17"/>
            </w:pPr>
            <w:r>
              <w:t>764.07</w:t>
            </w:r>
          </w:p>
        </w:tc>
        <w:tc>
          <w:tcPr>
            <w:tcW w:w="1361" w:type="dxa"/>
            <w:vAlign w:val="center"/>
          </w:tcPr>
          <w:p>
            <w:pPr>
              <w:pStyle w:val="17"/>
            </w:pPr>
            <w:r>
              <w:t>110.10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569.73</w:t>
            </w:r>
          </w:p>
        </w:tc>
        <w:tc>
          <w:tcPr>
            <w:tcW w:w="1361" w:type="dxa"/>
            <w:vAlign w:val="center"/>
          </w:tcPr>
          <w:p>
            <w:pPr>
              <w:pStyle w:val="13"/>
            </w:pPr>
            <w:r>
              <w:t>470.23</w:t>
            </w: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20102</w:t>
            </w:r>
          </w:p>
        </w:tc>
        <w:tc>
          <w:tcPr>
            <w:tcW w:w="4536" w:type="dxa"/>
            <w:vAlign w:val="center"/>
          </w:tcPr>
          <w:p>
            <w:pPr>
              <w:pStyle w:val="14"/>
            </w:pPr>
            <w:r>
              <w:t>政协事务</w:t>
            </w:r>
          </w:p>
        </w:tc>
        <w:tc>
          <w:tcPr>
            <w:tcW w:w="1361" w:type="dxa"/>
            <w:vAlign w:val="center"/>
          </w:tcPr>
          <w:p>
            <w:pPr>
              <w:pStyle w:val="13"/>
            </w:pPr>
            <w:r>
              <w:t>569.73</w:t>
            </w:r>
          </w:p>
        </w:tc>
        <w:tc>
          <w:tcPr>
            <w:tcW w:w="1361" w:type="dxa"/>
            <w:vAlign w:val="center"/>
          </w:tcPr>
          <w:p>
            <w:pPr>
              <w:pStyle w:val="13"/>
            </w:pPr>
            <w:r>
              <w:t>470.23</w:t>
            </w: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2010201</w:t>
            </w:r>
          </w:p>
        </w:tc>
        <w:tc>
          <w:tcPr>
            <w:tcW w:w="4536" w:type="dxa"/>
            <w:vAlign w:val="center"/>
          </w:tcPr>
          <w:p>
            <w:pPr>
              <w:pStyle w:val="14"/>
            </w:pPr>
            <w:r>
              <w:t>行政运行</w:t>
            </w:r>
          </w:p>
        </w:tc>
        <w:tc>
          <w:tcPr>
            <w:tcW w:w="1361" w:type="dxa"/>
            <w:vAlign w:val="center"/>
          </w:tcPr>
          <w:p>
            <w:pPr>
              <w:pStyle w:val="13"/>
            </w:pPr>
            <w:r>
              <w:t>470.23</w:t>
            </w:r>
          </w:p>
        </w:tc>
        <w:tc>
          <w:tcPr>
            <w:tcW w:w="1361" w:type="dxa"/>
            <w:vAlign w:val="center"/>
          </w:tcPr>
          <w:p>
            <w:pPr>
              <w:pStyle w:val="13"/>
            </w:pPr>
            <w:r>
              <w:t>470.23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2010202</w:t>
            </w:r>
          </w:p>
        </w:tc>
        <w:tc>
          <w:tcPr>
            <w:tcW w:w="4536" w:type="dxa"/>
            <w:vAlign w:val="center"/>
          </w:tcPr>
          <w:p>
            <w:pPr>
              <w:pStyle w:val="14"/>
            </w:pPr>
            <w:r>
              <w:t>一般行政管理事务</w:t>
            </w: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r>
              <w:t>99.50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232.67</w:t>
            </w:r>
          </w:p>
        </w:tc>
        <w:tc>
          <w:tcPr>
            <w:tcW w:w="1361" w:type="dxa"/>
            <w:vAlign w:val="center"/>
          </w:tcPr>
          <w:p>
            <w:pPr>
              <w:pStyle w:val="13"/>
            </w:pPr>
            <w:r>
              <w:t>222.07</w:t>
            </w: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222.07</w:t>
            </w:r>
          </w:p>
        </w:tc>
        <w:tc>
          <w:tcPr>
            <w:tcW w:w="1361" w:type="dxa"/>
            <w:vAlign w:val="center"/>
          </w:tcPr>
          <w:p>
            <w:pPr>
              <w:pStyle w:val="13"/>
            </w:pPr>
            <w:r>
              <w:t>222.07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180.34</w:t>
            </w:r>
          </w:p>
        </w:tc>
        <w:tc>
          <w:tcPr>
            <w:tcW w:w="1361" w:type="dxa"/>
            <w:vAlign w:val="center"/>
          </w:tcPr>
          <w:p>
            <w:pPr>
              <w:pStyle w:val="13"/>
            </w:pPr>
            <w:r>
              <w:t>180.34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41.73</w:t>
            </w:r>
          </w:p>
        </w:tc>
        <w:tc>
          <w:tcPr>
            <w:tcW w:w="1361" w:type="dxa"/>
            <w:vAlign w:val="center"/>
          </w:tcPr>
          <w:p>
            <w:pPr>
              <w:pStyle w:val="13"/>
            </w:pPr>
            <w:r>
              <w:t>41.73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20809</w:t>
            </w:r>
          </w:p>
        </w:tc>
        <w:tc>
          <w:tcPr>
            <w:tcW w:w="4536" w:type="dxa"/>
            <w:vAlign w:val="center"/>
          </w:tcPr>
          <w:p>
            <w:pPr>
              <w:pStyle w:val="14"/>
            </w:pPr>
            <w:r>
              <w:t>退役安置</w:t>
            </w: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2080901</w:t>
            </w:r>
          </w:p>
        </w:tc>
        <w:tc>
          <w:tcPr>
            <w:tcW w:w="4536" w:type="dxa"/>
            <w:vAlign w:val="center"/>
          </w:tcPr>
          <w:p>
            <w:pPr>
              <w:pStyle w:val="14"/>
            </w:pPr>
            <w:r>
              <w:t>退役士兵安置</w:t>
            </w: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r>
              <w:t>10.60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29.95</w:t>
            </w:r>
          </w:p>
        </w:tc>
        <w:tc>
          <w:tcPr>
            <w:tcW w:w="1361" w:type="dxa"/>
            <w:vAlign w:val="center"/>
          </w:tcPr>
          <w:p>
            <w:pPr>
              <w:pStyle w:val="13"/>
            </w:pPr>
            <w:r>
              <w:t>29.95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29.95</w:t>
            </w:r>
          </w:p>
        </w:tc>
        <w:tc>
          <w:tcPr>
            <w:tcW w:w="1361" w:type="dxa"/>
            <w:vAlign w:val="center"/>
          </w:tcPr>
          <w:p>
            <w:pPr>
              <w:pStyle w:val="13"/>
            </w:pPr>
            <w:r>
              <w:t>29.95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29.95</w:t>
            </w:r>
          </w:p>
        </w:tc>
        <w:tc>
          <w:tcPr>
            <w:tcW w:w="1361" w:type="dxa"/>
            <w:vAlign w:val="center"/>
          </w:tcPr>
          <w:p>
            <w:pPr>
              <w:pStyle w:val="13"/>
            </w:pPr>
            <w:r>
              <w:t>29.95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41.82</w:t>
            </w:r>
          </w:p>
        </w:tc>
        <w:tc>
          <w:tcPr>
            <w:tcW w:w="1361" w:type="dxa"/>
            <w:vAlign w:val="center"/>
          </w:tcPr>
          <w:p>
            <w:pPr>
              <w:pStyle w:val="13"/>
            </w:pPr>
            <w:r>
              <w:t>41.82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41.82</w:t>
            </w:r>
          </w:p>
        </w:tc>
        <w:tc>
          <w:tcPr>
            <w:tcW w:w="1361" w:type="dxa"/>
            <w:vAlign w:val="center"/>
          </w:tcPr>
          <w:p>
            <w:pPr>
              <w:pStyle w:val="13"/>
            </w:pPr>
            <w:r>
              <w:t>41.82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41.82</w:t>
            </w:r>
          </w:p>
        </w:tc>
        <w:tc>
          <w:tcPr>
            <w:tcW w:w="1361" w:type="dxa"/>
            <w:vAlign w:val="center"/>
          </w:tcPr>
          <w:p>
            <w:pPr>
              <w:pStyle w:val="13"/>
            </w:pPr>
            <w:r>
              <w:t>41.82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874.17</w:t>
            </w:r>
          </w:p>
        </w:tc>
        <w:tc>
          <w:tcPr>
            <w:tcW w:w="3402" w:type="dxa"/>
            <w:vAlign w:val="center"/>
          </w:tcPr>
          <w:p>
            <w:pPr>
              <w:pStyle w:val="14"/>
            </w:pPr>
            <w:r>
              <w:t>一、一般公共服务支出</w:t>
            </w:r>
          </w:p>
        </w:tc>
        <w:tc>
          <w:tcPr>
            <w:tcW w:w="1474" w:type="dxa"/>
            <w:vAlign w:val="center"/>
          </w:tcPr>
          <w:p>
            <w:pPr>
              <w:pStyle w:val="13"/>
            </w:pPr>
            <w:r>
              <w:t>569.73</w:t>
            </w:r>
          </w:p>
        </w:tc>
        <w:tc>
          <w:tcPr>
            <w:tcW w:w="1474" w:type="dxa"/>
            <w:vAlign w:val="center"/>
          </w:tcPr>
          <w:p>
            <w:pPr>
              <w:pStyle w:val="13"/>
            </w:pPr>
            <w:r>
              <w:t>569.73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232.67</w:t>
            </w:r>
          </w:p>
        </w:tc>
        <w:tc>
          <w:tcPr>
            <w:tcW w:w="1474" w:type="dxa"/>
            <w:vAlign w:val="center"/>
          </w:tcPr>
          <w:p>
            <w:pPr>
              <w:pStyle w:val="13"/>
            </w:pPr>
            <w:r>
              <w:t>232.67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29.95</w:t>
            </w:r>
          </w:p>
        </w:tc>
        <w:tc>
          <w:tcPr>
            <w:tcW w:w="1474" w:type="dxa"/>
            <w:vAlign w:val="center"/>
          </w:tcPr>
          <w:p>
            <w:pPr>
              <w:pStyle w:val="13"/>
            </w:pPr>
            <w:r>
              <w:t>29.95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41.82</w:t>
            </w:r>
          </w:p>
        </w:tc>
        <w:tc>
          <w:tcPr>
            <w:tcW w:w="1474" w:type="dxa"/>
            <w:vAlign w:val="center"/>
          </w:tcPr>
          <w:p>
            <w:pPr>
              <w:pStyle w:val="13"/>
            </w:pPr>
            <w:r>
              <w:t>41.82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874.17</w:t>
            </w:r>
          </w:p>
        </w:tc>
        <w:tc>
          <w:tcPr>
            <w:tcW w:w="3402" w:type="dxa"/>
            <w:vAlign w:val="center"/>
          </w:tcPr>
          <w:p>
            <w:pPr>
              <w:pStyle w:val="16"/>
            </w:pPr>
            <w:r>
              <w:t>本年支出合计</w:t>
            </w:r>
          </w:p>
        </w:tc>
        <w:tc>
          <w:tcPr>
            <w:tcW w:w="1474" w:type="dxa"/>
            <w:vAlign w:val="center"/>
          </w:tcPr>
          <w:p>
            <w:pPr>
              <w:pStyle w:val="17"/>
            </w:pPr>
            <w:r>
              <w:t>874.17</w:t>
            </w:r>
          </w:p>
        </w:tc>
        <w:tc>
          <w:tcPr>
            <w:tcW w:w="1474" w:type="dxa"/>
            <w:vAlign w:val="center"/>
          </w:tcPr>
          <w:p>
            <w:pPr>
              <w:pStyle w:val="17"/>
            </w:pPr>
            <w:r>
              <w:t>874.17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874.17</w:t>
            </w:r>
          </w:p>
        </w:tc>
        <w:tc>
          <w:tcPr>
            <w:tcW w:w="3402" w:type="dxa"/>
            <w:vAlign w:val="center"/>
          </w:tcPr>
          <w:p>
            <w:pPr>
              <w:pStyle w:val="16"/>
            </w:pPr>
            <w:r>
              <w:t>支出总计</w:t>
            </w:r>
          </w:p>
        </w:tc>
        <w:tc>
          <w:tcPr>
            <w:tcW w:w="1474" w:type="dxa"/>
            <w:vAlign w:val="center"/>
          </w:tcPr>
          <w:p>
            <w:pPr>
              <w:pStyle w:val="17"/>
            </w:pPr>
            <w:r>
              <w:t>874.17</w:t>
            </w:r>
          </w:p>
        </w:tc>
        <w:tc>
          <w:tcPr>
            <w:tcW w:w="1474" w:type="dxa"/>
            <w:vAlign w:val="center"/>
          </w:tcPr>
          <w:p>
            <w:pPr>
              <w:pStyle w:val="17"/>
            </w:pPr>
            <w:r>
              <w:t>874.17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874.17</w:t>
            </w:r>
          </w:p>
        </w:tc>
        <w:tc>
          <w:tcPr>
            <w:tcW w:w="2551" w:type="dxa"/>
            <w:vAlign w:val="center"/>
          </w:tcPr>
          <w:p>
            <w:pPr>
              <w:pStyle w:val="17"/>
            </w:pPr>
            <w:r>
              <w:t>764.07</w:t>
            </w:r>
          </w:p>
        </w:tc>
        <w:tc>
          <w:tcPr>
            <w:tcW w:w="2551" w:type="dxa"/>
            <w:vAlign w:val="center"/>
          </w:tcPr>
          <w:p>
            <w:pPr>
              <w:pStyle w:val="17"/>
            </w:pPr>
            <w:r>
              <w:t>110.10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569.73</w:t>
            </w:r>
          </w:p>
        </w:tc>
        <w:tc>
          <w:tcPr>
            <w:tcW w:w="2551" w:type="dxa"/>
            <w:vAlign w:val="center"/>
          </w:tcPr>
          <w:p>
            <w:pPr>
              <w:pStyle w:val="13"/>
            </w:pPr>
            <w:r>
              <w:t>470.23</w:t>
            </w:r>
          </w:p>
        </w:tc>
        <w:tc>
          <w:tcPr>
            <w:tcW w:w="2551" w:type="dxa"/>
            <w:vAlign w:val="center"/>
          </w:tcPr>
          <w:p>
            <w:pPr>
              <w:pStyle w:val="13"/>
            </w:pPr>
            <w:r>
              <w:t>99.50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20102</w:t>
            </w:r>
          </w:p>
        </w:tc>
        <w:tc>
          <w:tcPr>
            <w:tcW w:w="4535" w:type="dxa"/>
            <w:vAlign w:val="center"/>
          </w:tcPr>
          <w:p>
            <w:pPr>
              <w:pStyle w:val="14"/>
            </w:pPr>
            <w:r>
              <w:t>政协事务</w:t>
            </w:r>
          </w:p>
        </w:tc>
        <w:tc>
          <w:tcPr>
            <w:tcW w:w="2551" w:type="dxa"/>
            <w:vAlign w:val="center"/>
          </w:tcPr>
          <w:p>
            <w:pPr>
              <w:pStyle w:val="13"/>
            </w:pPr>
            <w:r>
              <w:t>569.73</w:t>
            </w:r>
          </w:p>
        </w:tc>
        <w:tc>
          <w:tcPr>
            <w:tcW w:w="2551" w:type="dxa"/>
            <w:vAlign w:val="center"/>
          </w:tcPr>
          <w:p>
            <w:pPr>
              <w:pStyle w:val="13"/>
            </w:pPr>
            <w:r>
              <w:t>470.23</w:t>
            </w:r>
          </w:p>
        </w:tc>
        <w:tc>
          <w:tcPr>
            <w:tcW w:w="2551" w:type="dxa"/>
            <w:vAlign w:val="center"/>
          </w:tcPr>
          <w:p>
            <w:pPr>
              <w:pStyle w:val="13"/>
            </w:pPr>
            <w:r>
              <w:t>99.50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2010201</w:t>
            </w:r>
          </w:p>
        </w:tc>
        <w:tc>
          <w:tcPr>
            <w:tcW w:w="4535" w:type="dxa"/>
            <w:vAlign w:val="center"/>
          </w:tcPr>
          <w:p>
            <w:pPr>
              <w:pStyle w:val="14"/>
            </w:pPr>
            <w:r>
              <w:t>行政运行</w:t>
            </w:r>
          </w:p>
        </w:tc>
        <w:tc>
          <w:tcPr>
            <w:tcW w:w="2551" w:type="dxa"/>
            <w:vAlign w:val="center"/>
          </w:tcPr>
          <w:p>
            <w:pPr>
              <w:pStyle w:val="13"/>
            </w:pPr>
            <w:r>
              <w:t>470.23</w:t>
            </w:r>
          </w:p>
        </w:tc>
        <w:tc>
          <w:tcPr>
            <w:tcW w:w="2551" w:type="dxa"/>
            <w:vAlign w:val="center"/>
          </w:tcPr>
          <w:p>
            <w:pPr>
              <w:pStyle w:val="13"/>
            </w:pPr>
            <w:r>
              <w:t>470.23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2010202</w:t>
            </w:r>
          </w:p>
        </w:tc>
        <w:tc>
          <w:tcPr>
            <w:tcW w:w="4535" w:type="dxa"/>
            <w:vAlign w:val="center"/>
          </w:tcPr>
          <w:p>
            <w:pPr>
              <w:pStyle w:val="14"/>
            </w:pPr>
            <w:r>
              <w:t>一般行政管理事务</w:t>
            </w:r>
          </w:p>
        </w:tc>
        <w:tc>
          <w:tcPr>
            <w:tcW w:w="2551" w:type="dxa"/>
            <w:vAlign w:val="center"/>
          </w:tcPr>
          <w:p>
            <w:pPr>
              <w:pStyle w:val="13"/>
            </w:pPr>
            <w:r>
              <w:t>99.50</w:t>
            </w:r>
          </w:p>
        </w:tc>
        <w:tc>
          <w:tcPr>
            <w:tcW w:w="2551" w:type="dxa"/>
            <w:vAlign w:val="center"/>
          </w:tcPr>
          <w:p>
            <w:pPr>
              <w:pStyle w:val="13"/>
            </w:pPr>
          </w:p>
        </w:tc>
        <w:tc>
          <w:tcPr>
            <w:tcW w:w="2551" w:type="dxa"/>
            <w:vAlign w:val="center"/>
          </w:tcPr>
          <w:p>
            <w:pPr>
              <w:pStyle w:val="13"/>
            </w:pPr>
            <w:r>
              <w:t>99.50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232.67</w:t>
            </w:r>
          </w:p>
        </w:tc>
        <w:tc>
          <w:tcPr>
            <w:tcW w:w="2551" w:type="dxa"/>
            <w:vAlign w:val="center"/>
          </w:tcPr>
          <w:p>
            <w:pPr>
              <w:pStyle w:val="13"/>
            </w:pPr>
            <w:r>
              <w:t>222.07</w:t>
            </w:r>
          </w:p>
        </w:tc>
        <w:tc>
          <w:tcPr>
            <w:tcW w:w="2551"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222.07</w:t>
            </w:r>
          </w:p>
        </w:tc>
        <w:tc>
          <w:tcPr>
            <w:tcW w:w="2551" w:type="dxa"/>
            <w:vAlign w:val="center"/>
          </w:tcPr>
          <w:p>
            <w:pPr>
              <w:pStyle w:val="13"/>
            </w:pPr>
            <w:r>
              <w:t>222.07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180.34</w:t>
            </w:r>
          </w:p>
        </w:tc>
        <w:tc>
          <w:tcPr>
            <w:tcW w:w="2551" w:type="dxa"/>
            <w:vAlign w:val="center"/>
          </w:tcPr>
          <w:p>
            <w:pPr>
              <w:pStyle w:val="13"/>
            </w:pPr>
            <w:r>
              <w:t>180.34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41.73</w:t>
            </w:r>
          </w:p>
        </w:tc>
        <w:tc>
          <w:tcPr>
            <w:tcW w:w="2551" w:type="dxa"/>
            <w:vAlign w:val="center"/>
          </w:tcPr>
          <w:p>
            <w:pPr>
              <w:pStyle w:val="13"/>
            </w:pPr>
            <w:r>
              <w:t>41.73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10.60</w:t>
            </w:r>
          </w:p>
        </w:tc>
        <w:tc>
          <w:tcPr>
            <w:tcW w:w="2551" w:type="dxa"/>
            <w:vAlign w:val="center"/>
          </w:tcPr>
          <w:p>
            <w:pPr>
              <w:pStyle w:val="13"/>
            </w:pPr>
          </w:p>
        </w:tc>
        <w:tc>
          <w:tcPr>
            <w:tcW w:w="2551"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10.60</w:t>
            </w:r>
          </w:p>
        </w:tc>
        <w:tc>
          <w:tcPr>
            <w:tcW w:w="2551" w:type="dxa"/>
            <w:vAlign w:val="center"/>
          </w:tcPr>
          <w:p>
            <w:pPr>
              <w:pStyle w:val="13"/>
            </w:pPr>
          </w:p>
        </w:tc>
        <w:tc>
          <w:tcPr>
            <w:tcW w:w="2551"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29.95</w:t>
            </w:r>
          </w:p>
        </w:tc>
        <w:tc>
          <w:tcPr>
            <w:tcW w:w="2551" w:type="dxa"/>
            <w:vAlign w:val="center"/>
          </w:tcPr>
          <w:p>
            <w:pPr>
              <w:pStyle w:val="13"/>
            </w:pPr>
            <w:r>
              <w:t>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29.95</w:t>
            </w:r>
          </w:p>
        </w:tc>
        <w:tc>
          <w:tcPr>
            <w:tcW w:w="2551" w:type="dxa"/>
            <w:vAlign w:val="center"/>
          </w:tcPr>
          <w:p>
            <w:pPr>
              <w:pStyle w:val="13"/>
            </w:pPr>
            <w:r>
              <w:t>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29.95</w:t>
            </w:r>
          </w:p>
        </w:tc>
        <w:tc>
          <w:tcPr>
            <w:tcW w:w="2551" w:type="dxa"/>
            <w:vAlign w:val="center"/>
          </w:tcPr>
          <w:p>
            <w:pPr>
              <w:pStyle w:val="13"/>
            </w:pPr>
            <w:r>
              <w:t>29.95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41.82</w:t>
            </w:r>
          </w:p>
        </w:tc>
        <w:tc>
          <w:tcPr>
            <w:tcW w:w="2551" w:type="dxa"/>
            <w:vAlign w:val="center"/>
          </w:tcPr>
          <w:p>
            <w:pPr>
              <w:pStyle w:val="13"/>
            </w:pPr>
            <w:r>
              <w:t>41.82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41.82</w:t>
            </w:r>
          </w:p>
        </w:tc>
        <w:tc>
          <w:tcPr>
            <w:tcW w:w="2551" w:type="dxa"/>
            <w:vAlign w:val="center"/>
          </w:tcPr>
          <w:p>
            <w:pPr>
              <w:pStyle w:val="13"/>
            </w:pPr>
            <w:r>
              <w:t>41.82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41.82</w:t>
            </w:r>
          </w:p>
        </w:tc>
        <w:tc>
          <w:tcPr>
            <w:tcW w:w="2551" w:type="dxa"/>
            <w:vAlign w:val="center"/>
          </w:tcPr>
          <w:p>
            <w:pPr>
              <w:pStyle w:val="13"/>
            </w:pPr>
            <w:r>
              <w:t>41.82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764.07</w:t>
            </w:r>
          </w:p>
        </w:tc>
        <w:tc>
          <w:tcPr>
            <w:tcW w:w="2551" w:type="dxa"/>
            <w:vAlign w:val="center"/>
          </w:tcPr>
          <w:p>
            <w:pPr>
              <w:pStyle w:val="17"/>
            </w:pPr>
            <w:r>
              <w:t>611.82</w:t>
            </w:r>
          </w:p>
        </w:tc>
        <w:tc>
          <w:tcPr>
            <w:tcW w:w="2552" w:type="dxa"/>
            <w:vAlign w:val="center"/>
          </w:tcPr>
          <w:p>
            <w:pPr>
              <w:pStyle w:val="17"/>
            </w:pPr>
            <w:r>
              <w:t>152.25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431.04</w:t>
            </w:r>
          </w:p>
        </w:tc>
        <w:tc>
          <w:tcPr>
            <w:tcW w:w="2551" w:type="dxa"/>
            <w:vAlign w:val="center"/>
          </w:tcPr>
          <w:p>
            <w:pPr>
              <w:pStyle w:val="13"/>
            </w:pPr>
            <w:r>
              <w:t>431.04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119.89</w:t>
            </w:r>
          </w:p>
        </w:tc>
        <w:tc>
          <w:tcPr>
            <w:tcW w:w="2551" w:type="dxa"/>
            <w:vAlign w:val="center"/>
          </w:tcPr>
          <w:p>
            <w:pPr>
              <w:pStyle w:val="13"/>
            </w:pPr>
            <w:r>
              <w:t>119.89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92.94</w:t>
            </w:r>
          </w:p>
        </w:tc>
        <w:tc>
          <w:tcPr>
            <w:tcW w:w="2551" w:type="dxa"/>
            <w:vAlign w:val="center"/>
          </w:tcPr>
          <w:p>
            <w:pPr>
              <w:pStyle w:val="13"/>
            </w:pPr>
            <w:r>
              <w:t>92.94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103.71</w:t>
            </w:r>
          </w:p>
        </w:tc>
        <w:tc>
          <w:tcPr>
            <w:tcW w:w="2551" w:type="dxa"/>
            <w:vAlign w:val="center"/>
          </w:tcPr>
          <w:p>
            <w:pPr>
              <w:pStyle w:val="13"/>
            </w:pPr>
            <w:r>
              <w:t>103.71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41.73</w:t>
            </w:r>
          </w:p>
        </w:tc>
        <w:tc>
          <w:tcPr>
            <w:tcW w:w="2551" w:type="dxa"/>
            <w:vAlign w:val="center"/>
          </w:tcPr>
          <w:p>
            <w:pPr>
              <w:pStyle w:val="13"/>
            </w:pPr>
            <w:r>
              <w:t>41.73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16.88</w:t>
            </w:r>
          </w:p>
        </w:tc>
        <w:tc>
          <w:tcPr>
            <w:tcW w:w="2551" w:type="dxa"/>
            <w:vAlign w:val="center"/>
          </w:tcPr>
          <w:p>
            <w:pPr>
              <w:pStyle w:val="13"/>
            </w:pPr>
            <w:r>
              <w:t>16.88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13.06</w:t>
            </w:r>
          </w:p>
        </w:tc>
        <w:tc>
          <w:tcPr>
            <w:tcW w:w="2551" w:type="dxa"/>
            <w:vAlign w:val="center"/>
          </w:tcPr>
          <w:p>
            <w:pPr>
              <w:pStyle w:val="13"/>
            </w:pPr>
            <w:r>
              <w:t>13.06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w:t>
            </w:r>
          </w:p>
        </w:tc>
        <w:tc>
          <w:tcPr>
            <w:tcW w:w="2551" w:type="dxa"/>
            <w:vAlign w:val="center"/>
          </w:tcPr>
          <w:p>
            <w:pPr>
              <w:pStyle w:val="13"/>
            </w:pPr>
            <w:r>
              <w:t>1.00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41.82</w:t>
            </w:r>
          </w:p>
        </w:tc>
        <w:tc>
          <w:tcPr>
            <w:tcW w:w="2551" w:type="dxa"/>
            <w:vAlign w:val="center"/>
          </w:tcPr>
          <w:p>
            <w:pPr>
              <w:pStyle w:val="13"/>
            </w:pPr>
            <w:r>
              <w:t>41.82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145.93</w:t>
            </w:r>
          </w:p>
        </w:tc>
        <w:tc>
          <w:tcPr>
            <w:tcW w:w="2551" w:type="dxa"/>
            <w:vAlign w:val="center"/>
          </w:tcPr>
          <w:p>
            <w:pPr>
              <w:pStyle w:val="13"/>
            </w:pPr>
          </w:p>
        </w:tc>
        <w:tc>
          <w:tcPr>
            <w:tcW w:w="2552" w:type="dxa"/>
            <w:vAlign w:val="center"/>
          </w:tcPr>
          <w:p>
            <w:pPr>
              <w:pStyle w:val="13"/>
            </w:pPr>
            <w:r>
              <w:t>145.93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4.98</w:t>
            </w:r>
          </w:p>
        </w:tc>
        <w:tc>
          <w:tcPr>
            <w:tcW w:w="2551" w:type="dxa"/>
            <w:vAlign w:val="center"/>
          </w:tcPr>
          <w:p>
            <w:pPr>
              <w:pStyle w:val="13"/>
            </w:pPr>
          </w:p>
        </w:tc>
        <w:tc>
          <w:tcPr>
            <w:tcW w:w="2552" w:type="dxa"/>
            <w:vAlign w:val="center"/>
          </w:tcPr>
          <w:p>
            <w:pPr>
              <w:pStyle w:val="13"/>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14.62</w:t>
            </w:r>
          </w:p>
        </w:tc>
        <w:tc>
          <w:tcPr>
            <w:tcW w:w="2551" w:type="dxa"/>
            <w:vAlign w:val="center"/>
          </w:tcPr>
          <w:p>
            <w:pPr>
              <w:pStyle w:val="13"/>
            </w:pPr>
          </w:p>
        </w:tc>
        <w:tc>
          <w:tcPr>
            <w:tcW w:w="2552" w:type="dxa"/>
            <w:vAlign w:val="center"/>
          </w:tcPr>
          <w:p>
            <w:pPr>
              <w:pStyle w:val="13"/>
            </w:pPr>
            <w:r>
              <w:t>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78.49</w:t>
            </w:r>
          </w:p>
        </w:tc>
        <w:tc>
          <w:tcPr>
            <w:tcW w:w="2551" w:type="dxa"/>
            <w:vAlign w:val="center"/>
          </w:tcPr>
          <w:p>
            <w:pPr>
              <w:pStyle w:val="13"/>
            </w:pPr>
          </w:p>
        </w:tc>
        <w:tc>
          <w:tcPr>
            <w:tcW w:w="2552" w:type="dxa"/>
            <w:vAlign w:val="center"/>
          </w:tcPr>
          <w:p>
            <w:pPr>
              <w:pStyle w:val="13"/>
            </w:pPr>
            <w:r>
              <w:t>78.49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2.39</w:t>
            </w:r>
          </w:p>
        </w:tc>
        <w:tc>
          <w:tcPr>
            <w:tcW w:w="2551" w:type="dxa"/>
            <w:vAlign w:val="center"/>
          </w:tcPr>
          <w:p>
            <w:pPr>
              <w:pStyle w:val="13"/>
            </w:pPr>
          </w:p>
        </w:tc>
        <w:tc>
          <w:tcPr>
            <w:tcW w:w="2552" w:type="dxa"/>
            <w:vAlign w:val="center"/>
          </w:tcPr>
          <w:p>
            <w:pPr>
              <w:pStyle w:val="13"/>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16.20</w:t>
            </w:r>
          </w:p>
        </w:tc>
        <w:tc>
          <w:tcPr>
            <w:tcW w:w="2551" w:type="dxa"/>
            <w:vAlign w:val="center"/>
          </w:tcPr>
          <w:p>
            <w:pPr>
              <w:pStyle w:val="13"/>
            </w:pPr>
          </w:p>
        </w:tc>
        <w:tc>
          <w:tcPr>
            <w:tcW w:w="2552"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19.22</w:t>
            </w:r>
          </w:p>
        </w:tc>
        <w:tc>
          <w:tcPr>
            <w:tcW w:w="2551" w:type="dxa"/>
            <w:vAlign w:val="center"/>
          </w:tcPr>
          <w:p>
            <w:pPr>
              <w:pStyle w:val="13"/>
            </w:pPr>
          </w:p>
        </w:tc>
        <w:tc>
          <w:tcPr>
            <w:tcW w:w="2552" w:type="dxa"/>
            <w:vAlign w:val="center"/>
          </w:tcPr>
          <w:p>
            <w:pPr>
              <w:pStyle w:val="13"/>
            </w:pPr>
            <w:r>
              <w:t>19.22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5.02</w:t>
            </w:r>
          </w:p>
        </w:tc>
        <w:tc>
          <w:tcPr>
            <w:tcW w:w="2551" w:type="dxa"/>
            <w:vAlign w:val="center"/>
          </w:tcPr>
          <w:p>
            <w:pPr>
              <w:pStyle w:val="13"/>
            </w:pPr>
          </w:p>
        </w:tc>
        <w:tc>
          <w:tcPr>
            <w:tcW w:w="2552"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180.78</w:t>
            </w:r>
          </w:p>
        </w:tc>
        <w:tc>
          <w:tcPr>
            <w:tcW w:w="2551" w:type="dxa"/>
            <w:vAlign w:val="center"/>
          </w:tcPr>
          <w:p>
            <w:pPr>
              <w:pStyle w:val="13"/>
            </w:pPr>
            <w:r>
              <w:t>180.78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18.71</w:t>
            </w:r>
          </w:p>
        </w:tc>
        <w:tc>
          <w:tcPr>
            <w:tcW w:w="2551" w:type="dxa"/>
            <w:vAlign w:val="center"/>
          </w:tcPr>
          <w:p>
            <w:pPr>
              <w:pStyle w:val="13"/>
            </w:pPr>
            <w:r>
              <w:t>18.71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157.05</w:t>
            </w:r>
          </w:p>
        </w:tc>
        <w:tc>
          <w:tcPr>
            <w:tcW w:w="2551" w:type="dxa"/>
            <w:vAlign w:val="center"/>
          </w:tcPr>
          <w:p>
            <w:pPr>
              <w:pStyle w:val="13"/>
            </w:pPr>
            <w:r>
              <w:t>157.05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4.97</w:t>
            </w:r>
          </w:p>
        </w:tc>
        <w:tc>
          <w:tcPr>
            <w:tcW w:w="2551" w:type="dxa"/>
            <w:vAlign w:val="center"/>
          </w:tcPr>
          <w:p>
            <w:pPr>
              <w:pStyle w:val="13"/>
            </w:pPr>
            <w:r>
              <w:t>4.97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0.05</w:t>
            </w:r>
          </w:p>
        </w:tc>
        <w:tc>
          <w:tcPr>
            <w:tcW w:w="2551" w:type="dxa"/>
            <w:vAlign w:val="center"/>
          </w:tcPr>
          <w:p>
            <w:pPr>
              <w:pStyle w:val="13"/>
            </w:pPr>
            <w:r>
              <w:t>0.05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6.33</w:t>
            </w:r>
          </w:p>
        </w:tc>
        <w:tc>
          <w:tcPr>
            <w:tcW w:w="2551" w:type="dxa"/>
            <w:vAlign w:val="center"/>
          </w:tcPr>
          <w:p>
            <w:pPr>
              <w:pStyle w:val="13"/>
            </w:pPr>
          </w:p>
        </w:tc>
        <w:tc>
          <w:tcPr>
            <w:tcW w:w="2552" w:type="dxa"/>
            <w:vAlign w:val="center"/>
          </w:tcPr>
          <w:p>
            <w:pPr>
              <w:pStyle w:val="13"/>
            </w:pPr>
            <w: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6.33</w:t>
            </w:r>
          </w:p>
        </w:tc>
        <w:tc>
          <w:tcPr>
            <w:tcW w:w="2551" w:type="dxa"/>
            <w:vAlign w:val="center"/>
          </w:tcPr>
          <w:p>
            <w:pPr>
              <w:pStyle w:val="13"/>
            </w:pPr>
          </w:p>
        </w:tc>
        <w:tc>
          <w:tcPr>
            <w:tcW w:w="2552" w:type="dxa"/>
            <w:vAlign w:val="center"/>
          </w:tcPr>
          <w:p>
            <w:pPr>
              <w:pStyle w:val="13"/>
            </w:pPr>
            <w:r>
              <w:t>6.33</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16.20</w:t>
            </w:r>
          </w:p>
        </w:tc>
        <w:tc>
          <w:tcPr>
            <w:tcW w:w="2381" w:type="dxa"/>
            <w:vAlign w:val="center"/>
          </w:tcPr>
          <w:p>
            <w:pPr>
              <w:pStyle w:val="17"/>
            </w:pPr>
            <w:r>
              <w:t>16.20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中国人民政治协商会议河北省石家庄市鹿泉区委员会2023年部门预算信息公开情况说明</w:t>
      </w:r>
    </w:p>
    <w:p>
      <w:pPr>
        <w:jc w:val="center"/>
      </w:pPr>
      <w:r>
        <w:rPr>
          <w:rFonts w:ascii="方正小标宋_GBK" w:hAnsi="方正小标宋_GBK" w:eastAsia="方正小标宋_GBK" w:cs="方正小标宋_GBK"/>
          <w:color w:val="000000"/>
          <w:sz w:val="44"/>
        </w:rPr>
        <w:t>中国人民政治协商会议河北省石家庄市鹿泉区委员会2023年部门预算信息公开情况说明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》、《地方预决算公开操作规程》和《关于进一步推进预算公开工作的实施意见》规定，现将中国人民政治协商会议河北省石家庄市鹿泉区委员会2023年部门预算公开如下：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一、政治协商</w:t>
      </w:r>
    </w:p>
    <w:p>
      <w:pPr>
        <w:pStyle w:val="19"/>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pPr>
        <w:pStyle w:val="19"/>
      </w:pPr>
      <w:r>
        <w:t>二、民主监督</w:t>
      </w:r>
    </w:p>
    <w:p>
      <w:pPr>
        <w:pStyle w:val="19"/>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pPr>
        <w:pStyle w:val="19"/>
      </w:pPr>
      <w:r>
        <w:t>三、参政议政</w:t>
      </w:r>
    </w:p>
    <w:p>
      <w:pPr>
        <w:pStyle w:val="19"/>
      </w:pPr>
      <w: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通过界别渠道密切联系群众，反映社情民意，努力做到协调关系、化解矛盾、理顺情绪，增进社会各阶层不同利益群体的和谐和稳定。</w:t>
      </w:r>
    </w:p>
    <w:p>
      <w:pPr>
        <w:pStyle w:val="19"/>
      </w:pPr>
      <w:r>
        <w:t>四、政协事务管理</w:t>
      </w:r>
    </w:p>
    <w:p>
      <w:pPr>
        <w:pStyle w:val="19"/>
      </w:pPr>
      <w:r>
        <w:t xml:space="preserve">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中国人民政治协商会议河北省石家庄市鹿泉区委员会本级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按照预算管理有关规定，目前我省部门预算的编制实行综合预算管理，即全部收入和支出都反映在预算中。中国人民政治协商会议河北省石家庄市鹿泉区委员会机关及所属事业单位的收支包含在部门预算中。</w:t>
      </w:r>
    </w:p>
    <w:p>
      <w:pPr>
        <w:pStyle w:val="20"/>
      </w:pPr>
      <w:r>
        <w:t>1、收入说明</w:t>
      </w:r>
    </w:p>
    <w:p>
      <w:pPr>
        <w:pStyle w:val="20"/>
        <w:rPr>
          <w:rFonts w:hint="eastAsia"/>
          <w:lang w:eastAsia="zh-CN"/>
        </w:rPr>
      </w:pPr>
      <w:r>
        <w:t>反映本部门当年全部收入。2023年预算</w:t>
      </w:r>
      <w:r>
        <w:rPr>
          <w:rFonts w:hint="eastAsia"/>
          <w:lang w:val="en-US" w:eastAsia="zh-CN"/>
        </w:rPr>
        <w:t>总</w:t>
      </w:r>
      <w:r>
        <w:t>收入</w:t>
      </w:r>
      <w:r>
        <w:rPr>
          <w:rFonts w:hint="eastAsia" w:eastAsiaTheme="minorEastAsia"/>
          <w:lang w:eastAsia="zh-CN"/>
        </w:rPr>
        <w:t>874.17</w:t>
      </w:r>
      <w:r>
        <w:t>万元</w:t>
      </w:r>
      <w:r>
        <w:rPr>
          <w:rFonts w:hint="eastAsia"/>
          <w:lang w:eastAsia="zh-CN"/>
        </w:rPr>
        <w:t>，</w:t>
      </w:r>
      <w:r>
        <w:t>其中</w:t>
      </w:r>
      <w:r>
        <w:rPr>
          <w:rFonts w:hint="eastAsia"/>
          <w:lang w:eastAsia="zh-CN"/>
        </w:rPr>
        <w:t>：</w:t>
      </w:r>
      <w:r>
        <w:t>一般公共预算收入</w:t>
      </w:r>
      <w:r>
        <w:rPr>
          <w:rFonts w:hint="eastAsia" w:eastAsiaTheme="minorEastAsia"/>
          <w:lang w:eastAsia="zh-CN"/>
        </w:rPr>
        <w:t>874.17</w:t>
      </w:r>
      <w:r>
        <w:t>万元</w:t>
      </w:r>
      <w:r>
        <w:rPr>
          <w:rFonts w:hint="eastAsia"/>
          <w:lang w:eastAsia="zh-CN"/>
        </w:rPr>
        <w:t>，基金预算收入0万元，财政专户核拨收入0万元，其他来源收入0万元。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收支预算总表支出栏、基本支出表、项目支出表按经济分类和支出功能分类科目编制，反映中国人民政治协商会议河北省石家庄市鹿泉区委员会年度部门预算中支出预算的总体情况。202</w:t>
      </w:r>
      <w:r>
        <w:rPr>
          <w:rFonts w:hint="eastAsia" w:eastAsiaTheme="minorEastAsia"/>
          <w:lang w:eastAsia="zh-CN"/>
        </w:rPr>
        <w:t>3</w:t>
      </w:r>
      <w:r>
        <w:t>年支出预算</w:t>
      </w:r>
      <w:r>
        <w:rPr>
          <w:rFonts w:hint="eastAsia" w:eastAsiaTheme="minorEastAsia"/>
          <w:lang w:eastAsia="zh-CN"/>
        </w:rPr>
        <w:t>874.17</w:t>
      </w:r>
      <w:r>
        <w:t>万元，其中基本支出</w:t>
      </w:r>
      <w:r>
        <w:rPr>
          <w:rFonts w:hint="eastAsia" w:eastAsiaTheme="minorEastAsia"/>
          <w:lang w:eastAsia="zh-CN"/>
        </w:rPr>
        <w:t>764.07</w:t>
      </w:r>
      <w:r>
        <w:t>万元，包括人员经费</w:t>
      </w:r>
      <w:r>
        <w:rPr>
          <w:rFonts w:hint="eastAsia" w:eastAsiaTheme="minorEastAsia"/>
          <w:lang w:eastAsia="zh-CN"/>
        </w:rPr>
        <w:t>611.82</w:t>
      </w:r>
      <w:r>
        <w:t>万元和日常公用经费</w:t>
      </w:r>
      <w:r>
        <w:rPr>
          <w:rFonts w:hint="eastAsia" w:eastAsiaTheme="minorEastAsia"/>
          <w:lang w:eastAsia="zh-CN"/>
        </w:rPr>
        <w:t>152.25</w:t>
      </w:r>
      <w:r>
        <w:t>万元；项目支出</w:t>
      </w:r>
      <w:r>
        <w:rPr>
          <w:rFonts w:hint="eastAsia" w:eastAsiaTheme="minorEastAsia"/>
          <w:lang w:eastAsia="zh-CN"/>
        </w:rPr>
        <w:t>110.10</w:t>
      </w:r>
      <w:r>
        <w:t>万元，主要为政协会议费、涉军公益岗工资、工商联专项业务费、“智慧政协”平台建设费、政协委员报刊杂志书籍订阅费、政协委员工作站（室）建设活动经费、政协会议政务202</w:t>
      </w:r>
      <w:r>
        <w:rPr>
          <w:rFonts w:hint="eastAsia" w:eastAsiaTheme="minorEastAsia"/>
          <w:lang w:eastAsia="zh-CN"/>
        </w:rPr>
        <w:t>3</w:t>
      </w:r>
      <w:r>
        <w:t>年外网使用费及“智慧政协”移动云服务费、公务接待费、政协委员专项经费。</w:t>
      </w:r>
    </w:p>
    <w:p>
      <w:pPr>
        <w:pStyle w:val="20"/>
      </w:pPr>
      <w:r>
        <w:t>3、比上年增减情况</w:t>
      </w:r>
    </w:p>
    <w:p>
      <w:pPr>
        <w:pStyle w:val="20"/>
      </w:pPr>
      <w:r>
        <w:t>202</w:t>
      </w:r>
      <w:r>
        <w:rPr>
          <w:rFonts w:hint="eastAsia" w:eastAsiaTheme="minorEastAsia"/>
          <w:lang w:eastAsia="zh-CN"/>
        </w:rPr>
        <w:t>3</w:t>
      </w:r>
      <w:r>
        <w:t>年预算收支安排</w:t>
      </w:r>
      <w:r>
        <w:rPr>
          <w:rFonts w:hint="eastAsia" w:eastAsiaTheme="minorEastAsia"/>
          <w:lang w:eastAsia="zh-CN"/>
        </w:rPr>
        <w:t>874.17</w:t>
      </w:r>
      <w:r>
        <w:t>万元，较202</w:t>
      </w:r>
      <w:r>
        <w:rPr>
          <w:rFonts w:hint="eastAsia" w:eastAsiaTheme="minorEastAsia"/>
          <w:lang w:eastAsia="zh-CN"/>
        </w:rPr>
        <w:t>2</w:t>
      </w:r>
      <w:r>
        <w:t>年预算</w:t>
      </w:r>
      <w:r>
        <w:rPr>
          <w:rFonts w:hint="eastAsia" w:eastAsiaTheme="minorEastAsia"/>
          <w:lang w:eastAsia="zh-CN"/>
        </w:rPr>
        <w:t>减少5.17</w:t>
      </w:r>
      <w:r>
        <w:t>万元，其中基本支出</w:t>
      </w:r>
      <w:r>
        <w:rPr>
          <w:rFonts w:hint="eastAsia" w:eastAsiaTheme="minorEastAsia"/>
          <w:lang w:eastAsia="zh-CN"/>
        </w:rPr>
        <w:t>减少3.49</w:t>
      </w:r>
      <w:r>
        <w:t>万元，主要为人员经费</w:t>
      </w:r>
      <w:r>
        <w:rPr>
          <w:rFonts w:hint="eastAsia" w:eastAsiaTheme="minorEastAsia"/>
          <w:lang w:eastAsia="zh-CN"/>
        </w:rPr>
        <w:t>减少</w:t>
      </w:r>
      <w:r>
        <w:t>；项目支出</w:t>
      </w:r>
      <w:r>
        <w:rPr>
          <w:rFonts w:hint="eastAsia" w:eastAsiaTheme="minorEastAsia"/>
          <w:lang w:eastAsia="zh-CN"/>
        </w:rPr>
        <w:t>减少1.68</w:t>
      </w:r>
      <w:r>
        <w:t>万元，主要为项目</w:t>
      </w:r>
      <w:r>
        <w:rPr>
          <w:rFonts w:hint="eastAsia"/>
          <w:lang w:val="en-US" w:eastAsia="zh-CN"/>
        </w:rPr>
        <w:t>经费</w:t>
      </w:r>
      <w:r>
        <w:rPr>
          <w:rFonts w:hint="eastAsia" w:eastAsiaTheme="minorEastAsia"/>
          <w:lang w:eastAsia="zh-CN"/>
        </w:rPr>
        <w:t>减少</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2023年我单位机关运行经费预算</w:t>
      </w:r>
      <w:r>
        <w:rPr>
          <w:rFonts w:hint="eastAsia" w:eastAsiaTheme="minorEastAsia"/>
          <w:lang w:eastAsia="zh-CN"/>
        </w:rPr>
        <w:t>152.25万元，</w:t>
      </w:r>
      <w:r>
        <w:t>主要包括机关办公经费、印刷费、差旅费、劳务派遣人员工资、工会费、福利费、交通补、通讯补等维持机关正常运转费用。</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eastAsiaTheme="minorEastAsia"/>
          <w:lang w:eastAsia="zh-CN"/>
        </w:rPr>
        <w:t>3</w:t>
      </w:r>
      <w:r>
        <w:t>年，我</w:t>
      </w:r>
      <w:r>
        <w:rPr>
          <w:rFonts w:hint="eastAsia"/>
          <w:lang w:val="en-US" w:eastAsia="zh-CN"/>
        </w:rPr>
        <w:t>单位</w:t>
      </w:r>
      <w:r>
        <w:t>财政拨款</w:t>
      </w:r>
      <w:r>
        <w:rPr>
          <w:rFonts w:hint="eastAsia"/>
          <w:lang w:eastAsia="zh-CN"/>
        </w:rPr>
        <w:t>“</w:t>
      </w:r>
      <w:r>
        <w:t>三公</w:t>
      </w:r>
      <w:r>
        <w:rPr>
          <w:rFonts w:hint="eastAsia"/>
          <w:lang w:eastAsia="zh-CN"/>
        </w:rPr>
        <w:t>”</w:t>
      </w:r>
      <w:r>
        <w:t>经费预算</w:t>
      </w:r>
      <w:r>
        <w:rPr>
          <w:rFonts w:hint="eastAsia" w:eastAsiaTheme="minorEastAsia"/>
          <w:lang w:eastAsia="zh-CN"/>
        </w:rPr>
        <w:t>16.2</w:t>
      </w:r>
      <w:r>
        <w:t>万元，其中教学科研人员因公出国（境）费0万元，公务用车购置及运维费16.2万</w:t>
      </w:r>
      <w:r>
        <w:rPr>
          <w:rFonts w:hint="eastAsia"/>
          <w:lang w:val="en-US" w:eastAsia="zh-CN"/>
        </w:rPr>
        <w:t>元</w:t>
      </w:r>
      <w:r>
        <w:rPr>
          <w:rFonts w:hint="eastAsia"/>
        </w:rPr>
        <w:t>（其中：公务用车购置0万元，公务用车运行维护费</w:t>
      </w:r>
      <w:r>
        <w:rPr>
          <w:rFonts w:hint="eastAsia"/>
          <w:lang w:val="en-US" w:eastAsia="zh-CN"/>
        </w:rPr>
        <w:t>16.2</w:t>
      </w:r>
      <w:r>
        <w:rPr>
          <w:rFonts w:hint="eastAsia"/>
        </w:rPr>
        <w:t>万元）</w:t>
      </w:r>
      <w:r>
        <w:rPr>
          <w:rFonts w:hint="eastAsia"/>
          <w:lang w:eastAsia="zh-CN"/>
        </w:rPr>
        <w:t>；</w:t>
      </w:r>
      <w:r>
        <w:t>公务接待费</w:t>
      </w:r>
      <w:r>
        <w:rPr>
          <w:rFonts w:hint="eastAsia" w:eastAsiaTheme="minorEastAsia"/>
          <w:lang w:eastAsia="zh-CN"/>
        </w:rPr>
        <w:t>0</w:t>
      </w:r>
      <w:r>
        <w:t>万元</w:t>
      </w:r>
      <w:r>
        <w:rPr>
          <w:rFonts w:hint="eastAsia"/>
          <w:lang w:eastAsia="zh-CN"/>
        </w:rPr>
        <w:t>。“</w:t>
      </w:r>
      <w:r>
        <w:rPr>
          <w:rFonts w:hint="eastAsia"/>
          <w:lang w:val="en-US" w:eastAsia="zh-CN"/>
        </w:rPr>
        <w:t>三公“经费</w:t>
      </w:r>
      <w:r>
        <w:t>与</w:t>
      </w:r>
      <w:r>
        <w:rPr>
          <w:rFonts w:hint="eastAsia"/>
          <w:lang w:val="en-US" w:eastAsia="zh-CN"/>
        </w:rPr>
        <w:t>上年</w:t>
      </w:r>
      <w:r>
        <w:t>相比减少</w:t>
      </w:r>
      <w:r>
        <w:rPr>
          <w:rFonts w:hint="eastAsia" w:eastAsiaTheme="minorEastAsia"/>
          <w:lang w:eastAsia="zh-CN"/>
        </w:rPr>
        <w:t>2</w:t>
      </w:r>
      <w:r>
        <w:t>万元，</w:t>
      </w:r>
      <w:r>
        <w:rPr>
          <w:rFonts w:hint="eastAsia"/>
        </w:rPr>
        <w:t>主要是严格执行规范公务接待范围减少预算，节俭支出</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2023年是全面学习宣传贯彻党的二十大精神的开局之年，是全面建设社会主义现代化国家开局起步的关键之年，是全市推动经济总量过万亿、实现弯道超车的跃升之年、展示之年，也是我区扎实推进中国式现代化河北场景的“鹿泉实践”，全力打造千亿级新一代电子信息产业集群，实现率先突破的冲刺之年。今年政协工作的总体要求是：坚持以习近平新时代中国特色社会主义思想为指导，深入学习宣传贯彻党的二十大精神，全面落实</w:t>
      </w:r>
      <w:r>
        <w:rPr>
          <w:rFonts w:hint="eastAsia"/>
        </w:rPr>
        <w:t>习近平总书记关于加强和改进民族工作的重要思想</w:t>
      </w:r>
      <w:r>
        <w:t>和中央、省、市政协工作会议精神，在中共鹿泉区委的坚强领导下，紧扣区委三届四次全会确定的“建设六个现代化鹿泉”目标任务，坚持党的领导和协商民主有机结合，坚持发扬民主和增进团结相互贯通，坚持建言资政和凝聚共识双向发力，以开展“六同”行动为抓手，更高站位、更实履职、更高标准、更严要求继续推进“忠诚政协、活力政协、为民政协、智慧政协、书香政协、素质政协”建设，在加快建设现代化经济强区、魅力鹿泉、生态宜居宜业宜游新城区中，再塑政协新形象、再展政协新作为。</w:t>
      </w:r>
    </w:p>
    <w:p>
      <w:pPr>
        <w:pStyle w:val="23"/>
      </w:pPr>
    </w:p>
    <w:p>
      <w:pPr>
        <w:pStyle w:val="23"/>
      </w:pPr>
      <w:r>
        <w:t>（二）分项绩效目标</w:t>
      </w:r>
    </w:p>
    <w:p>
      <w:pPr>
        <w:pStyle w:val="23"/>
      </w:pPr>
      <w:r>
        <w:rPr>
          <w:rFonts w:hint="eastAsia" w:eastAsiaTheme="minorEastAsia"/>
          <w:lang w:eastAsia="zh-CN"/>
        </w:rPr>
        <w:t>一</w:t>
      </w:r>
      <w:r>
        <w:t>、开展“同心向党凝共识”行动，在政治引领理论武装中继续推进“忠诚政协”</w:t>
      </w:r>
    </w:p>
    <w:p>
      <w:pPr>
        <w:pStyle w:val="23"/>
      </w:pPr>
      <w:r>
        <w:t>突出党建引领，坚持区委统一领导，严格落实重大事项请示报告制度，切实做到立场特别坚定、态度特别鲜明、执行特别坚决，确保政协工作不偏向不掉队。强化理论武装，把学习宣传贯彻党的二十大精神作为首要政治任务，以“政协讲堂”“初心论坛”等形式为载体，创新开展主题党日、红色教育、读书演讲、书画展览、诗歌创作、合唱汇演等形式多样的学习活动，拓宽学习渠道，激发学习热情。广泛凝聚共识，以开展“界别同心汇”活动为载体，组织区政协主席会议成员和政协常委深入社区、农村、企业和界别群众，广泛开展党的二十大精神、省市区委全会精神系列宣讲活动，引领各党派团体、政协委员、各族各界人士深刻领悟“两个确立”的决定性意义，增强“四个意识”、坚定“四个自信”、做到“两个维护”。</w:t>
      </w:r>
    </w:p>
    <w:p>
      <w:pPr>
        <w:pStyle w:val="23"/>
      </w:pPr>
      <w:r>
        <w:rPr>
          <w:rFonts w:hint="eastAsia" w:eastAsiaTheme="minorEastAsia"/>
          <w:lang w:eastAsia="zh-CN"/>
        </w:rPr>
        <w:t>二</w:t>
      </w:r>
      <w:r>
        <w:t>、开展“同向聚力促发展”行动，在围绕中心服务大局中继续推进“活力政协”</w:t>
      </w:r>
    </w:p>
    <w:p>
      <w:pPr>
        <w:pStyle w:val="23"/>
      </w:pPr>
      <w:r>
        <w:t>搭建协商平台，以“区政协专委会”“界别委员工作站、乡镇委员工作站”“村（社区）委员工作室”为载体，搭建各具特色、各有侧重，多层次、广覆盖的“1+2+N”的“泉事好商量”协商平台，聚焦“六个现代化”中推动新一代电子信息产业率先突破、实施“旅游+”战略、发展基层民主等工作，分层次、有重点的分别开展集体协商、对口协商、小微协商。提高建言质量，围绕全区项目建设、科技创新、装备制造、现代食品、金融街区等重大工作、重要事项、重点项目，建立“三个直通车”机制，即“政务直通车”，每季度邀请党政领导向区政协委员通报全区重点工作情况，拓宽区委区政府与政协委员之间的沟通渠道，实现知情明政“零距离、面对面”；“议政直通车”，每月组织区政府领导、区直部门负责人与政协委员开展议政座谈会，听取委员对全区经济社会发展及民生问题的意见建议，对委员建言进行“秒回复、快落实”；“信息直通车”，每月撰写、筛选高质量的提案和社情民意信息，以专报形式直接报送区委、区政府主要领导参阅，推动委员建议最大限度得到吸纳。提升监督实效，聚焦党政工作要事、改善民生实事、基层治理难事，按照“全力推动、积极主动、参与互动”原则，围绕城市更新、生态改善、美丽乡村、粮食安全、营商环境等工作，做深做实视察监督，做优做强专项监督，做精做细联动监督。</w:t>
      </w:r>
    </w:p>
    <w:p>
      <w:pPr>
        <w:pStyle w:val="23"/>
      </w:pPr>
      <w:r>
        <w:rPr>
          <w:rFonts w:hint="eastAsia" w:eastAsiaTheme="minorEastAsia"/>
          <w:lang w:eastAsia="zh-CN"/>
        </w:rPr>
        <w:t>三</w:t>
      </w:r>
      <w:r>
        <w:t>、开展“同频集智惠民生”行动，在履职为民强化担当中继续推进“为民政协”</w:t>
      </w:r>
    </w:p>
    <w:p>
      <w:pPr>
        <w:pStyle w:val="23"/>
      </w:pPr>
      <w:r>
        <w:t>创新履职载体，以开展“一线协商•共建共享”为载体，围绕我区重点群体就业、优化医疗卫生资源配置、办好人民群众满意教育等民生项目和民生工作，组织部门、委员、群众三方，深入一线，开展面对面式的协商监督，以“政协之能”托起群众“满满的幸福”。提升助民力度，以开展“五送下乡”活动为载体，发挥不同界别的特长和优势，积极组织开展送科技、送文化、送医疗、送法律、送教育等助民活动，协助区委区政府多做雪中送炭、春风化雨、排忧解难的工作，积极为乡村振兴、富民增收、基层治理等民生工作谋实策、出实招、尽实责。参与公益事业，发挥好区政协同力志愿服务队作用，鼓励政协委员热心公益、奉献爱心，积极开展法律援助、关爱健康、保护环境、捐资助学等各种公益活动，以实际行动践行政协委员社会责任。</w:t>
      </w:r>
    </w:p>
    <w:p>
      <w:pPr>
        <w:pStyle w:val="23"/>
      </w:pPr>
      <w:r>
        <w:rPr>
          <w:rFonts w:hint="eastAsia" w:eastAsiaTheme="minorEastAsia"/>
          <w:lang w:eastAsia="zh-CN"/>
        </w:rPr>
        <w:t>四</w:t>
      </w:r>
      <w:r>
        <w:t>、开展“同力提质增效能”行动，在创新机制改革理念中继续推进“智慧政协”</w:t>
      </w:r>
    </w:p>
    <w:p>
      <w:pPr>
        <w:pStyle w:val="23"/>
      </w:pPr>
      <w:r>
        <w:t>创新手段方式，依托“智慧政协”平台，搭建“协商在线”“民情在线”“提案在线”等更多实用好用的应用场景，加快实现委员从协商产生、日常履职到任期届满的全周期智能服务和全过程智能管理，实现闭会期间委员“聚是一团火、散是满天星”的常态化高效履职。转变思路理念，线上线下同步探索政协提案月、界别议政日、委员议政日、委员论坛、请你来协商等喜闻乐见的履职方式，激发委员履职热情，形成线上线下、台上台下、场内场外多方参与新格局。改革机制流程，主动融入建设数字鹿泉的各项工作，加强与大数据中心的协同联动，依托数字鹿泉云数据中心，为委员知情明政、参政议政提供更全面数据支撑，构建委员履职闭环，推动“掌心里的参政议政，指尖上的协商民主”成为可能。</w:t>
      </w:r>
    </w:p>
    <w:p>
      <w:pPr>
        <w:pStyle w:val="23"/>
      </w:pPr>
      <w:r>
        <w:rPr>
          <w:rFonts w:hint="eastAsia" w:eastAsiaTheme="minorEastAsia"/>
          <w:lang w:eastAsia="zh-CN"/>
        </w:rPr>
        <w:t>五</w:t>
      </w:r>
      <w:r>
        <w:t>、开展“同毓悦读创品牌”行动，在提升修养增长知识中继续推进“书香政协”</w:t>
      </w:r>
    </w:p>
    <w:p>
      <w:pPr>
        <w:pStyle w:val="23"/>
      </w:pPr>
      <w:r>
        <w:t>持续深化“书香政协•同心筑梦”读书品牌，通过“组织带学、网络导学、专题研学、交流比学、个人自学”的形式，开展“建读书群、设读书屋、定读书日、开读书会、晒读书经”为主题的“五个一”委员读书活动，探索构建“线上+线下”“自读+共读”的多元读书格局，用书香涵养出委员不一般的精气神。打造“委员讲堂”品牌，围绕党的二十大精神、区委区政府决策部署、法律文史健康等相关知识，以每月一专题，线上线下同步讲的形式，邀请委员走上讲台，研讨理论知识、解读政策措施、回应社会关切。打造“读书+履职”品牌，区政协选取“导向性”读书主题，建立调研、视察等履职前学习制度，有针对性地开展专题读书、交流研讨、读书沙龙等活动，学习相关知识，讨论梳理问题，让委员带着问题和任务去调研并考虑对策和建议，不断提高履职效能。</w:t>
      </w:r>
    </w:p>
    <w:p>
      <w:pPr>
        <w:pStyle w:val="23"/>
      </w:pPr>
      <w:r>
        <w:rPr>
          <w:rFonts w:hint="eastAsia" w:eastAsiaTheme="minorEastAsia"/>
          <w:lang w:eastAsia="zh-CN"/>
        </w:rPr>
        <w:t>六</w:t>
      </w:r>
      <w:r>
        <w:t>、开展“同为强基争一流”行动，在强化队伍练就本领中继续推进“素质政协”</w:t>
      </w:r>
    </w:p>
    <w:p>
      <w:pPr>
        <w:pStyle w:val="23"/>
      </w:pPr>
      <w:r>
        <w:t>强化学习培训，聚焦提案书写、调查研究、联系群众等政协工作“短板”、委员能力“瓶颈”，通过委员培训集中学、文化讲堂专题学、协商论坛研讨学、走进基层现场学、对标先进精准学等多种方式，将学习培训贯穿工作各方面、融入履职全过程，引领全体政协委员和机关干部学出视野广度、谋事深度、履职力度。规范委员管理，以委员履职档案、履职统计、履职报告为依据，严格委员的动态管理、量化考核、退出调整，同时，以开展“结亲互助”“联谊银桥”等活动为载体，进一步为委员合作共事、互帮互助搭建平台，通过履职约束和履职激励双向发力，引导委员“常出镜”“常亮相”，不断提升委员参加各项活动的“出勤率、出产率、出彩率”。加强机关建设，以开展“一委一品”等活动为载体，结合区委安排的分包乡镇、项目建设、信访维稳等各项重点工作，强化机关干部实践历练，努力建设“开口能说、提笔能写、遇事能干”的“三能”政协机关干部队伍。</w:t>
      </w:r>
    </w:p>
    <w:p>
      <w:pPr>
        <w:pStyle w:val="23"/>
      </w:pPr>
    </w:p>
    <w:p>
      <w:pPr>
        <w:spacing w:line="500" w:lineRule="exact"/>
        <w:ind w:firstLine="560"/>
      </w:pPr>
      <w:r>
        <w:rPr>
          <w:rFonts w:eastAsia="方正仿宋_GBK"/>
          <w:color w:val="000000"/>
          <w:sz w:val="28"/>
        </w:rPr>
        <w:t>（二）分项绩效目标</w:t>
      </w:r>
    </w:p>
    <w:p>
      <w:pPr>
        <w:pStyle w:val="24"/>
      </w:pPr>
      <w:r>
        <w:rPr>
          <w:rFonts w:hint="eastAsia" w:eastAsiaTheme="minorEastAsia"/>
          <w:lang w:eastAsia="zh-CN"/>
        </w:rPr>
        <w:t>一、</w:t>
      </w:r>
      <w:r>
        <w:t>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pPr>
        <w:pStyle w:val="24"/>
      </w:pPr>
      <w:r>
        <w:rPr>
          <w:rFonts w:hint="eastAsia" w:eastAsiaTheme="minorEastAsia"/>
          <w:lang w:eastAsia="zh-CN"/>
        </w:rPr>
        <w:t>二、</w:t>
      </w:r>
      <w:r>
        <w:t>落实区委全会精神，助推发展要有新作为。紧紧围绕区委二届七次全会确定的总体要求，强化大局观念，紧紧围绕全区中心工作履行政协职能，做到区委所指、政府所需，即是政协所向、委员所为。深刻领会全会精神。区委二届七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pPr>
        <w:pStyle w:val="24"/>
      </w:pPr>
      <w:r>
        <w:rPr>
          <w:rFonts w:hint="eastAsia" w:eastAsiaTheme="minorEastAsia"/>
          <w:lang w:eastAsia="zh-CN"/>
        </w:rPr>
        <w:t>三、</w:t>
      </w:r>
      <w:r>
        <w:t>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w:t>
      </w:r>
      <w:r>
        <w:rPr>
          <w:rFonts w:hint="eastAsia"/>
          <w:lang w:val="en-US" w:eastAsia="zh-CN"/>
        </w:rPr>
        <w:t>分</w:t>
      </w:r>
      <w:r>
        <w:t>量、有质量的参谋意见。广大政协委员要在提案撰写、专题协商、社情民意征集等工作中，深入基层掌握第一手情况，从而做到言之有据、言之有理、言之有度。</w:t>
      </w:r>
    </w:p>
    <w:p>
      <w:pPr>
        <w:pStyle w:val="24"/>
      </w:pPr>
      <w:r>
        <w:rPr>
          <w:rFonts w:hint="eastAsia" w:eastAsiaTheme="minorEastAsia"/>
          <w:lang w:eastAsia="zh-CN"/>
        </w:rPr>
        <w:t>四、</w:t>
      </w:r>
      <w:r>
        <w:t>注重政协自身</w:t>
      </w:r>
      <w:bookmarkStart w:id="18" w:name="_GoBack"/>
      <w:bookmarkEnd w:id="18"/>
      <w:r>
        <w:t>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常委会议集体学习、专题培训、学习强国、微信等学习平台，进一步深学细悟</w:t>
      </w:r>
      <w:r>
        <w:rPr>
          <w:rFonts w:hint="eastAsia"/>
        </w:rPr>
        <w:t>习近平新时代中国特色社会主义思想</w:t>
      </w:r>
      <w:r>
        <w:t>，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pPr>
        <w:spacing w:line="500" w:lineRule="exact"/>
        <w:ind w:firstLine="560"/>
      </w:pPr>
      <w:r>
        <w:rPr>
          <w:rFonts w:eastAsia="方正仿宋_GBK"/>
          <w:color w:val="000000"/>
          <w:sz w:val="28"/>
        </w:rPr>
        <w:t>（三）工作保障措施</w:t>
      </w:r>
    </w:p>
    <w:p>
      <w:pPr>
        <w:pStyle w:val="25"/>
      </w:pPr>
      <w:r>
        <w:t>一、认真学习以习近平新时代中国特色社会主义思想为引领，认真贯彻中央及省市重大决策部署，圆满召开区政协全会。做好会议的各项筹备，搞好宣传报道，组织好委组讨论，严格落实各项纪律规定，完善保障机制，确保会议圆满成功。</w:t>
      </w:r>
    </w:p>
    <w:p>
      <w:pPr>
        <w:pStyle w:val="25"/>
      </w:pPr>
      <w:r>
        <w:t>二、开展视察活动。 组织常委和委员围绕区委区政府确定的重点项目开展集体和重点视察，及时提出意见建议，促进相关工作开展。</w:t>
      </w:r>
    </w:p>
    <w:p>
      <w:pPr>
        <w:pStyle w:val="25"/>
      </w:pPr>
      <w:r>
        <w:t>三、开展专题协商。与政府及有关部门就重要议题进行专题协商，提前确定议题，广泛开展调研，确保专题协商效果。</w:t>
      </w:r>
    </w:p>
    <w:p>
      <w:pPr>
        <w:pStyle w:val="25"/>
      </w:pPr>
      <w:r>
        <w:t>四、提案办理协商。围绕重点提案办理情况及针对民生问题相关提案进行视察、协商。</w:t>
      </w:r>
    </w:p>
    <w:p>
      <w:pPr>
        <w:pStyle w:val="25"/>
      </w:pPr>
      <w:r>
        <w:t>五、加强平台建设。做好政协综合性简报，积极反馈政协工作动态、展示委员风采、反映社情民意。</w:t>
      </w:r>
    </w:p>
    <w:p>
      <w:pPr>
        <w:pStyle w:val="25"/>
      </w:pPr>
      <w:r>
        <w:t>六、加强委员队伍管理。建立委员联系点制度，加强与乡村、社区、企业、工商户、学校等方面的联系，完善委员履职考评办法和优秀政协委员评选办法。</w:t>
      </w:r>
    </w:p>
    <w:p>
      <w:pPr>
        <w:pStyle w:val="25"/>
      </w:pPr>
      <w:r>
        <w:t>七、积极参与公益事业。开展委员帮贫济困活动，探索建立政协委员帮扶基金，逐步建立长效机制。</w:t>
      </w:r>
    </w:p>
    <w:p>
      <w:pPr>
        <w:pStyle w:val="25"/>
      </w:pPr>
      <w:r>
        <w:t>八、开展社情民意调研活动。组织委员广泛开展调研工作，围绕京津冀协同发展战略、美丽乡村建设，就产业转型升级、城镇化、城乡统筹发展、交通、生态环境、文化教育等建言献策。</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eastAsiaTheme="minorEastAsia"/>
          <w:lang w:eastAsia="zh-CN"/>
        </w:rPr>
      </w:pPr>
    </w:p>
    <w:p>
      <w:pPr>
        <w:ind w:firstLine="640"/>
        <w:rPr>
          <w:rFonts w:hint="eastAsia" w:eastAsia="方正仿宋_GBK"/>
          <w:sz w:val="28"/>
        </w:rPr>
        <w:sectPr>
          <w:pgSz w:w="16840" w:h="11900" w:orient="landscape"/>
          <w:pgMar w:top="1361" w:right="1020" w:bottom="1361" w:left="1020" w:header="720" w:footer="720" w:gutter="0"/>
          <w:cols w:space="720" w:num="1"/>
        </w:sectPr>
      </w:pPr>
      <w:r>
        <w:rPr>
          <w:rFonts w:hint="eastAsia" w:eastAsia="方正仿宋_GBK"/>
          <w:sz w:val="28"/>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1、“智慧政协”平台建设费绩效目标表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1.建立一个智慧政协平台，为方便政协委员提交提案、反映社情民意、参与政协的相关工作与活动，达到工作正常进行。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建设数量</w:t>
            </w:r>
          </w:p>
        </w:tc>
        <w:tc>
          <w:tcPr>
            <w:tcW w:w="2551" w:type="dxa"/>
            <w:vAlign w:val="center"/>
          </w:tcPr>
          <w:p>
            <w:pPr>
              <w:pStyle w:val="14"/>
            </w:pPr>
            <w:r>
              <w:t>1个</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平台建设的完成率</w:t>
            </w:r>
          </w:p>
        </w:tc>
        <w:tc>
          <w:tcPr>
            <w:tcW w:w="2835" w:type="dxa"/>
            <w:vAlign w:val="center"/>
          </w:tcPr>
          <w:p>
            <w:pPr>
              <w:pStyle w:val="14"/>
            </w:pPr>
            <w:r>
              <w:t>平台建设的完成率</w:t>
            </w:r>
          </w:p>
        </w:tc>
        <w:tc>
          <w:tcPr>
            <w:tcW w:w="2551" w:type="dxa"/>
            <w:vAlign w:val="center"/>
          </w:tcPr>
          <w:p>
            <w:pPr>
              <w:pStyle w:val="14"/>
            </w:pPr>
            <w:r>
              <w:t>≥95%</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工作完成的及时率</w:t>
            </w:r>
          </w:p>
        </w:tc>
        <w:tc>
          <w:tcPr>
            <w:tcW w:w="2835" w:type="dxa"/>
            <w:vAlign w:val="center"/>
          </w:tcPr>
          <w:p>
            <w:pPr>
              <w:pStyle w:val="14"/>
            </w:pPr>
            <w:r>
              <w:t>工作完成的及时率</w:t>
            </w:r>
          </w:p>
        </w:tc>
        <w:tc>
          <w:tcPr>
            <w:tcW w:w="2551" w:type="dxa"/>
            <w:vAlign w:val="center"/>
          </w:tcPr>
          <w:p>
            <w:pPr>
              <w:pStyle w:val="14"/>
            </w:pPr>
            <w:r>
              <w:t>≥96%</w:t>
            </w:r>
          </w:p>
        </w:tc>
        <w:tc>
          <w:tcPr>
            <w:tcW w:w="2268" w:type="dxa"/>
            <w:vAlign w:val="center"/>
          </w:tcPr>
          <w:p>
            <w:pPr>
              <w:pStyle w:val="14"/>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16万元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经济发展贡献率</w:t>
            </w:r>
          </w:p>
        </w:tc>
        <w:tc>
          <w:tcPr>
            <w:tcW w:w="2835" w:type="dxa"/>
            <w:vAlign w:val="center"/>
          </w:tcPr>
          <w:p>
            <w:pPr>
              <w:pStyle w:val="14"/>
            </w:pPr>
            <w:r>
              <w:t>经济发展贡献率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网络安全保障</w:t>
            </w:r>
          </w:p>
        </w:tc>
        <w:tc>
          <w:tcPr>
            <w:tcW w:w="2835" w:type="dxa"/>
            <w:vAlign w:val="center"/>
          </w:tcPr>
          <w:p>
            <w:pPr>
              <w:pStyle w:val="14"/>
            </w:pPr>
            <w:r>
              <w:t>网络安全保障</w:t>
            </w:r>
          </w:p>
        </w:tc>
        <w:tc>
          <w:tcPr>
            <w:tcW w:w="2551" w:type="dxa"/>
            <w:vAlign w:val="center"/>
          </w:tcPr>
          <w:p>
            <w:pPr>
              <w:pStyle w:val="14"/>
            </w:pPr>
            <w:r>
              <w:t>安全</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效果持续时间</w:t>
            </w:r>
          </w:p>
        </w:tc>
        <w:tc>
          <w:tcPr>
            <w:tcW w:w="2835" w:type="dxa"/>
            <w:vAlign w:val="center"/>
          </w:tcPr>
          <w:p>
            <w:pPr>
              <w:pStyle w:val="14"/>
            </w:pPr>
            <w:r>
              <w:t>效果持续时间</w:t>
            </w:r>
          </w:p>
        </w:tc>
        <w:tc>
          <w:tcPr>
            <w:tcW w:w="2551" w:type="dxa"/>
            <w:vAlign w:val="center"/>
          </w:tcPr>
          <w:p>
            <w:pPr>
              <w:pStyle w:val="14"/>
            </w:pPr>
            <w:r>
              <w:t>2年</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委员满意度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2、工商联专项业务费绩效目标表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1.通过组织5次培训会交流，为参加政治协商，发挥民主监督作用，积极参政议政，参与政府相关的经济活动，推动经济交流和协作，促进经济社会发展。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组织培训会交流对接次数</w:t>
            </w:r>
          </w:p>
        </w:tc>
        <w:tc>
          <w:tcPr>
            <w:tcW w:w="2835" w:type="dxa"/>
            <w:vAlign w:val="center"/>
          </w:tcPr>
          <w:p>
            <w:pPr>
              <w:pStyle w:val="14"/>
            </w:pPr>
            <w:r>
              <w:t>组织培训会交流对接次数</w:t>
            </w:r>
          </w:p>
        </w:tc>
        <w:tc>
          <w:tcPr>
            <w:tcW w:w="2551" w:type="dxa"/>
            <w:vAlign w:val="center"/>
          </w:tcPr>
          <w:p>
            <w:pPr>
              <w:pStyle w:val="14"/>
            </w:pPr>
            <w:r>
              <w:t>5次</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2835" w:type="dxa"/>
            <w:vAlign w:val="center"/>
          </w:tcPr>
          <w:p>
            <w:pPr>
              <w:pStyle w:val="14"/>
            </w:pPr>
            <w:r>
              <w:t>工作完成质量</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工作的及时性</w:t>
            </w:r>
          </w:p>
        </w:tc>
        <w:tc>
          <w:tcPr>
            <w:tcW w:w="2835" w:type="dxa"/>
            <w:vAlign w:val="center"/>
          </w:tcPr>
          <w:p>
            <w:pPr>
              <w:pStyle w:val="14"/>
            </w:pPr>
            <w:r>
              <w:t>工作的及时性</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专项业务费的成本</w:t>
            </w:r>
          </w:p>
        </w:tc>
        <w:tc>
          <w:tcPr>
            <w:tcW w:w="2835" w:type="dxa"/>
            <w:vAlign w:val="center"/>
          </w:tcPr>
          <w:p>
            <w:pPr>
              <w:pStyle w:val="14"/>
            </w:pPr>
            <w:r>
              <w:t>专项业务费的成本</w:t>
            </w:r>
          </w:p>
        </w:tc>
        <w:tc>
          <w:tcPr>
            <w:tcW w:w="2551" w:type="dxa"/>
            <w:vAlign w:val="center"/>
          </w:tcPr>
          <w:p>
            <w:pPr>
              <w:pStyle w:val="14"/>
            </w:pPr>
            <w:r>
              <w:t>5万元</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≥95%</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≥96%</w:t>
            </w:r>
          </w:p>
        </w:tc>
        <w:tc>
          <w:tcPr>
            <w:tcW w:w="2268" w:type="dxa"/>
            <w:vAlign w:val="center"/>
          </w:tcPr>
          <w:p>
            <w:pPr>
              <w:pStyle w:val="14"/>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工作水平</w:t>
            </w:r>
          </w:p>
        </w:tc>
        <w:tc>
          <w:tcPr>
            <w:tcW w:w="2835" w:type="dxa"/>
            <w:vAlign w:val="center"/>
          </w:tcPr>
          <w:p>
            <w:pPr>
              <w:pStyle w:val="14"/>
            </w:pPr>
            <w:r>
              <w:t>工作水平</w:t>
            </w:r>
          </w:p>
        </w:tc>
        <w:tc>
          <w:tcPr>
            <w:tcW w:w="2551" w:type="dxa"/>
            <w:vAlign w:val="center"/>
          </w:tcPr>
          <w:p>
            <w:pPr>
              <w:pStyle w:val="14"/>
            </w:pPr>
            <w:r>
              <w:t>≥97%</w:t>
            </w:r>
          </w:p>
        </w:tc>
        <w:tc>
          <w:tcPr>
            <w:tcW w:w="2268"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3、公务接待费绩效目标表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1.积极组织委员开展带调研、视察撰写高质量提按报告，充分发挥委员各界别作用，为经建设服务使人民群众获得满意。</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接待来访和考察交流批次</w:t>
            </w:r>
          </w:p>
        </w:tc>
        <w:tc>
          <w:tcPr>
            <w:tcW w:w="2835" w:type="dxa"/>
            <w:vAlign w:val="center"/>
          </w:tcPr>
          <w:p>
            <w:pPr>
              <w:pStyle w:val="14"/>
            </w:pPr>
            <w:r>
              <w:t>接待来访和考察交流批次</w:t>
            </w:r>
          </w:p>
        </w:tc>
        <w:tc>
          <w:tcPr>
            <w:tcW w:w="2551" w:type="dxa"/>
            <w:vAlign w:val="center"/>
          </w:tcPr>
          <w:p>
            <w:pPr>
              <w:pStyle w:val="14"/>
            </w:pPr>
            <w:r>
              <w:t>20次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计划公务接待次数完成率</w:t>
            </w:r>
          </w:p>
        </w:tc>
        <w:tc>
          <w:tcPr>
            <w:tcW w:w="2835" w:type="dxa"/>
            <w:vAlign w:val="center"/>
          </w:tcPr>
          <w:p>
            <w:pPr>
              <w:pStyle w:val="14"/>
            </w:pPr>
            <w:r>
              <w:t>计划公务接待次数完成率</w:t>
            </w:r>
          </w:p>
        </w:tc>
        <w:tc>
          <w:tcPr>
            <w:tcW w:w="2551" w:type="dxa"/>
            <w:vAlign w:val="center"/>
          </w:tcPr>
          <w:p>
            <w:pPr>
              <w:pStyle w:val="14"/>
            </w:pPr>
            <w:r>
              <w:t>全部完成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工作按时完成率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培训费用</w:t>
            </w:r>
          </w:p>
        </w:tc>
        <w:tc>
          <w:tcPr>
            <w:tcW w:w="2835" w:type="dxa"/>
            <w:vAlign w:val="center"/>
          </w:tcPr>
          <w:p>
            <w:pPr>
              <w:pStyle w:val="14"/>
            </w:pPr>
            <w:r>
              <w:t>培训费用</w:t>
            </w:r>
          </w:p>
        </w:tc>
        <w:tc>
          <w:tcPr>
            <w:tcW w:w="2551" w:type="dxa"/>
            <w:vAlign w:val="center"/>
          </w:tcPr>
          <w:p>
            <w:pPr>
              <w:pStyle w:val="14"/>
            </w:pPr>
            <w:r>
              <w:t>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公共服务水平</w:t>
            </w:r>
          </w:p>
        </w:tc>
        <w:tc>
          <w:tcPr>
            <w:tcW w:w="2835" w:type="dxa"/>
            <w:vAlign w:val="center"/>
          </w:tcPr>
          <w:p>
            <w:pPr>
              <w:pStyle w:val="14"/>
            </w:pPr>
            <w:r>
              <w:t>公共服务水平</w:t>
            </w:r>
          </w:p>
        </w:tc>
        <w:tc>
          <w:tcPr>
            <w:tcW w:w="2551" w:type="dxa"/>
            <w:vAlign w:val="center"/>
          </w:tcPr>
          <w:p>
            <w:pPr>
              <w:pStyle w:val="14"/>
            </w:pPr>
            <w:r>
              <w:t>≥96%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4、涉军公益岗工资绩效目标表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1.发放两名涉军公益岗岗位人员补助工资，保障办公正常运转。</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发放人数</w:t>
            </w:r>
          </w:p>
        </w:tc>
        <w:tc>
          <w:tcPr>
            <w:tcW w:w="2835" w:type="dxa"/>
            <w:vAlign w:val="center"/>
          </w:tcPr>
          <w:p>
            <w:pPr>
              <w:pStyle w:val="14"/>
            </w:pPr>
            <w:r>
              <w:t>发放人数</w:t>
            </w:r>
          </w:p>
        </w:tc>
        <w:tc>
          <w:tcPr>
            <w:tcW w:w="2551" w:type="dxa"/>
            <w:vAlign w:val="center"/>
          </w:tcPr>
          <w:p>
            <w:pPr>
              <w:pStyle w:val="14"/>
            </w:pPr>
            <w:r>
              <w:t>2人</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退役军人补助覆盖率</w:t>
            </w:r>
          </w:p>
        </w:tc>
        <w:tc>
          <w:tcPr>
            <w:tcW w:w="2835" w:type="dxa"/>
            <w:vAlign w:val="center"/>
          </w:tcPr>
          <w:p>
            <w:pPr>
              <w:pStyle w:val="14"/>
            </w:pPr>
            <w:r>
              <w:t>实际补助人数占符合条件补助人数比例</w:t>
            </w:r>
          </w:p>
        </w:tc>
        <w:tc>
          <w:tcPr>
            <w:tcW w:w="2551" w:type="dxa"/>
            <w:vAlign w:val="center"/>
          </w:tcPr>
          <w:p>
            <w:pPr>
              <w:pStyle w:val="14"/>
            </w:pPr>
            <w:r>
              <w:t>≥98%</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补贴发放及时率</w:t>
            </w:r>
          </w:p>
        </w:tc>
        <w:tc>
          <w:tcPr>
            <w:tcW w:w="2551" w:type="dxa"/>
            <w:vAlign w:val="center"/>
          </w:tcPr>
          <w:p>
            <w:pPr>
              <w:pStyle w:val="14"/>
            </w:pPr>
            <w:r>
              <w:t>100%</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公益性岗位补贴人均标准</w:t>
            </w:r>
          </w:p>
        </w:tc>
        <w:tc>
          <w:tcPr>
            <w:tcW w:w="2835" w:type="dxa"/>
            <w:vAlign w:val="center"/>
          </w:tcPr>
          <w:p>
            <w:pPr>
              <w:pStyle w:val="14"/>
            </w:pPr>
            <w:r>
              <w:t>公益性岗位发放工资、社保、取暖补贴月均</w:t>
            </w:r>
          </w:p>
        </w:tc>
        <w:tc>
          <w:tcPr>
            <w:tcW w:w="2551" w:type="dxa"/>
            <w:vAlign w:val="center"/>
          </w:tcPr>
          <w:p>
            <w:pPr>
              <w:pStyle w:val="14"/>
            </w:pPr>
            <w:r>
              <w:t>每月1157.68元</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服务水平提升情况</w:t>
            </w:r>
          </w:p>
        </w:tc>
        <w:tc>
          <w:tcPr>
            <w:tcW w:w="2835" w:type="dxa"/>
            <w:vAlign w:val="center"/>
          </w:tcPr>
          <w:p>
            <w:pPr>
              <w:pStyle w:val="14"/>
            </w:pPr>
            <w:r>
              <w:t>服务水平提升情况</w:t>
            </w:r>
          </w:p>
        </w:tc>
        <w:tc>
          <w:tcPr>
            <w:tcW w:w="2551" w:type="dxa"/>
            <w:vAlign w:val="center"/>
          </w:tcPr>
          <w:p>
            <w:pPr>
              <w:pStyle w:val="14"/>
            </w:pPr>
            <w:r>
              <w:t>≥98%</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享受补助人数</w:t>
            </w:r>
          </w:p>
        </w:tc>
        <w:tc>
          <w:tcPr>
            <w:tcW w:w="2835" w:type="dxa"/>
            <w:vAlign w:val="center"/>
          </w:tcPr>
          <w:p>
            <w:pPr>
              <w:pStyle w:val="14"/>
            </w:pPr>
            <w:r>
              <w:t>实行公益岗托管安置的涉军人员数量</w:t>
            </w:r>
          </w:p>
        </w:tc>
        <w:tc>
          <w:tcPr>
            <w:tcW w:w="2551" w:type="dxa"/>
            <w:vAlign w:val="center"/>
          </w:tcPr>
          <w:p>
            <w:pPr>
              <w:pStyle w:val="14"/>
            </w:pPr>
            <w:r>
              <w:t>2人</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公共服务水平</w:t>
            </w:r>
          </w:p>
        </w:tc>
        <w:tc>
          <w:tcPr>
            <w:tcW w:w="2835" w:type="dxa"/>
            <w:vAlign w:val="center"/>
          </w:tcPr>
          <w:p>
            <w:pPr>
              <w:pStyle w:val="14"/>
            </w:pPr>
            <w:r>
              <w:t>公共服务水平</w:t>
            </w:r>
          </w:p>
        </w:tc>
        <w:tc>
          <w:tcPr>
            <w:tcW w:w="2551" w:type="dxa"/>
            <w:vAlign w:val="center"/>
          </w:tcPr>
          <w:p>
            <w:pPr>
              <w:pStyle w:val="14"/>
            </w:pPr>
            <w:r>
              <w:t>≥95%</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无</w:t>
            </w:r>
          </w:p>
        </w:tc>
        <w:tc>
          <w:tcPr>
            <w:tcW w:w="2268" w:type="dxa"/>
            <w:vAlign w:val="center"/>
          </w:tcPr>
          <w:p>
            <w:pPr>
              <w:pStyle w:val="14"/>
            </w:pPr>
            <w:r>
              <w:t>《鹿泉区关于进一步做好部分军队退役人员帮扶求助的若干措施》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涉军人员满意度</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5、政协会议费绩效目标表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1.通过召开政协会议次数不少于一次的活动，为了我区重大工作积极建言献策、开展政协协商，保障会议顺利开展。</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政协全体会议</w:t>
            </w:r>
          </w:p>
        </w:tc>
        <w:tc>
          <w:tcPr>
            <w:tcW w:w="2835" w:type="dxa"/>
            <w:vAlign w:val="center"/>
          </w:tcPr>
          <w:p>
            <w:pPr>
              <w:pStyle w:val="14"/>
            </w:pPr>
            <w:r>
              <w:t>召开政协会议次数</w:t>
            </w:r>
          </w:p>
        </w:tc>
        <w:tc>
          <w:tcPr>
            <w:tcW w:w="2551" w:type="dxa"/>
            <w:vAlign w:val="center"/>
          </w:tcPr>
          <w:p>
            <w:pPr>
              <w:pStyle w:val="14"/>
            </w:pPr>
            <w:r>
              <w:t>至少1次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会议完成率</w:t>
            </w:r>
          </w:p>
        </w:tc>
        <w:tc>
          <w:tcPr>
            <w:tcW w:w="2835" w:type="dxa"/>
            <w:vAlign w:val="center"/>
          </w:tcPr>
          <w:p>
            <w:pPr>
              <w:pStyle w:val="14"/>
            </w:pPr>
            <w:r>
              <w:t>会议完成率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会议按时完成情况</w:t>
            </w:r>
          </w:p>
        </w:tc>
        <w:tc>
          <w:tcPr>
            <w:tcW w:w="2835" w:type="dxa"/>
            <w:vAlign w:val="center"/>
          </w:tcPr>
          <w:p>
            <w:pPr>
              <w:pStyle w:val="14"/>
            </w:pPr>
            <w:r>
              <w:t>会议按时完成情况</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召开会议的成本</w:t>
            </w:r>
          </w:p>
        </w:tc>
        <w:tc>
          <w:tcPr>
            <w:tcW w:w="2835" w:type="dxa"/>
            <w:vAlign w:val="center"/>
          </w:tcPr>
          <w:p>
            <w:pPr>
              <w:pStyle w:val="14"/>
            </w:pPr>
            <w:r>
              <w:t>召开会议的成本</w:t>
            </w:r>
          </w:p>
        </w:tc>
        <w:tc>
          <w:tcPr>
            <w:tcW w:w="2551" w:type="dxa"/>
            <w:vAlign w:val="center"/>
          </w:tcPr>
          <w:p>
            <w:pPr>
              <w:pStyle w:val="14"/>
            </w:pPr>
            <w:r>
              <w:t>≤38.1万元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w:t>
            </w:r>
          </w:p>
        </w:tc>
        <w:tc>
          <w:tcPr>
            <w:tcW w:w="2835" w:type="dxa"/>
            <w:vAlign w:val="center"/>
          </w:tcPr>
          <w:p>
            <w:pPr>
              <w:pStyle w:val="14"/>
            </w:pPr>
            <w:r>
              <w:t>促进我区经济文化发展</w:t>
            </w:r>
          </w:p>
        </w:tc>
        <w:tc>
          <w:tcPr>
            <w:tcW w:w="2551" w:type="dxa"/>
            <w:vAlign w:val="center"/>
          </w:tcPr>
          <w:p>
            <w:pPr>
              <w:pStyle w:val="14"/>
            </w:pPr>
            <w:r>
              <w:t>有所提高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提案利用率</w:t>
            </w:r>
          </w:p>
        </w:tc>
        <w:tc>
          <w:tcPr>
            <w:tcW w:w="2835" w:type="dxa"/>
            <w:vAlign w:val="center"/>
          </w:tcPr>
          <w:p>
            <w:pPr>
              <w:pStyle w:val="14"/>
            </w:pPr>
            <w:r>
              <w:t>收到提案被有关部门采纳数量</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长期发展</w:t>
            </w:r>
          </w:p>
        </w:tc>
        <w:tc>
          <w:tcPr>
            <w:tcW w:w="2835" w:type="dxa"/>
            <w:vAlign w:val="center"/>
          </w:tcPr>
          <w:p>
            <w:pPr>
              <w:pStyle w:val="14"/>
            </w:pPr>
            <w:r>
              <w:t>长期发展</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政协委员满意度</w:t>
            </w:r>
          </w:p>
        </w:tc>
        <w:tc>
          <w:tcPr>
            <w:tcW w:w="2835" w:type="dxa"/>
            <w:vAlign w:val="center"/>
          </w:tcPr>
          <w:p>
            <w:pPr>
              <w:pStyle w:val="14"/>
            </w:pPr>
            <w:r>
              <w:t>政协委员满意度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6、政协会议政务外网使用费、“智慧政协”移动云服务费绩效目标表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1.通过购买1个外网使用费，为了保障2022年政协会议政务外网使用费及“智慧政协”移动云服务费工作正常运转，达到工作按期完成。</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购买数量</w:t>
            </w:r>
          </w:p>
        </w:tc>
        <w:tc>
          <w:tcPr>
            <w:tcW w:w="2835" w:type="dxa"/>
            <w:vAlign w:val="center"/>
          </w:tcPr>
          <w:p>
            <w:pPr>
              <w:pStyle w:val="14"/>
            </w:pPr>
            <w:r>
              <w:t>购买数量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智慧政协的完成率</w:t>
            </w:r>
          </w:p>
        </w:tc>
        <w:tc>
          <w:tcPr>
            <w:tcW w:w="2835" w:type="dxa"/>
            <w:vAlign w:val="center"/>
          </w:tcPr>
          <w:p>
            <w:pPr>
              <w:pStyle w:val="14"/>
            </w:pPr>
            <w:r>
              <w:t>智慧政协的完成率</w:t>
            </w:r>
          </w:p>
        </w:tc>
        <w:tc>
          <w:tcPr>
            <w:tcW w:w="2551" w:type="dxa"/>
            <w:vAlign w:val="center"/>
          </w:tcPr>
          <w:p>
            <w:pPr>
              <w:pStyle w:val="14"/>
            </w:pPr>
            <w:r>
              <w:t>≥99%</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确保工作按期完成率</w:t>
            </w:r>
          </w:p>
        </w:tc>
        <w:tc>
          <w:tcPr>
            <w:tcW w:w="2835" w:type="dxa"/>
            <w:vAlign w:val="center"/>
          </w:tcPr>
          <w:p>
            <w:pPr>
              <w:pStyle w:val="14"/>
            </w:pPr>
            <w:r>
              <w:t>确保工作按期完成率</w:t>
            </w:r>
          </w:p>
        </w:tc>
        <w:tc>
          <w:tcPr>
            <w:tcW w:w="2551" w:type="dxa"/>
            <w:vAlign w:val="center"/>
          </w:tcPr>
          <w:p>
            <w:pPr>
              <w:pStyle w:val="14"/>
            </w:pPr>
            <w:r>
              <w:t>≥98%</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3.8万元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提高单位政务水平</w:t>
            </w:r>
          </w:p>
        </w:tc>
        <w:tc>
          <w:tcPr>
            <w:tcW w:w="2835" w:type="dxa"/>
            <w:vAlign w:val="center"/>
          </w:tcPr>
          <w:p>
            <w:pPr>
              <w:pStyle w:val="14"/>
            </w:pPr>
            <w:r>
              <w:t>提高单位政务水平</w:t>
            </w:r>
          </w:p>
        </w:tc>
        <w:tc>
          <w:tcPr>
            <w:tcW w:w="2551" w:type="dxa"/>
            <w:vAlign w:val="center"/>
          </w:tcPr>
          <w:p>
            <w:pPr>
              <w:pStyle w:val="14"/>
            </w:pPr>
            <w:r>
              <w:t>≥95%</w:t>
            </w:r>
          </w:p>
        </w:tc>
        <w:tc>
          <w:tcPr>
            <w:tcW w:w="2268"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提升工作效益</w:t>
            </w:r>
          </w:p>
        </w:tc>
        <w:tc>
          <w:tcPr>
            <w:tcW w:w="2835" w:type="dxa"/>
            <w:vAlign w:val="center"/>
          </w:tcPr>
          <w:p>
            <w:pPr>
              <w:pStyle w:val="14"/>
            </w:pPr>
            <w:r>
              <w:t>提升工作效益</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采用无纸化办公，节能环保</w:t>
            </w:r>
          </w:p>
        </w:tc>
        <w:tc>
          <w:tcPr>
            <w:tcW w:w="2835" w:type="dxa"/>
            <w:vAlign w:val="center"/>
          </w:tcPr>
          <w:p>
            <w:pPr>
              <w:pStyle w:val="14"/>
            </w:pPr>
            <w:r>
              <w:t>采用无纸化办公，节能环保</w:t>
            </w:r>
          </w:p>
        </w:tc>
        <w:tc>
          <w:tcPr>
            <w:tcW w:w="2551" w:type="dxa"/>
            <w:vAlign w:val="center"/>
          </w:tcPr>
          <w:p>
            <w:pPr>
              <w:pStyle w:val="14"/>
            </w:pPr>
            <w:r>
              <w:t>效果显著</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推动2022年度工作顺利开展</w:t>
            </w:r>
          </w:p>
        </w:tc>
        <w:tc>
          <w:tcPr>
            <w:tcW w:w="2835" w:type="dxa"/>
            <w:vAlign w:val="center"/>
          </w:tcPr>
          <w:p>
            <w:pPr>
              <w:pStyle w:val="14"/>
            </w:pPr>
            <w:r>
              <w:t>推动2022年度工作顺利开展</w:t>
            </w:r>
          </w:p>
        </w:tc>
        <w:tc>
          <w:tcPr>
            <w:tcW w:w="2551" w:type="dxa"/>
            <w:vAlign w:val="center"/>
          </w:tcPr>
          <w:p>
            <w:pPr>
              <w:pStyle w:val="14"/>
            </w:pPr>
            <w:r>
              <w:t>工作保障</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7、政协委员报刊、杂志书籍订阅费绩效目标表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1.政协委员报刊、杂志书籍订阅数量205份，用于政协委员报刊杂志订阅等费用，为保障工作正常运行。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报刊杂志订阅数量</w:t>
            </w:r>
          </w:p>
        </w:tc>
        <w:tc>
          <w:tcPr>
            <w:tcW w:w="2835" w:type="dxa"/>
            <w:vAlign w:val="center"/>
          </w:tcPr>
          <w:p>
            <w:pPr>
              <w:pStyle w:val="14"/>
            </w:pPr>
            <w:r>
              <w:t>报刊杂志订阅数量</w:t>
            </w:r>
          </w:p>
        </w:tc>
        <w:tc>
          <w:tcPr>
            <w:tcW w:w="2551" w:type="dxa"/>
            <w:vAlign w:val="center"/>
          </w:tcPr>
          <w:p>
            <w:pPr>
              <w:pStyle w:val="14"/>
            </w:pPr>
            <w:r>
              <w:t>205份</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工作完成质量</w:t>
            </w:r>
          </w:p>
        </w:tc>
        <w:tc>
          <w:tcPr>
            <w:tcW w:w="2835" w:type="dxa"/>
            <w:vAlign w:val="center"/>
          </w:tcPr>
          <w:p>
            <w:pPr>
              <w:pStyle w:val="14"/>
            </w:pPr>
            <w:r>
              <w:t>报刊、杂志订阅的质量</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订阅的及时性</w:t>
            </w:r>
          </w:p>
        </w:tc>
        <w:tc>
          <w:tcPr>
            <w:tcW w:w="2835" w:type="dxa"/>
            <w:vAlign w:val="center"/>
          </w:tcPr>
          <w:p>
            <w:pPr>
              <w:pStyle w:val="14"/>
            </w:pPr>
            <w:r>
              <w:t>订阅的及时性</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≤8.6万元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≥95%</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委员参与率</w:t>
            </w:r>
          </w:p>
        </w:tc>
        <w:tc>
          <w:tcPr>
            <w:tcW w:w="2835" w:type="dxa"/>
            <w:vAlign w:val="center"/>
          </w:tcPr>
          <w:p>
            <w:pPr>
              <w:pStyle w:val="14"/>
            </w:pPr>
            <w:r>
              <w:t>委员参与率</w:t>
            </w:r>
          </w:p>
        </w:tc>
        <w:tc>
          <w:tcPr>
            <w:tcW w:w="2551" w:type="dxa"/>
            <w:vAlign w:val="center"/>
          </w:tcPr>
          <w:p>
            <w:pPr>
              <w:pStyle w:val="14"/>
            </w:pPr>
            <w:r>
              <w:t>≥97%</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w:t>
            </w:r>
          </w:p>
        </w:tc>
        <w:tc>
          <w:tcPr>
            <w:tcW w:w="2835" w:type="dxa"/>
            <w:vAlign w:val="center"/>
          </w:tcPr>
          <w:p>
            <w:pPr>
              <w:pStyle w:val="14"/>
            </w:pPr>
            <w:r>
              <w:t>加强节约利用</w:t>
            </w:r>
          </w:p>
        </w:tc>
        <w:tc>
          <w:tcPr>
            <w:tcW w:w="2551" w:type="dxa"/>
            <w:vAlign w:val="center"/>
          </w:tcPr>
          <w:p>
            <w:pPr>
              <w:pStyle w:val="14"/>
            </w:pPr>
            <w:r>
              <w:t>≥98%</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长期发展</w:t>
            </w:r>
          </w:p>
        </w:tc>
        <w:tc>
          <w:tcPr>
            <w:tcW w:w="2835" w:type="dxa"/>
            <w:vAlign w:val="center"/>
          </w:tcPr>
          <w:p>
            <w:pPr>
              <w:pStyle w:val="14"/>
            </w:pPr>
            <w:r>
              <w:t>长期发展</w:t>
            </w:r>
          </w:p>
        </w:tc>
        <w:tc>
          <w:tcPr>
            <w:tcW w:w="2551" w:type="dxa"/>
            <w:vAlign w:val="center"/>
          </w:tcPr>
          <w:p>
            <w:pPr>
              <w:pStyle w:val="14"/>
            </w:pPr>
            <w:r>
              <w:t>1年</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政协委员满意度</w:t>
            </w:r>
          </w:p>
        </w:tc>
        <w:tc>
          <w:tcPr>
            <w:tcW w:w="2835" w:type="dxa"/>
            <w:vAlign w:val="center"/>
          </w:tcPr>
          <w:p>
            <w:pPr>
              <w:pStyle w:val="14"/>
            </w:pPr>
            <w:r>
              <w:t>政协委员满意度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8、政协委员工作站（室）建设活动经费绩效目标表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1.通过建立25个政协基层委员工作站，深入推进政协协商向基层延伸，拓展政协协商范围，指导基层开展协商议事活动，使区政协专门协商作用得到切实发挥，不断推进全区基层协商，达到委员工作站顺利进行。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建立政协基层委员工作站数量</w:t>
            </w:r>
          </w:p>
        </w:tc>
        <w:tc>
          <w:tcPr>
            <w:tcW w:w="2835" w:type="dxa"/>
            <w:vAlign w:val="center"/>
          </w:tcPr>
          <w:p>
            <w:pPr>
              <w:pStyle w:val="14"/>
            </w:pPr>
            <w:r>
              <w:t>建立政协基层委员工作站数量</w:t>
            </w:r>
          </w:p>
        </w:tc>
        <w:tc>
          <w:tcPr>
            <w:tcW w:w="2551" w:type="dxa"/>
            <w:vAlign w:val="center"/>
          </w:tcPr>
          <w:p>
            <w:pPr>
              <w:pStyle w:val="14"/>
            </w:pPr>
            <w:r>
              <w:t>25个</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建立政协基层委员工作站完成率</w:t>
            </w:r>
          </w:p>
        </w:tc>
        <w:tc>
          <w:tcPr>
            <w:tcW w:w="2835" w:type="dxa"/>
            <w:vAlign w:val="center"/>
          </w:tcPr>
          <w:p>
            <w:pPr>
              <w:pStyle w:val="14"/>
            </w:pPr>
            <w:r>
              <w:t>建立政协基层委员工作站完成率</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建立政协基层委员工作站完成时间</w:t>
            </w:r>
          </w:p>
        </w:tc>
        <w:tc>
          <w:tcPr>
            <w:tcW w:w="2835" w:type="dxa"/>
            <w:vAlign w:val="center"/>
          </w:tcPr>
          <w:p>
            <w:pPr>
              <w:pStyle w:val="14"/>
            </w:pPr>
            <w:r>
              <w:t>建立政协基层委员工作站完成时间</w:t>
            </w:r>
          </w:p>
        </w:tc>
        <w:tc>
          <w:tcPr>
            <w:tcW w:w="2551" w:type="dxa"/>
            <w:vAlign w:val="center"/>
          </w:tcPr>
          <w:p>
            <w:pPr>
              <w:pStyle w:val="14"/>
            </w:pPr>
            <w:r>
              <w:t>2022年底前完成</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建立政协委员工作站的总成本</w:t>
            </w:r>
          </w:p>
        </w:tc>
        <w:tc>
          <w:tcPr>
            <w:tcW w:w="2835" w:type="dxa"/>
            <w:vAlign w:val="center"/>
          </w:tcPr>
          <w:p>
            <w:pPr>
              <w:pStyle w:val="14"/>
            </w:pPr>
            <w:r>
              <w:t>用房改造、办公用具购置、背景墙、宣传手册、工作手册等</w:t>
            </w:r>
          </w:p>
        </w:tc>
        <w:tc>
          <w:tcPr>
            <w:tcW w:w="2551" w:type="dxa"/>
            <w:vAlign w:val="center"/>
          </w:tcPr>
          <w:p>
            <w:pPr>
              <w:pStyle w:val="14"/>
            </w:pPr>
            <w:r>
              <w:t>6万元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服务水平提升情况</w:t>
            </w:r>
          </w:p>
        </w:tc>
        <w:tc>
          <w:tcPr>
            <w:tcW w:w="2835" w:type="dxa"/>
            <w:vAlign w:val="center"/>
          </w:tcPr>
          <w:p>
            <w:pPr>
              <w:pStyle w:val="14"/>
            </w:pPr>
            <w:r>
              <w:t>服务水平提升情况</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9、政协委员专项经费绩效目标表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1.积极组织委员开展带调研、视察撰写高质量提按报告，充分发挥委员各界别作用，为经建设服务使人民群众获得满意</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调研活动次数</w:t>
            </w:r>
          </w:p>
        </w:tc>
        <w:tc>
          <w:tcPr>
            <w:tcW w:w="2835" w:type="dxa"/>
            <w:vAlign w:val="center"/>
          </w:tcPr>
          <w:p>
            <w:pPr>
              <w:pStyle w:val="14"/>
            </w:pPr>
            <w:r>
              <w:t>调研活动次数</w:t>
            </w:r>
          </w:p>
        </w:tc>
        <w:tc>
          <w:tcPr>
            <w:tcW w:w="2551" w:type="dxa"/>
            <w:vAlign w:val="center"/>
          </w:tcPr>
          <w:p>
            <w:pPr>
              <w:pStyle w:val="14"/>
            </w:pPr>
            <w:r>
              <w:t>≥10次</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调研结果真实率</w:t>
            </w:r>
          </w:p>
        </w:tc>
        <w:tc>
          <w:tcPr>
            <w:tcW w:w="2835" w:type="dxa"/>
            <w:vAlign w:val="center"/>
          </w:tcPr>
          <w:p>
            <w:pPr>
              <w:pStyle w:val="14"/>
            </w:pPr>
            <w:r>
              <w:t>调研结果真实率</w:t>
            </w:r>
          </w:p>
        </w:tc>
        <w:tc>
          <w:tcPr>
            <w:tcW w:w="2551" w:type="dxa"/>
            <w:vAlign w:val="center"/>
          </w:tcPr>
          <w:p>
            <w:pPr>
              <w:pStyle w:val="14"/>
            </w:pPr>
            <w:r>
              <w:t>100%</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项目完成及时率</w:t>
            </w:r>
          </w:p>
        </w:tc>
        <w:tc>
          <w:tcPr>
            <w:tcW w:w="2551" w:type="dxa"/>
            <w:vAlign w:val="center"/>
          </w:tcPr>
          <w:p>
            <w:pPr>
              <w:pStyle w:val="14"/>
            </w:pPr>
            <w:r>
              <w:t>100%</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调研经费</w:t>
            </w:r>
          </w:p>
        </w:tc>
        <w:tc>
          <w:tcPr>
            <w:tcW w:w="2835" w:type="dxa"/>
            <w:vAlign w:val="center"/>
          </w:tcPr>
          <w:p>
            <w:pPr>
              <w:pStyle w:val="14"/>
            </w:pPr>
            <w:r>
              <w:t>调研经费</w:t>
            </w:r>
          </w:p>
        </w:tc>
        <w:tc>
          <w:tcPr>
            <w:tcW w:w="2551" w:type="dxa"/>
            <w:vAlign w:val="center"/>
          </w:tcPr>
          <w:p>
            <w:pPr>
              <w:pStyle w:val="14"/>
            </w:pPr>
            <w:r>
              <w:t>10万元</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为我区发展做出了积极贡献</w:t>
            </w:r>
          </w:p>
        </w:tc>
        <w:tc>
          <w:tcPr>
            <w:tcW w:w="2835" w:type="dxa"/>
            <w:vAlign w:val="center"/>
          </w:tcPr>
          <w:p>
            <w:pPr>
              <w:pStyle w:val="14"/>
            </w:pPr>
            <w:r>
              <w:t>为我区发展做出了积极贡献</w:t>
            </w:r>
          </w:p>
        </w:tc>
        <w:tc>
          <w:tcPr>
            <w:tcW w:w="2551" w:type="dxa"/>
            <w:vAlign w:val="center"/>
          </w:tcPr>
          <w:p>
            <w:pPr>
              <w:pStyle w:val="14"/>
            </w:pPr>
            <w:r>
              <w:t>有所贡献</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形成了政治协商、民主监督、参政议政浓厚氛围，有效推进了我区民主建设</w:t>
            </w:r>
          </w:p>
        </w:tc>
        <w:tc>
          <w:tcPr>
            <w:tcW w:w="2835" w:type="dxa"/>
            <w:vAlign w:val="center"/>
          </w:tcPr>
          <w:p>
            <w:pPr>
              <w:pStyle w:val="14"/>
            </w:pPr>
            <w:r>
              <w:t>形成了政治协商、民主监督、参政议政浓厚氛围，有效推进了我区民主建设</w:t>
            </w:r>
          </w:p>
        </w:tc>
        <w:tc>
          <w:tcPr>
            <w:tcW w:w="2551" w:type="dxa"/>
            <w:vAlign w:val="center"/>
          </w:tcPr>
          <w:p>
            <w:pPr>
              <w:pStyle w:val="14"/>
            </w:pPr>
            <w:r>
              <w:t>有所建设</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对工作发展影响力</w:t>
            </w:r>
          </w:p>
        </w:tc>
        <w:tc>
          <w:tcPr>
            <w:tcW w:w="2835" w:type="dxa"/>
            <w:vAlign w:val="center"/>
          </w:tcPr>
          <w:p>
            <w:pPr>
              <w:pStyle w:val="14"/>
            </w:pPr>
            <w:r>
              <w:t>对工作发展影响力</w:t>
            </w:r>
          </w:p>
        </w:tc>
        <w:tc>
          <w:tcPr>
            <w:tcW w:w="2551" w:type="dxa"/>
            <w:vAlign w:val="center"/>
          </w:tcPr>
          <w:p>
            <w:pPr>
              <w:pStyle w:val="14"/>
            </w:pPr>
            <w:r>
              <w:t>进一步提升</w:t>
            </w:r>
          </w:p>
        </w:tc>
        <w:tc>
          <w:tcPr>
            <w:tcW w:w="2268" w:type="dxa"/>
            <w:vAlign w:val="center"/>
          </w:tcPr>
          <w:p>
            <w:pPr>
              <w:pStyle w:val="14"/>
            </w:pPr>
            <w:r>
              <w:t>本年度完成计划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政协委员满意度</w:t>
            </w:r>
          </w:p>
        </w:tc>
        <w:tc>
          <w:tcPr>
            <w:tcW w:w="2551" w:type="dxa"/>
            <w:vAlign w:val="center"/>
          </w:tcPr>
          <w:p>
            <w:pPr>
              <w:pStyle w:val="14"/>
            </w:pPr>
            <w:r>
              <w:t>受益群体满意度</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10、政协文史资料编印费绩效目标表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1.政协文史书籍编印量不少于210册，为了提高委员履职能力水平为经济建设服务，达到工作顺利进行。</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年度内政协文史书籍编印量</w:t>
            </w:r>
          </w:p>
        </w:tc>
        <w:tc>
          <w:tcPr>
            <w:tcW w:w="2835" w:type="dxa"/>
            <w:vAlign w:val="center"/>
          </w:tcPr>
          <w:p>
            <w:pPr>
              <w:pStyle w:val="14"/>
            </w:pPr>
            <w:r>
              <w:t>年度内政协文史书籍编印量</w:t>
            </w:r>
          </w:p>
        </w:tc>
        <w:tc>
          <w:tcPr>
            <w:tcW w:w="2551" w:type="dxa"/>
            <w:vAlign w:val="center"/>
          </w:tcPr>
          <w:p>
            <w:pPr>
              <w:pStyle w:val="14"/>
            </w:pPr>
            <w:r>
              <w:t>≥210册</w:t>
            </w:r>
          </w:p>
        </w:tc>
        <w:tc>
          <w:tcPr>
            <w:tcW w:w="2268" w:type="dxa"/>
            <w:vAlign w:val="center"/>
          </w:tcPr>
          <w:p>
            <w:pPr>
              <w:pStyle w:val="14"/>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编印的合格率</w:t>
            </w:r>
          </w:p>
        </w:tc>
        <w:tc>
          <w:tcPr>
            <w:tcW w:w="2835" w:type="dxa"/>
            <w:vAlign w:val="center"/>
          </w:tcPr>
          <w:p>
            <w:pPr>
              <w:pStyle w:val="14"/>
            </w:pPr>
            <w:r>
              <w:t>编印的合格率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编印的及时率</w:t>
            </w:r>
          </w:p>
        </w:tc>
        <w:tc>
          <w:tcPr>
            <w:tcW w:w="2835" w:type="dxa"/>
            <w:vAlign w:val="center"/>
          </w:tcPr>
          <w:p>
            <w:pPr>
              <w:pStyle w:val="14"/>
            </w:pPr>
            <w:r>
              <w:t>编印的及时率</w:t>
            </w:r>
          </w:p>
        </w:tc>
        <w:tc>
          <w:tcPr>
            <w:tcW w:w="2551" w:type="dxa"/>
            <w:vAlign w:val="center"/>
          </w:tcPr>
          <w:p>
            <w:pPr>
              <w:pStyle w:val="14"/>
            </w:pPr>
            <w:r>
              <w:t>≥96%</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经济发展贡献率</w:t>
            </w:r>
          </w:p>
        </w:tc>
        <w:tc>
          <w:tcPr>
            <w:tcW w:w="2835" w:type="dxa"/>
            <w:vAlign w:val="center"/>
          </w:tcPr>
          <w:p>
            <w:pPr>
              <w:pStyle w:val="14"/>
            </w:pPr>
            <w:r>
              <w:t>经济发展贡献率</w:t>
            </w:r>
          </w:p>
        </w:tc>
        <w:tc>
          <w:tcPr>
            <w:tcW w:w="2551" w:type="dxa"/>
            <w:vAlign w:val="center"/>
          </w:tcPr>
          <w:p>
            <w:pPr>
              <w:pStyle w:val="14"/>
            </w:pPr>
            <w:r>
              <w:t>高</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委员参与率</w:t>
            </w:r>
          </w:p>
        </w:tc>
        <w:tc>
          <w:tcPr>
            <w:tcW w:w="2835" w:type="dxa"/>
            <w:vAlign w:val="center"/>
          </w:tcPr>
          <w:p>
            <w:pPr>
              <w:pStyle w:val="14"/>
            </w:pPr>
            <w:r>
              <w:t>委员参与文史丛书征集、编印工作人数占比</w:t>
            </w:r>
          </w:p>
        </w:tc>
        <w:tc>
          <w:tcPr>
            <w:tcW w:w="2551" w:type="dxa"/>
            <w:vAlign w:val="center"/>
          </w:tcPr>
          <w:p>
            <w:pPr>
              <w:pStyle w:val="14"/>
            </w:pPr>
            <w:r>
              <w:t>≥95%</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w:t>
            </w:r>
          </w:p>
        </w:tc>
        <w:tc>
          <w:tcPr>
            <w:tcW w:w="2835" w:type="dxa"/>
            <w:vAlign w:val="center"/>
          </w:tcPr>
          <w:p>
            <w:pPr>
              <w:pStyle w:val="14"/>
            </w:pPr>
            <w:r>
              <w:t>加强节约利用</w:t>
            </w:r>
          </w:p>
        </w:tc>
        <w:tc>
          <w:tcPr>
            <w:tcW w:w="2551" w:type="dxa"/>
            <w:vAlign w:val="center"/>
          </w:tcPr>
          <w:p>
            <w:pPr>
              <w:pStyle w:val="14"/>
            </w:pPr>
            <w:r>
              <w:t>≥98%</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对我区发展有所影响</w:t>
            </w:r>
          </w:p>
        </w:tc>
        <w:tc>
          <w:tcPr>
            <w:tcW w:w="2268" w:type="dxa"/>
            <w:vAlign w:val="center"/>
          </w:tcPr>
          <w:p>
            <w:pPr>
              <w:pStyle w:val="14"/>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2023年，中国人民政治协商会议河北省石家庄市鹿泉区委员会安排政府采购预算0.00万元。具体内容见下表。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中国人民政治协商会议河北省石家庄市鹿泉区委员会本级上年末固定资产金额为189.36万元（详见下表）。本年度拟购置固定资产总额为</w:t>
      </w:r>
      <w:r>
        <w:rPr>
          <w:rFonts w:hint="eastAsia" w:eastAsiaTheme="minorEastAsia"/>
          <w:color w:val="000000"/>
          <w:sz w:val="28"/>
          <w:lang w:eastAsia="zh-CN"/>
        </w:rPr>
        <w:t>13.98</w:t>
      </w:r>
      <w:r>
        <w:rPr>
          <w:rFonts w:eastAsia="方正仿宋_GBK"/>
          <w:color w:val="000000"/>
          <w:sz w:val="28"/>
        </w:rPr>
        <w:t>万元，</w:t>
      </w:r>
      <w:r>
        <w:rPr>
          <w:rFonts w:hint="eastAsia" w:eastAsiaTheme="minorEastAsia"/>
          <w:color w:val="000000"/>
          <w:sz w:val="28"/>
          <w:lang w:eastAsia="zh-CN"/>
        </w:rPr>
        <w:t>其中通用设备11.37万元（电脑7.42万元，打印机3.45万元，话筒0.5万元），家具、用具、装具及动植物2.61万元（办公家具1.4万元，办公桌椅1.21万元），全部为零星采购不需要纳入政府采购系列，政府采购预算为空表列示。</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r>
              <w:t>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93.02</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482DCD"/>
    <w:rsid w:val="0006058C"/>
    <w:rsid w:val="001F4390"/>
    <w:rsid w:val="002420B8"/>
    <w:rsid w:val="002F280E"/>
    <w:rsid w:val="00482DCD"/>
    <w:rsid w:val="004913D6"/>
    <w:rsid w:val="005968EB"/>
    <w:rsid w:val="006F00E8"/>
    <w:rsid w:val="006F49CF"/>
    <w:rsid w:val="00762346"/>
    <w:rsid w:val="007B76DB"/>
    <w:rsid w:val="008A1D37"/>
    <w:rsid w:val="00950B89"/>
    <w:rsid w:val="00A05152"/>
    <w:rsid w:val="00A47027"/>
    <w:rsid w:val="00C71D5E"/>
    <w:rsid w:val="00CB0EAA"/>
    <w:rsid w:val="05741ED8"/>
    <w:rsid w:val="0A180D96"/>
    <w:rsid w:val="0CDE22FC"/>
    <w:rsid w:val="16C10D57"/>
    <w:rsid w:val="1E487FBA"/>
    <w:rsid w:val="20C1305D"/>
    <w:rsid w:val="2B2C7020"/>
    <w:rsid w:val="2BDB0F3B"/>
    <w:rsid w:val="2E9F5853"/>
    <w:rsid w:val="390C4103"/>
    <w:rsid w:val="3A5270D9"/>
    <w:rsid w:val="45943C4D"/>
    <w:rsid w:val="46C70176"/>
    <w:rsid w:val="4B065DA4"/>
    <w:rsid w:val="73792C79"/>
    <w:rsid w:val="76D34306"/>
    <w:rsid w:val="791823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uiPriority w:val="1"/>
  </w:style>
  <w:style w:type="table" w:default="1" w:styleId="6">
    <w:name w:val="Normal Table"/>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2023-02-14T10:46:09Z</dcterms:created>
  <dcterms:modified xsi:type="dcterms:W3CDTF">2023-02-14T02:46:09Z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2023-02-14T10:46:05Z</dcterms:created>
  <dcterms:modified xsi:type="dcterms:W3CDTF">2023-02-14T02:46:05Z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2023-02-14T10:46:04Z</dcterms:created>
  <dcterms:modified xsi:type="dcterms:W3CDTF">2023-02-14T02:46:04Z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2023-02-14T10:46:20Z</dcterms:created>
  <dcterms:modified xsi:type="dcterms:W3CDTF">2023-02-14T02:46:20Z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2023-02-14T10:46:06Z</dcterms:created>
  <dcterms:modified xsi:type="dcterms:W3CDTF">2023-02-14T02:46:06Z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2023-02-14T10:46:00Z</dcterms:created>
  <dcterms:modified xsi:type="dcterms:W3CDTF">2023-02-14T02:46:00Z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2023-02-14T10:46:21Z</dcterms:created>
  <dcterms:modified xsi:type="dcterms:W3CDTF">2023-02-14T02:46:21Z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2023-02-14T10:46:20Z</dcterms:created>
  <dcterms:modified xsi:type="dcterms:W3CDTF">2023-02-14T02:46:20Z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2023-02-14T10:46:08Z</dcterms:created>
  <dcterms:modified xsi:type="dcterms:W3CDTF">2023-02-14T02:46:08Z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2023-02-14T10:46:03Z</dcterms:created>
  <dcterms:modified xsi:type="dcterms:W3CDTF">2023-02-14T02:46:03Z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2023-02-14T10:46:21Z</dcterms:created>
  <dcterms:modified xsi:type="dcterms:W3CDTF">2023-02-14T02:46:21Z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2023-02-14T10:46:05Z</dcterms:created>
  <dcterms:modified xsi:type="dcterms:W3CDTF">2023-02-14T02:46:05Z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2023-02-14T10:46:07Z</dcterms:created>
  <dcterms:modified xsi:type="dcterms:W3CDTF">2023-02-14T02:46:07Z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2023-02-14T10:46:07Z</dcterms:created>
  <dcterms:modified xsi:type="dcterms:W3CDTF">2023-02-14T02:46:07Z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2023-02-14T10:46:07Z</dcterms:created>
  <dcterms:modified xsi:type="dcterms:W3CDTF">2023-02-14T02:46:07Z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2023-02-14T10:46:06Z</dcterms:created>
  <dcterms:modified xsi:type="dcterms:W3CDTF">2023-02-14T02:46:06Z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2023-02-14T10:46:19Z</dcterms:created>
  <dcterms:modified xsi:type="dcterms:W3CDTF">2023-02-14T02:46:19Z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2023-02-14T10:46:04Z</dcterms:created>
  <dcterms:modified xsi:type="dcterms:W3CDTF">2023-02-14T02:46:04Z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2023-02-14T10:46:16Z</dcterms:created>
  <dcterms:modified xsi:type="dcterms:W3CDTF">2023-02-14T02:46:15Z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2023-02-14T10:46:25Z</dcterms:created>
  <dcterms:modified xsi:type="dcterms:W3CDTF">2023-02-14T02:46:25Z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2023-02-14T10:46:22Z</dcterms:created>
  <dcterms:modified xsi:type="dcterms:W3CDTF">2023-02-14T02:46:22Z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2023-02-14T10:46:19Z</dcterms:created>
  <dcterms:modified xsi:type="dcterms:W3CDTF">2023-02-14T02:46:19Z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B421A49-2201-434F-8A6A-152E5507676A}">
  <ds:schemaRefs/>
</ds:datastoreItem>
</file>

<file path=customXml/itemProps11.xml><?xml version="1.0" encoding="utf-8"?>
<ds:datastoreItem xmlns:ds="http://schemas.openxmlformats.org/officeDocument/2006/customXml" ds:itemID="{F695A3F2-F2DE-4A29-99E5-1E4BCA47DDDB}">
  <ds:schemaRefs/>
</ds:datastoreItem>
</file>

<file path=customXml/itemProps12.xml><?xml version="1.0" encoding="utf-8"?>
<ds:datastoreItem xmlns:ds="http://schemas.openxmlformats.org/officeDocument/2006/customXml" ds:itemID="{D81F0C34-627A-4965-896F-A227695E829D}">
  <ds:schemaRefs/>
</ds:datastoreItem>
</file>

<file path=customXml/itemProps13.xml><?xml version="1.0" encoding="utf-8"?>
<ds:datastoreItem xmlns:ds="http://schemas.openxmlformats.org/officeDocument/2006/customXml" ds:itemID="{3020FA24-5959-497F-A27D-524C18A0B1BA}">
  <ds:schemaRefs/>
</ds:datastoreItem>
</file>

<file path=customXml/itemProps14.xml><?xml version="1.0" encoding="utf-8"?>
<ds:datastoreItem xmlns:ds="http://schemas.openxmlformats.org/officeDocument/2006/customXml" ds:itemID="{01C4D1FB-89DC-44BE-AFEE-C20510AD2A7E}">
  <ds:schemaRefs/>
</ds:datastoreItem>
</file>

<file path=customXml/itemProps15.xml><?xml version="1.0" encoding="utf-8"?>
<ds:datastoreItem xmlns:ds="http://schemas.openxmlformats.org/officeDocument/2006/customXml" ds:itemID="{020A36C6-2713-473E-90E8-C751FBCA11B8}">
  <ds:schemaRefs/>
</ds:datastoreItem>
</file>

<file path=customXml/itemProps16.xml><?xml version="1.0" encoding="utf-8"?>
<ds:datastoreItem xmlns:ds="http://schemas.openxmlformats.org/officeDocument/2006/customXml" ds:itemID="{B6F1151E-6131-4B9D-98A1-E9C461B1587C}">
  <ds:schemaRefs/>
</ds:datastoreItem>
</file>

<file path=customXml/itemProps17.xml><?xml version="1.0" encoding="utf-8"?>
<ds:datastoreItem xmlns:ds="http://schemas.openxmlformats.org/officeDocument/2006/customXml" ds:itemID="{C30C17F2-B168-4BF1-80E1-5456B623AF75}">
  <ds:schemaRefs/>
</ds:datastoreItem>
</file>

<file path=customXml/itemProps18.xml><?xml version="1.0" encoding="utf-8"?>
<ds:datastoreItem xmlns:ds="http://schemas.openxmlformats.org/officeDocument/2006/customXml" ds:itemID="{633364B3-2ABA-42E4-9E75-7F78FFBE984F}">
  <ds:schemaRefs/>
</ds:datastoreItem>
</file>

<file path=customXml/itemProps19.xml><?xml version="1.0" encoding="utf-8"?>
<ds:datastoreItem xmlns:ds="http://schemas.openxmlformats.org/officeDocument/2006/customXml" ds:itemID="{36AB9F32-8790-47E3-BF6C-B161C633B373}">
  <ds:schemaRefs/>
</ds:datastoreItem>
</file>

<file path=customXml/itemProps2.xml><?xml version="1.0" encoding="utf-8"?>
<ds:datastoreItem xmlns:ds="http://schemas.openxmlformats.org/officeDocument/2006/customXml" ds:itemID="{D5F1A866-9D22-432C-9D65-ADBC0ED8D6B3}">
  <ds:schemaRefs/>
</ds:datastoreItem>
</file>

<file path=customXml/itemProps20.xml><?xml version="1.0" encoding="utf-8"?>
<ds:datastoreItem xmlns:ds="http://schemas.openxmlformats.org/officeDocument/2006/customXml" ds:itemID="{EE967B0B-8CE4-4F60-82B3-F92743130180}">
  <ds:schemaRefs/>
</ds:datastoreItem>
</file>

<file path=customXml/itemProps21.xml><?xml version="1.0" encoding="utf-8"?>
<ds:datastoreItem xmlns:ds="http://schemas.openxmlformats.org/officeDocument/2006/customXml" ds:itemID="{5F93C7FB-96A7-43A2-87FB-AA99038419B9}">
  <ds:schemaRefs/>
</ds:datastoreItem>
</file>

<file path=customXml/itemProps22.xml><?xml version="1.0" encoding="utf-8"?>
<ds:datastoreItem xmlns:ds="http://schemas.openxmlformats.org/officeDocument/2006/customXml" ds:itemID="{9479D9F5-55BA-44B7-8CD0-FB9278A40631}">
  <ds:schemaRefs/>
</ds:datastoreItem>
</file>

<file path=customXml/itemProps23.xml><?xml version="1.0" encoding="utf-8"?>
<ds:datastoreItem xmlns:ds="http://schemas.openxmlformats.org/officeDocument/2006/customXml" ds:itemID="{0943CE5E-BF0A-4506-9A94-E2D1685A386E}">
  <ds:schemaRefs/>
</ds:datastoreItem>
</file>

<file path=customXml/itemProps24.xml><?xml version="1.0" encoding="utf-8"?>
<ds:datastoreItem xmlns:ds="http://schemas.openxmlformats.org/officeDocument/2006/customXml" ds:itemID="{27F61777-AB84-4942-904F-E3D601372B91}">
  <ds:schemaRefs/>
</ds:datastoreItem>
</file>

<file path=customXml/itemProps25.xml><?xml version="1.0" encoding="utf-8"?>
<ds:datastoreItem xmlns:ds="http://schemas.openxmlformats.org/officeDocument/2006/customXml" ds:itemID="{2C4A3F1E-9A89-416D-A996-AB1455653BB2}">
  <ds:schemaRefs/>
</ds:datastoreItem>
</file>

<file path=customXml/itemProps26.xml><?xml version="1.0" encoding="utf-8"?>
<ds:datastoreItem xmlns:ds="http://schemas.openxmlformats.org/officeDocument/2006/customXml" ds:itemID="{ED96D943-262A-493A-A542-7FBDB1A831B0}">
  <ds:schemaRefs/>
</ds:datastoreItem>
</file>

<file path=customXml/itemProps27.xml><?xml version="1.0" encoding="utf-8"?>
<ds:datastoreItem xmlns:ds="http://schemas.openxmlformats.org/officeDocument/2006/customXml" ds:itemID="{5741CF52-79FE-4339-93E6-A614DA3B7151}">
  <ds:schemaRefs/>
</ds:datastoreItem>
</file>

<file path=customXml/itemProps28.xml><?xml version="1.0" encoding="utf-8"?>
<ds:datastoreItem xmlns:ds="http://schemas.openxmlformats.org/officeDocument/2006/customXml" ds:itemID="{1E64AD49-5C12-46A8-9A4E-98D19E21F1BF}">
  <ds:schemaRefs/>
</ds:datastoreItem>
</file>

<file path=customXml/itemProps29.xml><?xml version="1.0" encoding="utf-8"?>
<ds:datastoreItem xmlns:ds="http://schemas.openxmlformats.org/officeDocument/2006/customXml" ds:itemID="{A19C3328-DB9A-4036-94DE-1543EAE6B2EB}">
  <ds:schemaRefs/>
</ds:datastoreItem>
</file>

<file path=customXml/itemProps3.xml><?xml version="1.0" encoding="utf-8"?>
<ds:datastoreItem xmlns:ds="http://schemas.openxmlformats.org/officeDocument/2006/customXml" ds:itemID="{40BFA1C0-3547-439C-AF18-CFD7A6130C45}">
  <ds:schemaRefs/>
</ds:datastoreItem>
</file>

<file path=customXml/itemProps30.xml><?xml version="1.0" encoding="utf-8"?>
<ds:datastoreItem xmlns:ds="http://schemas.openxmlformats.org/officeDocument/2006/customXml" ds:itemID="{44305AA7-C336-459F-B0EF-9FBFFEE2506F}">
  <ds:schemaRefs/>
</ds:datastoreItem>
</file>

<file path=customXml/itemProps31.xml><?xml version="1.0" encoding="utf-8"?>
<ds:datastoreItem xmlns:ds="http://schemas.openxmlformats.org/officeDocument/2006/customXml" ds:itemID="{24BC9CF4-841F-4E04-8E1C-468803C699A1}">
  <ds:schemaRefs/>
</ds:datastoreItem>
</file>

<file path=customXml/itemProps32.xml><?xml version="1.0" encoding="utf-8"?>
<ds:datastoreItem xmlns:ds="http://schemas.openxmlformats.org/officeDocument/2006/customXml" ds:itemID="{43ACFE34-6DD4-4BB5-8FF4-7AFDCA4E5BAE}">
  <ds:schemaRefs/>
</ds:datastoreItem>
</file>

<file path=customXml/itemProps33.xml><?xml version="1.0" encoding="utf-8"?>
<ds:datastoreItem xmlns:ds="http://schemas.openxmlformats.org/officeDocument/2006/customXml" ds:itemID="{F07D4951-664F-4953-B295-46BB2D2CB428}">
  <ds:schemaRefs/>
</ds:datastoreItem>
</file>

<file path=customXml/itemProps34.xml><?xml version="1.0" encoding="utf-8"?>
<ds:datastoreItem xmlns:ds="http://schemas.openxmlformats.org/officeDocument/2006/customXml" ds:itemID="{84BC159D-E54C-4516-8047-C441DE08717D}">
  <ds:schemaRefs/>
</ds:datastoreItem>
</file>

<file path=customXml/itemProps35.xml><?xml version="1.0" encoding="utf-8"?>
<ds:datastoreItem xmlns:ds="http://schemas.openxmlformats.org/officeDocument/2006/customXml" ds:itemID="{49C10309-2243-4943-9820-98EEFC21993D}">
  <ds:schemaRefs/>
</ds:datastoreItem>
</file>

<file path=customXml/itemProps36.xml><?xml version="1.0" encoding="utf-8"?>
<ds:datastoreItem xmlns:ds="http://schemas.openxmlformats.org/officeDocument/2006/customXml" ds:itemID="{90EE04AA-88D3-464E-80DC-E934F75CBF90}">
  <ds:schemaRefs/>
</ds:datastoreItem>
</file>

<file path=customXml/itemProps37.xml><?xml version="1.0" encoding="utf-8"?>
<ds:datastoreItem xmlns:ds="http://schemas.openxmlformats.org/officeDocument/2006/customXml" ds:itemID="{9205C4B7-26B1-4A5C-B497-6C6590FD2525}">
  <ds:schemaRefs/>
</ds:datastoreItem>
</file>

<file path=customXml/itemProps38.xml><?xml version="1.0" encoding="utf-8"?>
<ds:datastoreItem xmlns:ds="http://schemas.openxmlformats.org/officeDocument/2006/customXml" ds:itemID="{1E815CE2-B3DF-4106-ABD2-041FBD09569A}">
  <ds:schemaRefs/>
</ds:datastoreItem>
</file>

<file path=customXml/itemProps39.xml><?xml version="1.0" encoding="utf-8"?>
<ds:datastoreItem xmlns:ds="http://schemas.openxmlformats.org/officeDocument/2006/customXml" ds:itemID="{ABB99CDB-B37B-42AA-86C9-31345CD0EB2C}">
  <ds:schemaRefs/>
</ds:datastoreItem>
</file>

<file path=customXml/itemProps4.xml><?xml version="1.0" encoding="utf-8"?>
<ds:datastoreItem xmlns:ds="http://schemas.openxmlformats.org/officeDocument/2006/customXml" ds:itemID="{CBE332AE-2A14-440C-8160-76F5CAB96394}">
  <ds:schemaRefs/>
</ds:datastoreItem>
</file>

<file path=customXml/itemProps40.xml><?xml version="1.0" encoding="utf-8"?>
<ds:datastoreItem xmlns:ds="http://schemas.openxmlformats.org/officeDocument/2006/customXml" ds:itemID="{82BA81F4-CF85-4A61-9F32-02DD57255A3A}">
  <ds:schemaRefs/>
</ds:datastoreItem>
</file>

<file path=customXml/itemProps41.xml><?xml version="1.0" encoding="utf-8"?>
<ds:datastoreItem xmlns:ds="http://schemas.openxmlformats.org/officeDocument/2006/customXml" ds:itemID="{F4081EE6-A6F3-4EE3-BEE1-02F82A746A0D}">
  <ds:schemaRefs/>
</ds:datastoreItem>
</file>

<file path=customXml/itemProps42.xml><?xml version="1.0" encoding="utf-8"?>
<ds:datastoreItem xmlns:ds="http://schemas.openxmlformats.org/officeDocument/2006/customXml" ds:itemID="{17C84DF3-D4F8-4B93-A45F-5BDE1B1DB3F7}">
  <ds:schemaRefs/>
</ds:datastoreItem>
</file>

<file path=customXml/itemProps43.xml><?xml version="1.0" encoding="utf-8"?>
<ds:datastoreItem xmlns:ds="http://schemas.openxmlformats.org/officeDocument/2006/customXml" ds:itemID="{CA69C248-7AEE-484A-883F-654636EABB61}">
  <ds:schemaRefs/>
</ds:datastoreItem>
</file>

<file path=customXml/itemProps44.xml><?xml version="1.0" encoding="utf-8"?>
<ds:datastoreItem xmlns:ds="http://schemas.openxmlformats.org/officeDocument/2006/customXml" ds:itemID="{3537E46B-B359-4C7E-A474-463BD08BDDE4}">
  <ds:schemaRefs/>
</ds:datastoreItem>
</file>

<file path=customXml/itemProps45.xml><?xml version="1.0" encoding="utf-8"?>
<ds:datastoreItem xmlns:ds="http://schemas.openxmlformats.org/officeDocument/2006/customXml" ds:itemID="{C58E7922-B8DB-484F-9FEF-040DC7C9F4FD}">
  <ds:schemaRefs/>
</ds:datastoreItem>
</file>

<file path=customXml/itemProps46.xml><?xml version="1.0" encoding="utf-8"?>
<ds:datastoreItem xmlns:ds="http://schemas.openxmlformats.org/officeDocument/2006/customXml" ds:itemID="{32E950DF-C0C4-40B2-A58F-6BE13B597C13}">
  <ds:schemaRefs/>
</ds:datastoreItem>
</file>

<file path=customXml/itemProps47.xml><?xml version="1.0" encoding="utf-8"?>
<ds:datastoreItem xmlns:ds="http://schemas.openxmlformats.org/officeDocument/2006/customXml" ds:itemID="{56E807CD-DB0A-466D-AFA4-5D8E7171BF3A}">
  <ds:schemaRefs/>
</ds:datastoreItem>
</file>

<file path=customXml/itemProps48.xml><?xml version="1.0" encoding="utf-8"?>
<ds:datastoreItem xmlns:ds="http://schemas.openxmlformats.org/officeDocument/2006/customXml" ds:itemID="{5E0E7F0D-F9E3-44AD-8791-D42B71ABEE1B}">
  <ds:schemaRefs/>
</ds:datastoreItem>
</file>

<file path=customXml/itemProps49.xml><?xml version="1.0" encoding="utf-8"?>
<ds:datastoreItem xmlns:ds="http://schemas.openxmlformats.org/officeDocument/2006/customXml" ds:itemID="{91DF2876-0E06-4391-ADB3-187FF2243C03}">
  <ds:schemaRefs/>
</ds:datastoreItem>
</file>

<file path=customXml/itemProps5.xml><?xml version="1.0" encoding="utf-8"?>
<ds:datastoreItem xmlns:ds="http://schemas.openxmlformats.org/officeDocument/2006/customXml" ds:itemID="{57815F67-8377-4DCF-946E-0624F19CAFFF}">
  <ds:schemaRefs/>
</ds:datastoreItem>
</file>

<file path=customXml/itemProps50.xml><?xml version="1.0" encoding="utf-8"?>
<ds:datastoreItem xmlns:ds="http://schemas.openxmlformats.org/officeDocument/2006/customXml" ds:itemID="{17645A6C-D5F8-4E6C-87E4-077A94A759B2}">
  <ds:schemaRefs/>
</ds:datastoreItem>
</file>

<file path=customXml/itemProps51.xml><?xml version="1.0" encoding="utf-8"?>
<ds:datastoreItem xmlns:ds="http://schemas.openxmlformats.org/officeDocument/2006/customXml" ds:itemID="{FF0B28FE-5578-4C9B-958D-285D44D56F4F}">
  <ds:schemaRefs/>
</ds:datastoreItem>
</file>

<file path=customXml/itemProps6.xml><?xml version="1.0" encoding="utf-8"?>
<ds:datastoreItem xmlns:ds="http://schemas.openxmlformats.org/officeDocument/2006/customXml" ds:itemID="{646F134B-8932-47B6-95C7-ECDD5FB120C2}">
  <ds:schemaRefs/>
</ds:datastoreItem>
</file>

<file path=customXml/itemProps7.xml><?xml version="1.0" encoding="utf-8"?>
<ds:datastoreItem xmlns:ds="http://schemas.openxmlformats.org/officeDocument/2006/customXml" ds:itemID="{A2AB8771-D578-4A14-86C7-3639FAA4EAF3}">
  <ds:schemaRefs/>
</ds:datastoreItem>
</file>

<file path=customXml/itemProps8.xml><?xml version="1.0" encoding="utf-8"?>
<ds:datastoreItem xmlns:ds="http://schemas.openxmlformats.org/officeDocument/2006/customXml" ds:itemID="{38C6D93D-231D-4113-9B5B-D539B4540475}">
  <ds:schemaRefs/>
</ds:datastoreItem>
</file>

<file path=customXml/itemProps9.xml><?xml version="1.0" encoding="utf-8"?>
<ds:datastoreItem xmlns:ds="http://schemas.openxmlformats.org/officeDocument/2006/customXml" ds:itemID="{CA3591D3-0660-414D-9C50-2649A7A88691}">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76</Pages>
  <Words>5292</Words>
  <Characters>30166</Characters>
  <Lines>251</Lines>
  <Paragraphs>70</Paragraphs>
  <TotalTime>1</TotalTime>
  <ScaleCrop>false</ScaleCrop>
  <LinksUpToDate>false</LinksUpToDate>
  <CharactersWithSpaces>35388</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2023-02-14T10:46:00Z</dcterms:created>
  <dc:creator>Administrator</dc:creator>
  <cp:lastModifiedBy>Administrator</cp:lastModifiedBy>
  <dcterms:modified xsi:type="dcterms:W3CDTF">2024-07-04T03:01:28Z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63A943AD754740E4BB9955CF29441536_12</vt:lpwstr>
  </property>
</Properties>
</file>