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355.05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182.97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r>
              <w:t>149.32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355.05</w:t>
            </w:r>
          </w:p>
        </w:tc>
        <w:tc>
          <w:tcPr>
            <w:tcW w:w="4535" w:type="dxa"/>
            <w:vAlign w:val="center"/>
          </w:tcPr>
          <w:p>
            <w:pPr>
              <w:pStyle w:val="12"/>
            </w:pPr>
            <w:r>
              <w:t>本年支出合计</w:t>
            </w:r>
          </w:p>
        </w:tc>
        <w:tc>
          <w:tcPr>
            <w:tcW w:w="2126" w:type="dxa"/>
            <w:vAlign w:val="center"/>
          </w:tcPr>
          <w:p>
            <w:pPr>
              <w:pStyle w:val="13"/>
            </w:pPr>
            <w:r>
              <w:t>355.05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355.05</w:t>
            </w:r>
          </w:p>
        </w:tc>
        <w:tc>
          <w:tcPr>
            <w:tcW w:w="4535" w:type="dxa"/>
            <w:vAlign w:val="center"/>
          </w:tcPr>
          <w:p>
            <w:pPr>
              <w:pStyle w:val="12"/>
            </w:pPr>
            <w:r>
              <w:t>支出总计</w:t>
            </w:r>
          </w:p>
        </w:tc>
        <w:tc>
          <w:tcPr>
            <w:tcW w:w="2126" w:type="dxa"/>
            <w:vAlign w:val="center"/>
          </w:tcPr>
          <w:p>
            <w:pPr>
              <w:pStyle w:val="13"/>
            </w:pPr>
            <w:r>
              <w:t>355.05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355.05</w:t>
            </w:r>
          </w:p>
        </w:tc>
        <w:tc>
          <w:tcPr>
            <w:tcW w:w="1134" w:type="dxa"/>
            <w:vAlign w:val="center"/>
          </w:tcPr>
          <w:p>
            <w:pPr>
              <w:pStyle w:val="13"/>
            </w:pPr>
            <w:r>
              <w:t>355.05</w:t>
            </w:r>
          </w:p>
        </w:tc>
        <w:tc>
          <w:tcPr>
            <w:tcW w:w="1134" w:type="dxa"/>
            <w:vAlign w:val="center"/>
          </w:tcPr>
          <w:p>
            <w:pPr>
              <w:pStyle w:val="13"/>
            </w:pPr>
            <w:r>
              <w:t>355.05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182.97</w:t>
            </w:r>
          </w:p>
        </w:tc>
        <w:tc>
          <w:tcPr>
            <w:tcW w:w="1134" w:type="dxa"/>
            <w:vAlign w:val="center"/>
          </w:tcPr>
          <w:p>
            <w:pPr>
              <w:pStyle w:val="9"/>
            </w:pPr>
            <w:r>
              <w:t>182.97</w:t>
            </w:r>
          </w:p>
        </w:tc>
        <w:tc>
          <w:tcPr>
            <w:tcW w:w="1134" w:type="dxa"/>
            <w:vAlign w:val="center"/>
          </w:tcPr>
          <w:p>
            <w:pPr>
              <w:pStyle w:val="9"/>
            </w:pPr>
            <w:r>
              <w:t>182.97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117.18</w:t>
            </w:r>
          </w:p>
        </w:tc>
        <w:tc>
          <w:tcPr>
            <w:tcW w:w="1134" w:type="dxa"/>
            <w:vAlign w:val="center"/>
          </w:tcPr>
          <w:p>
            <w:pPr>
              <w:pStyle w:val="9"/>
            </w:pPr>
            <w:r>
              <w:t>117.18</w:t>
            </w:r>
          </w:p>
        </w:tc>
        <w:tc>
          <w:tcPr>
            <w:tcW w:w="1134" w:type="dxa"/>
            <w:vAlign w:val="center"/>
          </w:tcPr>
          <w:p>
            <w:pPr>
              <w:pStyle w:val="9"/>
            </w:pPr>
            <w:r>
              <w:t>117.18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103.32</w:t>
            </w:r>
          </w:p>
        </w:tc>
        <w:tc>
          <w:tcPr>
            <w:tcW w:w="1134" w:type="dxa"/>
            <w:vAlign w:val="center"/>
          </w:tcPr>
          <w:p>
            <w:pPr>
              <w:pStyle w:val="9"/>
            </w:pPr>
            <w:r>
              <w:t>103.32</w:t>
            </w:r>
          </w:p>
        </w:tc>
        <w:tc>
          <w:tcPr>
            <w:tcW w:w="1134" w:type="dxa"/>
            <w:vAlign w:val="center"/>
          </w:tcPr>
          <w:p>
            <w:pPr>
              <w:pStyle w:val="9"/>
            </w:pPr>
            <w:r>
              <w:t>103.32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13.86</w:t>
            </w:r>
          </w:p>
        </w:tc>
        <w:tc>
          <w:tcPr>
            <w:tcW w:w="1134" w:type="dxa"/>
            <w:vAlign w:val="center"/>
          </w:tcPr>
          <w:p>
            <w:pPr>
              <w:pStyle w:val="9"/>
            </w:pPr>
            <w:r>
              <w:t>13.86</w:t>
            </w:r>
          </w:p>
        </w:tc>
        <w:tc>
          <w:tcPr>
            <w:tcW w:w="1134" w:type="dxa"/>
            <w:vAlign w:val="center"/>
          </w:tcPr>
          <w:p>
            <w:pPr>
              <w:pStyle w:val="9"/>
            </w:pPr>
            <w:r>
              <w:t>13.86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r>
              <w:t>65.79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r>
              <w:t>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216</w:t>
            </w:r>
          </w:p>
        </w:tc>
        <w:tc>
          <w:tcPr>
            <w:tcW w:w="1559" w:type="dxa"/>
            <w:vAlign w:val="center"/>
          </w:tcPr>
          <w:p>
            <w:pPr>
              <w:pStyle w:val="10"/>
            </w:pPr>
            <w:r>
              <w:t>商业服务业等支出</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21602</w:t>
            </w:r>
          </w:p>
        </w:tc>
        <w:tc>
          <w:tcPr>
            <w:tcW w:w="1559" w:type="dxa"/>
            <w:vAlign w:val="center"/>
          </w:tcPr>
          <w:p>
            <w:pPr>
              <w:pStyle w:val="10"/>
            </w:pPr>
            <w:r>
              <w:t>商业流通事务</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r>
              <w:t>149.32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2160250</w:t>
            </w:r>
          </w:p>
        </w:tc>
        <w:tc>
          <w:tcPr>
            <w:tcW w:w="1559" w:type="dxa"/>
            <w:vAlign w:val="center"/>
          </w:tcPr>
          <w:p>
            <w:pPr>
              <w:pStyle w:val="10"/>
            </w:pPr>
            <w:r>
              <w:t>事业运行</w:t>
            </w:r>
          </w:p>
        </w:tc>
        <w:tc>
          <w:tcPr>
            <w:tcW w:w="1134" w:type="dxa"/>
            <w:vAlign w:val="center"/>
          </w:tcPr>
          <w:p>
            <w:pPr>
              <w:pStyle w:val="9"/>
            </w:pPr>
            <w:r>
              <w:t>129.32</w:t>
            </w:r>
          </w:p>
        </w:tc>
        <w:tc>
          <w:tcPr>
            <w:tcW w:w="1134" w:type="dxa"/>
            <w:vAlign w:val="center"/>
          </w:tcPr>
          <w:p>
            <w:pPr>
              <w:pStyle w:val="9"/>
            </w:pPr>
            <w:r>
              <w:t>129.32</w:t>
            </w:r>
          </w:p>
        </w:tc>
        <w:tc>
          <w:tcPr>
            <w:tcW w:w="1134" w:type="dxa"/>
            <w:vAlign w:val="center"/>
          </w:tcPr>
          <w:p>
            <w:pPr>
              <w:pStyle w:val="9"/>
            </w:pPr>
            <w:r>
              <w:t>129.32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2160299</w:t>
            </w:r>
          </w:p>
        </w:tc>
        <w:tc>
          <w:tcPr>
            <w:tcW w:w="1559" w:type="dxa"/>
            <w:vAlign w:val="center"/>
          </w:tcPr>
          <w:p>
            <w:pPr>
              <w:pStyle w:val="10"/>
            </w:pPr>
            <w:r>
              <w:t>其他商业流通事务支出</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r>
              <w:t>12.88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355.05</w:t>
            </w:r>
          </w:p>
        </w:tc>
        <w:tc>
          <w:tcPr>
            <w:tcW w:w="1361" w:type="dxa"/>
            <w:vAlign w:val="center"/>
          </w:tcPr>
          <w:p>
            <w:pPr>
              <w:pStyle w:val="13"/>
            </w:pPr>
            <w:r>
              <w:t>269.26</w:t>
            </w:r>
          </w:p>
        </w:tc>
        <w:tc>
          <w:tcPr>
            <w:tcW w:w="1361" w:type="dxa"/>
            <w:vAlign w:val="center"/>
          </w:tcPr>
          <w:p>
            <w:pPr>
              <w:pStyle w:val="13"/>
            </w:pPr>
            <w:r>
              <w:t>85.79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182.97</w:t>
            </w:r>
          </w:p>
        </w:tc>
        <w:tc>
          <w:tcPr>
            <w:tcW w:w="1361" w:type="dxa"/>
            <w:vAlign w:val="center"/>
          </w:tcPr>
          <w:p>
            <w:pPr>
              <w:pStyle w:val="9"/>
            </w:pPr>
            <w:r>
              <w:t>117.18</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117.18</w:t>
            </w:r>
          </w:p>
        </w:tc>
        <w:tc>
          <w:tcPr>
            <w:tcW w:w="1361" w:type="dxa"/>
            <w:vAlign w:val="center"/>
          </w:tcPr>
          <w:p>
            <w:pPr>
              <w:pStyle w:val="9"/>
            </w:pPr>
            <w:r>
              <w:t>117.18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103.32</w:t>
            </w:r>
          </w:p>
        </w:tc>
        <w:tc>
          <w:tcPr>
            <w:tcW w:w="1361" w:type="dxa"/>
            <w:vAlign w:val="center"/>
          </w:tcPr>
          <w:p>
            <w:pPr>
              <w:pStyle w:val="9"/>
            </w:pPr>
            <w:r>
              <w:t>103.32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13.86</w:t>
            </w:r>
          </w:p>
        </w:tc>
        <w:tc>
          <w:tcPr>
            <w:tcW w:w="1361" w:type="dxa"/>
            <w:vAlign w:val="center"/>
          </w:tcPr>
          <w:p>
            <w:pPr>
              <w:pStyle w:val="9"/>
            </w:pPr>
            <w:r>
              <w:t>13.86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r>
              <w:t>65.79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9.88</w:t>
            </w:r>
          </w:p>
        </w:tc>
        <w:tc>
          <w:tcPr>
            <w:tcW w:w="1361" w:type="dxa"/>
            <w:vAlign w:val="center"/>
          </w:tcPr>
          <w:p>
            <w:pPr>
              <w:pStyle w:val="9"/>
            </w:pPr>
            <w:r>
              <w:t>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216</w:t>
            </w:r>
          </w:p>
        </w:tc>
        <w:tc>
          <w:tcPr>
            <w:tcW w:w="4535" w:type="dxa"/>
            <w:vAlign w:val="center"/>
          </w:tcPr>
          <w:p>
            <w:pPr>
              <w:pStyle w:val="10"/>
            </w:pPr>
            <w:r>
              <w:t>商业服务业等支出</w:t>
            </w:r>
          </w:p>
        </w:tc>
        <w:tc>
          <w:tcPr>
            <w:tcW w:w="1361" w:type="dxa"/>
            <w:vAlign w:val="center"/>
          </w:tcPr>
          <w:p>
            <w:pPr>
              <w:pStyle w:val="9"/>
            </w:pPr>
            <w:r>
              <w:t>149.32</w:t>
            </w:r>
          </w:p>
        </w:tc>
        <w:tc>
          <w:tcPr>
            <w:tcW w:w="1361" w:type="dxa"/>
            <w:vAlign w:val="center"/>
          </w:tcPr>
          <w:p>
            <w:pPr>
              <w:pStyle w:val="9"/>
            </w:pPr>
            <w:r>
              <w:t>129.32</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21602</w:t>
            </w:r>
          </w:p>
        </w:tc>
        <w:tc>
          <w:tcPr>
            <w:tcW w:w="4535" w:type="dxa"/>
            <w:vAlign w:val="center"/>
          </w:tcPr>
          <w:p>
            <w:pPr>
              <w:pStyle w:val="10"/>
            </w:pPr>
            <w:r>
              <w:t>商业流通事务</w:t>
            </w:r>
          </w:p>
        </w:tc>
        <w:tc>
          <w:tcPr>
            <w:tcW w:w="1361" w:type="dxa"/>
            <w:vAlign w:val="center"/>
          </w:tcPr>
          <w:p>
            <w:pPr>
              <w:pStyle w:val="9"/>
            </w:pPr>
            <w:r>
              <w:t>149.32</w:t>
            </w:r>
          </w:p>
        </w:tc>
        <w:tc>
          <w:tcPr>
            <w:tcW w:w="1361" w:type="dxa"/>
            <w:vAlign w:val="center"/>
          </w:tcPr>
          <w:p>
            <w:pPr>
              <w:pStyle w:val="9"/>
            </w:pPr>
            <w:r>
              <w:t>129.32</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2160250</w:t>
            </w:r>
          </w:p>
        </w:tc>
        <w:tc>
          <w:tcPr>
            <w:tcW w:w="4535" w:type="dxa"/>
            <w:vAlign w:val="center"/>
          </w:tcPr>
          <w:p>
            <w:pPr>
              <w:pStyle w:val="10"/>
            </w:pPr>
            <w:r>
              <w:t>事业运行</w:t>
            </w:r>
          </w:p>
        </w:tc>
        <w:tc>
          <w:tcPr>
            <w:tcW w:w="1361" w:type="dxa"/>
            <w:vAlign w:val="center"/>
          </w:tcPr>
          <w:p>
            <w:pPr>
              <w:pStyle w:val="9"/>
            </w:pPr>
            <w:r>
              <w:t>129.32</w:t>
            </w:r>
          </w:p>
        </w:tc>
        <w:tc>
          <w:tcPr>
            <w:tcW w:w="1361" w:type="dxa"/>
            <w:vAlign w:val="center"/>
          </w:tcPr>
          <w:p>
            <w:pPr>
              <w:pStyle w:val="9"/>
            </w:pPr>
            <w:r>
              <w:t>129.32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2160299</w:t>
            </w:r>
          </w:p>
        </w:tc>
        <w:tc>
          <w:tcPr>
            <w:tcW w:w="4535" w:type="dxa"/>
            <w:vAlign w:val="center"/>
          </w:tcPr>
          <w:p>
            <w:pPr>
              <w:pStyle w:val="10"/>
            </w:pPr>
            <w:r>
              <w:t>其他商业流通事务支出</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12.88</w:t>
            </w:r>
          </w:p>
        </w:tc>
        <w:tc>
          <w:tcPr>
            <w:tcW w:w="1361" w:type="dxa"/>
            <w:vAlign w:val="center"/>
          </w:tcPr>
          <w:p>
            <w:pPr>
              <w:pStyle w:val="9"/>
            </w:pPr>
            <w:r>
              <w:t>12.88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355.05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182.97</w:t>
            </w:r>
          </w:p>
        </w:tc>
        <w:tc>
          <w:tcPr>
            <w:tcW w:w="1474" w:type="dxa"/>
            <w:vAlign w:val="center"/>
          </w:tcPr>
          <w:p>
            <w:pPr>
              <w:pStyle w:val="9"/>
            </w:pPr>
            <w:r>
              <w:t>182.97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9.88</w:t>
            </w:r>
          </w:p>
        </w:tc>
        <w:tc>
          <w:tcPr>
            <w:tcW w:w="1474" w:type="dxa"/>
            <w:vAlign w:val="center"/>
          </w:tcPr>
          <w:p>
            <w:pPr>
              <w:pStyle w:val="9"/>
            </w:pPr>
            <w:r>
              <w:t>9.88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r>
              <w:t>149.32</w:t>
            </w:r>
          </w:p>
        </w:tc>
        <w:tc>
          <w:tcPr>
            <w:tcW w:w="1474" w:type="dxa"/>
            <w:vAlign w:val="center"/>
          </w:tcPr>
          <w:p>
            <w:pPr>
              <w:pStyle w:val="9"/>
            </w:pPr>
            <w:r>
              <w:t>149.32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12.88</w:t>
            </w:r>
          </w:p>
        </w:tc>
        <w:tc>
          <w:tcPr>
            <w:tcW w:w="1474" w:type="dxa"/>
            <w:vAlign w:val="center"/>
          </w:tcPr>
          <w:p>
            <w:pPr>
              <w:pStyle w:val="9"/>
            </w:pPr>
            <w:r>
              <w:t>12.88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355.05</w:t>
            </w:r>
          </w:p>
        </w:tc>
        <w:tc>
          <w:tcPr>
            <w:tcW w:w="3402" w:type="dxa"/>
            <w:vAlign w:val="center"/>
          </w:tcPr>
          <w:p>
            <w:pPr>
              <w:pStyle w:val="12"/>
            </w:pPr>
            <w:r>
              <w:t>本年支出合计</w:t>
            </w:r>
          </w:p>
        </w:tc>
        <w:tc>
          <w:tcPr>
            <w:tcW w:w="1474" w:type="dxa"/>
            <w:vAlign w:val="center"/>
          </w:tcPr>
          <w:p>
            <w:pPr>
              <w:pStyle w:val="13"/>
            </w:pPr>
            <w:r>
              <w:t>355.05</w:t>
            </w:r>
          </w:p>
        </w:tc>
        <w:tc>
          <w:tcPr>
            <w:tcW w:w="1474" w:type="dxa"/>
            <w:vAlign w:val="center"/>
          </w:tcPr>
          <w:p>
            <w:pPr>
              <w:pStyle w:val="13"/>
            </w:pPr>
            <w:r>
              <w:t>355.05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355.05</w:t>
            </w:r>
          </w:p>
        </w:tc>
        <w:tc>
          <w:tcPr>
            <w:tcW w:w="3402" w:type="dxa"/>
            <w:vAlign w:val="center"/>
          </w:tcPr>
          <w:p>
            <w:pPr>
              <w:pStyle w:val="12"/>
            </w:pPr>
            <w:r>
              <w:t>支出总计</w:t>
            </w:r>
          </w:p>
        </w:tc>
        <w:tc>
          <w:tcPr>
            <w:tcW w:w="1474" w:type="dxa"/>
            <w:vAlign w:val="center"/>
          </w:tcPr>
          <w:p>
            <w:pPr>
              <w:pStyle w:val="13"/>
            </w:pPr>
            <w:r>
              <w:t>355.05</w:t>
            </w:r>
          </w:p>
        </w:tc>
        <w:tc>
          <w:tcPr>
            <w:tcW w:w="1474" w:type="dxa"/>
            <w:vAlign w:val="center"/>
          </w:tcPr>
          <w:p>
            <w:pPr>
              <w:pStyle w:val="13"/>
            </w:pPr>
            <w:r>
              <w:t>355.05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355.05</w:t>
            </w:r>
          </w:p>
        </w:tc>
        <w:tc>
          <w:tcPr>
            <w:tcW w:w="2551" w:type="dxa"/>
            <w:vAlign w:val="center"/>
          </w:tcPr>
          <w:p>
            <w:pPr>
              <w:pStyle w:val="13"/>
            </w:pPr>
            <w:r>
              <w:t>269.26</w:t>
            </w:r>
          </w:p>
        </w:tc>
        <w:tc>
          <w:tcPr>
            <w:tcW w:w="2551" w:type="dxa"/>
            <w:vAlign w:val="center"/>
          </w:tcPr>
          <w:p>
            <w:pPr>
              <w:pStyle w:val="13"/>
            </w:pPr>
            <w:r>
              <w:t>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182.97</w:t>
            </w:r>
          </w:p>
        </w:tc>
        <w:tc>
          <w:tcPr>
            <w:tcW w:w="2551" w:type="dxa"/>
            <w:vAlign w:val="center"/>
          </w:tcPr>
          <w:p>
            <w:pPr>
              <w:pStyle w:val="9"/>
            </w:pPr>
            <w:r>
              <w:t>117.18</w:t>
            </w: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117.18</w:t>
            </w:r>
          </w:p>
        </w:tc>
        <w:tc>
          <w:tcPr>
            <w:tcW w:w="2551" w:type="dxa"/>
            <w:vAlign w:val="center"/>
          </w:tcPr>
          <w:p>
            <w:pPr>
              <w:pStyle w:val="9"/>
            </w:pPr>
            <w:r>
              <w:t>117.18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103.32</w:t>
            </w:r>
          </w:p>
        </w:tc>
        <w:tc>
          <w:tcPr>
            <w:tcW w:w="2551" w:type="dxa"/>
            <w:vAlign w:val="center"/>
          </w:tcPr>
          <w:p>
            <w:pPr>
              <w:pStyle w:val="9"/>
            </w:pPr>
            <w:r>
              <w:t>103.32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13.86</w:t>
            </w:r>
          </w:p>
        </w:tc>
        <w:tc>
          <w:tcPr>
            <w:tcW w:w="2551" w:type="dxa"/>
            <w:vAlign w:val="center"/>
          </w:tcPr>
          <w:p>
            <w:pPr>
              <w:pStyle w:val="9"/>
            </w:pPr>
            <w:r>
              <w:t>13.86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65.79</w:t>
            </w:r>
          </w:p>
        </w:tc>
        <w:tc>
          <w:tcPr>
            <w:tcW w:w="2551" w:type="dxa"/>
            <w:vAlign w:val="center"/>
          </w:tcPr>
          <w:p>
            <w:pPr>
              <w:pStyle w:val="9"/>
            </w:pP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65.79</w:t>
            </w:r>
          </w:p>
        </w:tc>
        <w:tc>
          <w:tcPr>
            <w:tcW w:w="2551" w:type="dxa"/>
            <w:vAlign w:val="center"/>
          </w:tcPr>
          <w:p>
            <w:pPr>
              <w:pStyle w:val="9"/>
            </w:pPr>
          </w:p>
        </w:tc>
        <w:tc>
          <w:tcPr>
            <w:tcW w:w="2551" w:type="dxa"/>
            <w:vAlign w:val="center"/>
          </w:tcPr>
          <w:p>
            <w:pPr>
              <w:pStyle w:val="9"/>
            </w:pPr>
            <w:r>
              <w:t>65.79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9.88</w:t>
            </w:r>
          </w:p>
        </w:tc>
        <w:tc>
          <w:tcPr>
            <w:tcW w:w="2551" w:type="dxa"/>
            <w:vAlign w:val="center"/>
          </w:tcPr>
          <w:p>
            <w:pPr>
              <w:pStyle w:val="9"/>
            </w:pPr>
            <w:r>
              <w:t>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216</w:t>
            </w:r>
          </w:p>
        </w:tc>
        <w:tc>
          <w:tcPr>
            <w:tcW w:w="4535" w:type="dxa"/>
            <w:vAlign w:val="center"/>
          </w:tcPr>
          <w:p>
            <w:pPr>
              <w:pStyle w:val="10"/>
            </w:pPr>
            <w:r>
              <w:t>商业服务业等支出</w:t>
            </w:r>
          </w:p>
        </w:tc>
        <w:tc>
          <w:tcPr>
            <w:tcW w:w="2551" w:type="dxa"/>
            <w:vAlign w:val="center"/>
          </w:tcPr>
          <w:p>
            <w:pPr>
              <w:pStyle w:val="9"/>
            </w:pPr>
            <w:r>
              <w:t>149.32</w:t>
            </w:r>
          </w:p>
        </w:tc>
        <w:tc>
          <w:tcPr>
            <w:tcW w:w="2551" w:type="dxa"/>
            <w:vAlign w:val="center"/>
          </w:tcPr>
          <w:p>
            <w:pPr>
              <w:pStyle w:val="9"/>
            </w:pPr>
            <w:r>
              <w:t>129.32</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21602</w:t>
            </w:r>
          </w:p>
        </w:tc>
        <w:tc>
          <w:tcPr>
            <w:tcW w:w="4535" w:type="dxa"/>
            <w:vAlign w:val="center"/>
          </w:tcPr>
          <w:p>
            <w:pPr>
              <w:pStyle w:val="10"/>
            </w:pPr>
            <w:r>
              <w:t>商业流通事务</w:t>
            </w:r>
          </w:p>
        </w:tc>
        <w:tc>
          <w:tcPr>
            <w:tcW w:w="2551" w:type="dxa"/>
            <w:vAlign w:val="center"/>
          </w:tcPr>
          <w:p>
            <w:pPr>
              <w:pStyle w:val="9"/>
            </w:pPr>
            <w:r>
              <w:t>149.32</w:t>
            </w:r>
          </w:p>
        </w:tc>
        <w:tc>
          <w:tcPr>
            <w:tcW w:w="2551" w:type="dxa"/>
            <w:vAlign w:val="center"/>
          </w:tcPr>
          <w:p>
            <w:pPr>
              <w:pStyle w:val="9"/>
            </w:pPr>
            <w:r>
              <w:t>129.32</w:t>
            </w: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2160250</w:t>
            </w:r>
          </w:p>
        </w:tc>
        <w:tc>
          <w:tcPr>
            <w:tcW w:w="4535" w:type="dxa"/>
            <w:vAlign w:val="center"/>
          </w:tcPr>
          <w:p>
            <w:pPr>
              <w:pStyle w:val="10"/>
            </w:pPr>
            <w:r>
              <w:t>事业运行</w:t>
            </w:r>
          </w:p>
        </w:tc>
        <w:tc>
          <w:tcPr>
            <w:tcW w:w="2551" w:type="dxa"/>
            <w:vAlign w:val="center"/>
          </w:tcPr>
          <w:p>
            <w:pPr>
              <w:pStyle w:val="9"/>
            </w:pPr>
            <w:r>
              <w:t>129.32</w:t>
            </w:r>
          </w:p>
        </w:tc>
        <w:tc>
          <w:tcPr>
            <w:tcW w:w="2551" w:type="dxa"/>
            <w:vAlign w:val="center"/>
          </w:tcPr>
          <w:p>
            <w:pPr>
              <w:pStyle w:val="9"/>
            </w:pPr>
            <w:r>
              <w:t>129.32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2160299</w:t>
            </w:r>
          </w:p>
        </w:tc>
        <w:tc>
          <w:tcPr>
            <w:tcW w:w="4535" w:type="dxa"/>
            <w:vAlign w:val="center"/>
          </w:tcPr>
          <w:p>
            <w:pPr>
              <w:pStyle w:val="10"/>
            </w:pPr>
            <w:r>
              <w:t>其他商业流通事务支出</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269.26</w:t>
            </w:r>
          </w:p>
        </w:tc>
        <w:tc>
          <w:tcPr>
            <w:tcW w:w="2551" w:type="dxa"/>
            <w:vAlign w:val="center"/>
          </w:tcPr>
          <w:p>
            <w:pPr>
              <w:pStyle w:val="13"/>
            </w:pPr>
            <w:r>
              <w:t>257.65</w:t>
            </w:r>
          </w:p>
        </w:tc>
        <w:tc>
          <w:tcPr>
            <w:tcW w:w="2551" w:type="dxa"/>
            <w:vAlign w:val="center"/>
          </w:tcPr>
          <w:p>
            <w:pPr>
              <w:pStyle w:val="13"/>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154.14</w:t>
            </w:r>
          </w:p>
        </w:tc>
        <w:tc>
          <w:tcPr>
            <w:tcW w:w="2551" w:type="dxa"/>
            <w:vAlign w:val="center"/>
          </w:tcPr>
          <w:p>
            <w:pPr>
              <w:pStyle w:val="9"/>
            </w:pPr>
            <w:r>
              <w:t>154.14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40.25</w:t>
            </w:r>
          </w:p>
        </w:tc>
        <w:tc>
          <w:tcPr>
            <w:tcW w:w="2551" w:type="dxa"/>
            <w:vAlign w:val="center"/>
          </w:tcPr>
          <w:p>
            <w:pPr>
              <w:pStyle w:val="9"/>
            </w:pPr>
            <w:r>
              <w:t>40.25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7.35</w:t>
            </w:r>
          </w:p>
        </w:tc>
        <w:tc>
          <w:tcPr>
            <w:tcW w:w="2551" w:type="dxa"/>
            <w:vAlign w:val="center"/>
          </w:tcPr>
          <w:p>
            <w:pPr>
              <w:pStyle w:val="9"/>
            </w:pPr>
            <w:r>
              <w:t>7.35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43.06</w:t>
            </w:r>
          </w:p>
        </w:tc>
        <w:tc>
          <w:tcPr>
            <w:tcW w:w="2551" w:type="dxa"/>
            <w:vAlign w:val="center"/>
          </w:tcPr>
          <w:p>
            <w:pPr>
              <w:pStyle w:val="9"/>
            </w:pPr>
            <w:r>
              <w:t>43.06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26.05</w:t>
            </w:r>
          </w:p>
        </w:tc>
        <w:tc>
          <w:tcPr>
            <w:tcW w:w="2551" w:type="dxa"/>
            <w:vAlign w:val="center"/>
          </w:tcPr>
          <w:p>
            <w:pPr>
              <w:pStyle w:val="9"/>
            </w:pPr>
            <w:r>
              <w:t>26.05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13.86</w:t>
            </w:r>
          </w:p>
        </w:tc>
        <w:tc>
          <w:tcPr>
            <w:tcW w:w="2551" w:type="dxa"/>
            <w:vAlign w:val="center"/>
          </w:tcPr>
          <w:p>
            <w:pPr>
              <w:pStyle w:val="9"/>
            </w:pPr>
            <w:r>
              <w:t>13.86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5.57</w:t>
            </w:r>
          </w:p>
        </w:tc>
        <w:tc>
          <w:tcPr>
            <w:tcW w:w="2551" w:type="dxa"/>
            <w:vAlign w:val="center"/>
          </w:tcPr>
          <w:p>
            <w:pPr>
              <w:pStyle w:val="9"/>
            </w:pPr>
            <w:r>
              <w:t>5.57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4.31</w:t>
            </w:r>
          </w:p>
        </w:tc>
        <w:tc>
          <w:tcPr>
            <w:tcW w:w="2551" w:type="dxa"/>
            <w:vAlign w:val="center"/>
          </w:tcPr>
          <w:p>
            <w:pPr>
              <w:pStyle w:val="9"/>
            </w:pPr>
            <w:r>
              <w:t>4.31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0.80</w:t>
            </w:r>
          </w:p>
        </w:tc>
        <w:tc>
          <w:tcPr>
            <w:tcW w:w="2551" w:type="dxa"/>
            <w:vAlign w:val="center"/>
          </w:tcPr>
          <w:p>
            <w:pPr>
              <w:pStyle w:val="9"/>
            </w:pPr>
            <w:r>
              <w:t>0.80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12.88</w:t>
            </w:r>
          </w:p>
        </w:tc>
        <w:tc>
          <w:tcPr>
            <w:tcW w:w="2551" w:type="dxa"/>
            <w:vAlign w:val="center"/>
          </w:tcPr>
          <w:p>
            <w:pPr>
              <w:pStyle w:val="9"/>
            </w:pPr>
            <w:r>
              <w:t>12.88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11.61</w:t>
            </w:r>
          </w:p>
        </w:tc>
        <w:tc>
          <w:tcPr>
            <w:tcW w:w="2551" w:type="dxa"/>
            <w:vAlign w:val="center"/>
          </w:tcPr>
          <w:p>
            <w:pPr>
              <w:pStyle w:val="9"/>
            </w:pPr>
          </w:p>
        </w:tc>
        <w:tc>
          <w:tcPr>
            <w:tcW w:w="2551" w:type="dxa"/>
            <w:vAlign w:val="center"/>
          </w:tcPr>
          <w:p>
            <w:pPr>
              <w:pStyle w:val="9"/>
            </w:pPr>
            <w:r>
              <w:t>11.61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4.80</w:t>
            </w:r>
          </w:p>
        </w:tc>
        <w:tc>
          <w:tcPr>
            <w:tcW w:w="2551" w:type="dxa"/>
            <w:vAlign w:val="center"/>
          </w:tcPr>
          <w:p>
            <w:pPr>
              <w:pStyle w:val="9"/>
            </w:pPr>
          </w:p>
        </w:tc>
        <w:tc>
          <w:tcPr>
            <w:tcW w:w="2551" w:type="dxa"/>
            <w:vAlign w:val="center"/>
          </w:tcPr>
          <w:p>
            <w:pPr>
              <w:pStyle w:val="9"/>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0.80</w:t>
            </w:r>
          </w:p>
        </w:tc>
        <w:tc>
          <w:tcPr>
            <w:tcW w:w="2551" w:type="dxa"/>
            <w:vAlign w:val="center"/>
          </w:tcPr>
          <w:p>
            <w:pPr>
              <w:pStyle w:val="9"/>
            </w:pPr>
          </w:p>
        </w:tc>
        <w:tc>
          <w:tcPr>
            <w:tcW w:w="2551" w:type="dxa"/>
            <w:vAlign w:val="center"/>
          </w:tcPr>
          <w:p>
            <w:pPr>
              <w:pStyle w:val="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1.01</w:t>
            </w:r>
          </w:p>
        </w:tc>
        <w:tc>
          <w:tcPr>
            <w:tcW w:w="2551" w:type="dxa"/>
            <w:vAlign w:val="center"/>
          </w:tcPr>
          <w:p>
            <w:pPr>
              <w:pStyle w:val="9"/>
            </w:pPr>
          </w:p>
        </w:tc>
        <w:tc>
          <w:tcPr>
            <w:tcW w:w="2551" w:type="dxa"/>
            <w:vAlign w:val="center"/>
          </w:tcPr>
          <w:p>
            <w:pPr>
              <w:pStyle w:val="9"/>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1.98</w:t>
            </w:r>
          </w:p>
        </w:tc>
        <w:tc>
          <w:tcPr>
            <w:tcW w:w="2551" w:type="dxa"/>
            <w:vAlign w:val="center"/>
          </w:tcPr>
          <w:p>
            <w:pPr>
              <w:pStyle w:val="9"/>
            </w:pPr>
          </w:p>
        </w:tc>
        <w:tc>
          <w:tcPr>
            <w:tcW w:w="2551" w:type="dxa"/>
            <w:vAlign w:val="center"/>
          </w:tcPr>
          <w:p>
            <w:pPr>
              <w:pStyle w:val="9"/>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3.02</w:t>
            </w:r>
          </w:p>
        </w:tc>
        <w:tc>
          <w:tcPr>
            <w:tcW w:w="2551" w:type="dxa"/>
            <w:vAlign w:val="center"/>
          </w:tcPr>
          <w:p>
            <w:pPr>
              <w:pStyle w:val="9"/>
            </w:pPr>
          </w:p>
        </w:tc>
        <w:tc>
          <w:tcPr>
            <w:tcW w:w="2551" w:type="dxa"/>
            <w:vAlign w:val="center"/>
          </w:tcPr>
          <w:p>
            <w:pPr>
              <w:pStyle w:val="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103.52</w:t>
            </w:r>
          </w:p>
        </w:tc>
        <w:tc>
          <w:tcPr>
            <w:tcW w:w="2551" w:type="dxa"/>
            <w:vAlign w:val="center"/>
          </w:tcPr>
          <w:p>
            <w:pPr>
              <w:pStyle w:val="9"/>
            </w:pPr>
            <w:r>
              <w:t>103.52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100.38</w:t>
            </w:r>
          </w:p>
        </w:tc>
        <w:tc>
          <w:tcPr>
            <w:tcW w:w="2551" w:type="dxa"/>
            <w:vAlign w:val="center"/>
          </w:tcPr>
          <w:p>
            <w:pPr>
              <w:pStyle w:val="9"/>
            </w:pPr>
            <w:r>
              <w:t>100.38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3.13</w:t>
            </w:r>
          </w:p>
        </w:tc>
        <w:tc>
          <w:tcPr>
            <w:tcW w:w="2551" w:type="dxa"/>
            <w:vAlign w:val="center"/>
          </w:tcPr>
          <w:p>
            <w:pPr>
              <w:pStyle w:val="9"/>
            </w:pPr>
            <w:r>
              <w:t>3.13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0.01</w:t>
            </w:r>
          </w:p>
        </w:tc>
        <w:tc>
          <w:tcPr>
            <w:tcW w:w="2551" w:type="dxa"/>
            <w:vAlign w:val="center"/>
          </w:tcPr>
          <w:p>
            <w:pPr>
              <w:pStyle w:val="9"/>
            </w:pPr>
            <w:r>
              <w:t>0.01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rPr>
                <w:rFonts w:hint="eastAsia" w:eastAsiaTheme="minorEastAsia"/>
                <w:lang w:eastAsia="zh-CN"/>
              </w:rPr>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石家庄市鹿泉区供销合作总社2023年部门预算信息公开情况说明</w:t>
      </w:r>
    </w:p>
    <w:p>
      <w:pPr>
        <w:jc w:val="center"/>
      </w:pPr>
      <w:r>
        <w:rPr>
          <w:rFonts w:ascii="方正小标宋_GBK" w:hAnsi="方正小标宋_GBK" w:eastAsia="方正小标宋_GBK" w:cs="方正小标宋_GBK"/>
          <w:color w:val="000000"/>
          <w:sz w:val="44"/>
        </w:rPr>
        <w:t>石家庄市鹿泉区供销合作总社2023年部门预算信息公开情况说明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8" w:name="_GoBack"/>
      <w:bookmarkEnd w:id="18"/>
      <w:r>
        <w:rPr>
          <w:rFonts w:eastAsia="方正仿宋_GBK"/>
          <w:color w:val="000000"/>
          <w:sz w:val="28"/>
        </w:rPr>
        <w:t>预算法》、《地方预决算公开操作规程》和《关于进一步推进预算公开工作的实施意见》规定，现将石家庄市鹿泉区供销合作总社2023年部门预算公开如下：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1、贯彻党和政府有关农村工作和社会发展的方针、政策，制订并组织实施供销合作社发展规划。</w:t>
      </w:r>
    </w:p>
    <w:p>
      <w:pPr>
        <w:pStyle w:val="15"/>
      </w:pPr>
      <w:r>
        <w:t>2、协调与政府部门、社会组织的关系，维护供销合作社《章程》赋予的合法权益，促进合作经济的发展。</w:t>
      </w:r>
    </w:p>
    <w:p>
      <w:pPr>
        <w:pStyle w:val="15"/>
      </w:pPr>
      <w:r>
        <w:t>3、根据省政府、市政府《关于持续深化供销合作社综合改革助力全面推进乡村振兴的实施方案》的文件精神，按照区委主要领导批示“围绕乡村振兴谋划三年行动计划，2022年起步”的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加快将供销社打造成为农民生产生活的生力军和综合服务平台。</w:t>
      </w:r>
    </w:p>
    <w:p>
      <w:pPr>
        <w:pStyle w:val="15"/>
      </w:pPr>
      <w:r>
        <w:t>4、根据省政府、市政府《关于持续深化供销合作社综合改革助力全面推进乡村振兴的实施方案》文件精神，按照区委主要领导批示“围绕乡村振兴谋划三年行动计划，2022年起步”的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推进我区农村产权交易中心建设，打造便民服务平台，加强乡镇站点人员培训，发放农村产权交易资料1，提供产权政策咨询、平台交易咨询等服务，农村产权供求信息100条以上，协助办理抵押登记和产权变更等业务。</w:t>
      </w:r>
    </w:p>
    <w:p>
      <w:pPr>
        <w:pStyle w:val="15"/>
      </w:pPr>
      <w:r>
        <w:t>5、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培训从业人员，提高回收人员专业水平，提高资源利用率，促进回收行业健康发展。制定并实施全区再生资源回收体系建设工作实施方案，加强对再生资源回收企业的管理。</w:t>
      </w:r>
    </w:p>
    <w:p>
      <w:pPr>
        <w:pStyle w:val="15"/>
      </w:pPr>
      <w:r>
        <w:t>6、供销合作政务管理。</w:t>
      </w:r>
    </w:p>
    <w:p>
      <w:pPr>
        <w:pStyle w:val="15"/>
      </w:pPr>
      <w:r>
        <w:t>(1)、供销合作社系统综合业务管理。</w:t>
      </w:r>
    </w:p>
    <w:p>
      <w:pPr>
        <w:pStyle w:val="15"/>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15"/>
      </w:pPr>
      <w:r>
        <w:t>二是拟定贯彻落实中央、省、市有关供销社改革发展的措施并组织实施，提出全区供销社年度工作计划建议，保障供销社各项工作谋划到位、顺利开展，确保按时按量按质完成年度重点工作。</w:t>
      </w:r>
    </w:p>
    <w:p>
      <w:pPr>
        <w:pStyle w:val="15"/>
      </w:pPr>
      <w:r>
        <w:t>(2)、供销合作社系统综合事务管理。</w:t>
      </w:r>
    </w:p>
    <w:p>
      <w:pPr>
        <w:pStyle w:val="15"/>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15"/>
      </w:pPr>
      <w:r>
        <w:t>二是根据鹿泉办文[2017]31号文《鹿泉区关于进一步做好部分军队退役人员帮扶救助的若干措施》的通知，做好退役人员的安置帮扶工作。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石家庄市鹿泉区供销合作总社本级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按照预算管理有关规定，目前我省部门预算的编制实行综合预算管理，即全部收入和支出都反映在预算中。石家庄市鹿泉区供销合作总社机关及所属事业单位的收支包含在部门预算中。</w:t>
      </w:r>
    </w:p>
    <w:p>
      <w:pPr>
        <w:pStyle w:val="16"/>
      </w:pPr>
      <w:r>
        <w:t>1、收入说明</w:t>
      </w:r>
    </w:p>
    <w:p>
      <w:pPr>
        <w:pStyle w:val="16"/>
      </w:pPr>
      <w:r>
        <w:t>2023年预算收入355.05万元，其中：一般公共预算收入355.05万元，基金预算收入0万元，财政专户核拨收入0万元，其他来源收入0万元。</w:t>
      </w:r>
    </w:p>
    <w:p>
      <w:pPr>
        <w:pStyle w:val="16"/>
      </w:pPr>
      <w:r>
        <w:t>2、支出说明</w:t>
      </w:r>
    </w:p>
    <w:p>
      <w:pPr>
        <w:pStyle w:val="16"/>
      </w:pPr>
      <w:r>
        <w:t>收支预算总表支出栏、基本支出表、项目支出表按经济分类和支出功能分类科目编制，反映石家庄市鹿泉区供销合作总社年度预算中支出预算的总体情况。2023年支出预算为355.05万元，其中基本支出269.26万元，包括人员经费257.66万元和日常公用经费11.6万元；项目支出85.79万元，主要为农村产权交易中心专项业务及办公费支出10万元，社会化服务体系支出5万元，退役军人公益岗支出65.79万元，再生资源管理及回收利用体系建设5万元；其他支出0万元。</w:t>
      </w:r>
    </w:p>
    <w:p>
      <w:pPr>
        <w:pStyle w:val="16"/>
      </w:pPr>
      <w:r>
        <w:t>3、比上年增减情况</w:t>
      </w:r>
    </w:p>
    <w:p>
      <w:pPr>
        <w:pStyle w:val="16"/>
      </w:pPr>
      <w:r>
        <w:t>2023年单位预算收支安排355.05万元，较2022年减少4.51万元，主要是厉行节约。</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2023年，机关运行经费共计安排11.6万元，主要用于保证机关正常运转的办公及印刷费、邮电费、差旅费、会议费、福利费、专用材料及一般设备购置费、办公用房水电费、办公用房取暖费、日常维修费、办公楼物业管理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2023年，我部门财政拨款“三公”经费预算安排</w:t>
      </w:r>
      <w:r>
        <w:rPr>
          <w:rFonts w:hint="eastAsia" w:eastAsiaTheme="minorEastAsia"/>
          <w:lang w:eastAsia="zh-CN"/>
        </w:rPr>
        <w:t>0</w:t>
      </w:r>
      <w:r>
        <w:t>万元，其中：因公出国（境）费0万元；公务用车购置及运维费0万元（其中：公务用车购置费0万元，公务用车运行维护费0万元)；公务接待费</w:t>
      </w:r>
      <w:r>
        <w:rPr>
          <w:rFonts w:hint="eastAsia" w:eastAsiaTheme="minorEastAsia"/>
          <w:lang w:eastAsia="zh-CN"/>
        </w:rPr>
        <w:t>0</w:t>
      </w:r>
      <w:r>
        <w:t>万元。与上年持平。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1、根根据省政府、市政府《关于持续深化供销合作社综合改革助力全面推进乡村振兴的实施方案》的文件精神，按照区委主要领导批示“围绕乡村振兴谋划三年行动计划，2022年起步”的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500人次，发放种养加技术服务资料2000份，带动致富农户1000户，改造社区综合服务站2家，新增营业面积100平方米，加快将供销社打造成为农民生产生活的生力军和综合服务平台。</w:t>
      </w:r>
    </w:p>
    <w:p>
      <w:pPr>
        <w:pStyle w:val="19"/>
      </w:pPr>
      <w:r>
        <w:t>2、根据省政府、市政府《关于持续深化供销合作社综合改革助力全面推进乡村振兴的实施方案》文件精神，按照区委主要领导批示“围绕乡村振兴谋划三年行动计划，2022年起步”的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19"/>
      </w:pPr>
      <w:r>
        <w:t>3、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200人次，提高回收人员专业水平，提高资源利用率，促进回收行业健康发展。制定并实施全区再生资源回收体系建设工作实施方案，加强对再生资源回收企业的管理。</w:t>
      </w:r>
    </w:p>
    <w:p>
      <w:pPr>
        <w:pStyle w:val="19"/>
      </w:pPr>
      <w:r>
        <w:t>4、供销合作政务管理。</w:t>
      </w:r>
    </w:p>
    <w:p>
      <w:pPr>
        <w:pStyle w:val="19"/>
      </w:pPr>
      <w:r>
        <w:t>(1)、供销合作社系统综合业务管理。</w:t>
      </w:r>
    </w:p>
    <w:p>
      <w:pPr>
        <w:pStyle w:val="19"/>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19"/>
      </w:pPr>
      <w:r>
        <w:t>二是拟定贯彻落实中央、省、市有关供销社改革发展的措施并组织实施，提出全区供销社年度工作计划建议，保障供销社各项工作谋划到位、顺利开展，确保按时按量按质完成年度重点工作。</w:t>
      </w:r>
    </w:p>
    <w:p>
      <w:pPr>
        <w:pStyle w:val="19"/>
      </w:pPr>
      <w:r>
        <w:t>(2)、供销合作社系统综合事务管理。</w:t>
      </w:r>
    </w:p>
    <w:p>
      <w:pPr>
        <w:pStyle w:val="19"/>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19"/>
      </w:pPr>
      <w:r>
        <w:t>二是根据鹿泉办文[2017]31号文《鹿泉区关于进一步做好部分军队退役人员帮扶救助的若干措施》的通知，做好11名退役人员的安置帮扶工作，安置帮扶100%。</w:t>
      </w:r>
    </w:p>
    <w:p>
      <w:pPr>
        <w:spacing w:line="500" w:lineRule="exact"/>
        <w:ind w:firstLine="560"/>
      </w:pPr>
      <w:r>
        <w:rPr>
          <w:rFonts w:eastAsia="方正仿宋_GBK"/>
          <w:color w:val="000000"/>
          <w:sz w:val="28"/>
        </w:rPr>
        <w:t>（二）分项绩效目标</w:t>
      </w:r>
    </w:p>
    <w:p>
      <w:pPr>
        <w:pStyle w:val="20"/>
      </w:pPr>
      <w:r>
        <w:t>分项绩效目标 绩效目标一：加强供销流通管理，推动供销社社会化服务体系建设</w:t>
      </w:r>
    </w:p>
    <w:p>
      <w:pPr>
        <w:pStyle w:val="20"/>
      </w:pPr>
      <w:r>
        <w:t>绩效指标：根据区委、区政府和上级社工作部署，深化供销社综合改革，推动供销社向农民生产生活综合服务转变，服务手段向现代服务手段转变，创新基层供销社服务功能，壮大并发挥供销社为“三农”服务的作用。</w:t>
      </w:r>
    </w:p>
    <w:p>
      <w:pPr>
        <w:pStyle w:val="20"/>
      </w:pPr>
      <w:r>
        <w:t>根据省政府、市政府《关于持续深化供销合作社综合改革助力全面推进乡村振兴的实施方案》的文件精神，按照区委主要领导批示“围绕乡村振兴谋划三年行动计划，2022年起步”的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500人次，发放种养加技术服务资料2000份，带动致富农户1000户，改造社区综合服务站2家，新增营业面积100平方米，加快将供销社打造成为农民生产生活的生力军和综合服务平台。</w:t>
      </w:r>
    </w:p>
    <w:p>
      <w:pPr>
        <w:pStyle w:val="20"/>
      </w:pPr>
      <w:r>
        <w:t>绩效目标二：：鹿泉区农村产权交易中心</w:t>
      </w:r>
    </w:p>
    <w:p>
      <w:pPr>
        <w:pStyle w:val="20"/>
      </w:pPr>
      <w:r>
        <w:t>根据省政府、市政府《关于持续深化供销合作社综合改革助力全面推进乡村振兴的实施方案》文件精神，按照区委主要领导批示“围绕乡村振兴谋划三年行动计划，2022年起步”的要求，规范区农村产权交易中心平台建设，使其成为上接市农村产权平台下连乡镇服务站的农村集体收入倍增抓手，规范交易平台建设，规范相关制度，加强业务培训和服务站工作指导。</w:t>
      </w:r>
    </w:p>
    <w:p>
      <w:pPr>
        <w:pStyle w:val="20"/>
      </w:pPr>
      <w:r>
        <w:t>绩效指标：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20"/>
      </w:pPr>
      <w:r>
        <w:t>绩效目标三：再生资源回收利用体系建设</w:t>
      </w:r>
    </w:p>
    <w:p>
      <w:pPr>
        <w:pStyle w:val="20"/>
      </w:pPr>
      <w:r>
        <w:t>按照《石家庄市再生资源回收体系建设工作实施方案（2021-2023年》的通知精神，规范发展废旧物资回收行业，按照“政府推动，市场运作，两网融合，合理布局”的工作总要求，加快建立可回收物回收处理体系，探索利用“互联网+”、“信息化”手段，优化再生资源回收体系。</w:t>
      </w:r>
    </w:p>
    <w:p>
      <w:pPr>
        <w:pStyle w:val="20"/>
      </w:pPr>
      <w:r>
        <w:t>绩效指标：做好宣传落实，发放垃圾分类和回收利用资料2000份，培训从业人员200人次，提高回收人员专业水平，提高资源利用率，促进回收行业健康发展。制定并实施全区再生资源回收体系建设工作实施方案，加强对再生资源回收企业的管理。</w:t>
      </w:r>
    </w:p>
    <w:p>
      <w:pPr>
        <w:pStyle w:val="20"/>
      </w:pPr>
      <w:r>
        <w:t>绩效目标四：供销合作政务管理。</w:t>
      </w:r>
    </w:p>
    <w:p>
      <w:pPr>
        <w:pStyle w:val="20"/>
      </w:pPr>
      <w:r>
        <w:t>绩效指标：(1)、供销合作社系统综合业务管理。</w:t>
      </w:r>
    </w:p>
    <w:p>
      <w:pPr>
        <w:pStyle w:val="20"/>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20"/>
      </w:pPr>
      <w:r>
        <w:t>二是拟定贯彻落实中央、省、市有关供销社改革发展的措施并组织实施，提出全区供销社年度工作计划建议，保障供销社各项工作谋划到位、顺利开展，确保按时按量按质完成年度重点工作。</w:t>
      </w:r>
    </w:p>
    <w:p>
      <w:pPr>
        <w:pStyle w:val="20"/>
      </w:pPr>
      <w:r>
        <w:t>(2)、供销合作社系统综合事务管理。</w:t>
      </w:r>
    </w:p>
    <w:p>
      <w:pPr>
        <w:pStyle w:val="20"/>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20"/>
      </w:pPr>
      <w:r>
        <w:t>二是根据鹿泉办文[2017]31号文《鹿泉区关于进一步做好部分军队退役人员帮扶救助的若干措施》的通知，做好11名退役人员的安置帮扶工作，安置帮扶100%。</w:t>
      </w:r>
    </w:p>
    <w:p>
      <w:pPr>
        <w:spacing w:line="500" w:lineRule="exact"/>
        <w:ind w:firstLine="560"/>
      </w:pPr>
      <w:r>
        <w:rPr>
          <w:rFonts w:eastAsia="方正仿宋_GBK"/>
          <w:color w:val="000000"/>
          <w:sz w:val="28"/>
        </w:rPr>
        <w:t>（三）工作保障措施</w:t>
      </w:r>
    </w:p>
    <w:p>
      <w:pPr>
        <w:pStyle w:val="21"/>
      </w:pPr>
      <w:r>
        <w:t>为实现年度绩效目标，一是完善制度建设。制定完善预算绩效管理制度、资金管理办法、工作保障制度、内部控制制度、内部审计制度等，为全年预算绩效目标的实现奠定了制度基础。二是加强支出管理。通过优化支出结构、编细编实预算、加强资金支付进度管理，确保细划代编预算按规定及时下达支出。三是通过加强绩效运行监控，发现问题及时采取措施，确保绩效目标如期保质实现。四是做好绩效自评。按照要求开展预算绩效自评和重点评价工作，对评价中发现的问题及时整改，提高财政资金使用效益。五是加强宣传培训调研力度。加强人员培训，提高本部门职工业务素质；加强调研，提出优化财政资金配置、提高资金使用效益的意见；加强宣传力度，强化绩效管理意识，促进预算绩效管理水平进一步提升。</w:t>
      </w:r>
    </w:p>
    <w:p>
      <w:pPr>
        <w:pStyle w:val="21"/>
      </w:pPr>
      <w:r>
        <w:t>1、内控管理</w:t>
      </w:r>
    </w:p>
    <w:p>
      <w:pPr>
        <w:pStyle w:val="21"/>
      </w:pPr>
      <w:r>
        <w:t>一是加强内控制度建设，遵循全面性、重要性、制衡性、适应性和有效性的原则，研究制订风险防范和管控措施，建立和实施内部控制制度，构建内控管理体系建立重大项目安排、大额资金使用的集体决策和内部监督机制，制定项目资金审批、安排和日常经费使用审批的流程，强化对权力运行的制约和监督。明确单位内部财务、内部审计、纪检监察及相关业务部门的职责，明晰各方在资金分配、使用的前期论证、执行过程的审核监督、事后的绩效评价等环节的责任边界。</w:t>
      </w:r>
    </w:p>
    <w:p>
      <w:pPr>
        <w:pStyle w:val="21"/>
      </w:pPr>
      <w:r>
        <w:t>二是明晰财务部门职责，确保不相容岗位互相分离。</w:t>
      </w:r>
    </w:p>
    <w:p>
      <w:pPr>
        <w:pStyle w:val="21"/>
      </w:pPr>
      <w:r>
        <w:t>三是加强票据专门管理和政府采购、财务报销的管理。</w:t>
      </w:r>
    </w:p>
    <w:p>
      <w:pPr>
        <w:pStyle w:val="21"/>
      </w:pPr>
      <w:r>
        <w:t>四是健全内部审计制度。</w:t>
      </w:r>
    </w:p>
    <w:p>
      <w:pPr>
        <w:pStyle w:val="21"/>
      </w:pPr>
      <w:r>
        <w:t>2、预算管理</w:t>
      </w:r>
    </w:p>
    <w:p>
      <w:pPr>
        <w:pStyle w:val="21"/>
      </w:pPr>
      <w:r>
        <w:t>一是合理编制部门预算。将预算编制与业务工作、厉行节约各项要求相结合，通盘规划，提前预计需要落实的重大政策措施等，并在预算和规划编制中予以体现，切实提高预算编制的完整性。要规范预算编制，将单位支出预算全部细化到支出功能分类的项级科目和支出经济分类的款级科目，切实编实、编细、编准支出预算，增强预算编制的科学性、有效性。</w:t>
      </w:r>
    </w:p>
    <w:p>
      <w:pPr>
        <w:pStyle w:val="21"/>
      </w:pPr>
      <w:r>
        <w:t>二是突出预算执行约束，不得擅自改变预算资金支出用途。</w:t>
      </w:r>
    </w:p>
    <w:p>
      <w:pPr>
        <w:pStyle w:val="21"/>
      </w:pPr>
      <w:r>
        <w:t>三是建立绩效管理机制，实现预算和绩效管理一体化。</w:t>
      </w:r>
    </w:p>
    <w:p>
      <w:pPr>
        <w:pStyle w:val="21"/>
      </w:pPr>
      <w:r>
        <w:t>四加强会计核算管理，确保会计核算的真实性、准确性和完整性。不得编制虚假财务会计报告。</w:t>
      </w:r>
    </w:p>
    <w:p>
      <w:pPr>
        <w:pStyle w:val="21"/>
      </w:pPr>
      <w:r>
        <w:t>五是设立正确、科学的绩效管理目标，预算集中编制，严格审核，确保预算决算数据准确、合理。</w:t>
      </w:r>
    </w:p>
    <w:p>
      <w:pPr>
        <w:pStyle w:val="21"/>
      </w:pPr>
      <w:r>
        <w:t>3、财务管理</w:t>
      </w:r>
    </w:p>
    <w:p>
      <w:pPr>
        <w:pStyle w:val="21"/>
      </w:pPr>
      <w:r>
        <w:t>一是健全各项财务管理制度，在收入管理方面，坚持收缴分离。不得以任何理由截留、坐支、挪用、私分非税收入。</w:t>
      </w:r>
    </w:p>
    <w:p>
      <w:pPr>
        <w:pStyle w:val="21"/>
      </w:pPr>
      <w:r>
        <w:t>二是在项目资金管理方面，通过加强项目立项管理，由业务主管部门申报，按要求如实报送材料，保证申报材料的真实性和合法性。在项目实施管理方面，按照项目预算绩效目标书中的资金支出计划进度和项目预计进度直接拨付资金，项目资金必须专款专用，任何单位和个人不得滞拨、截留、挪用，不得随意改变资金用途、擅自扩大支出范围，不得以虚报、冒领等手段骗取项目资金。</w:t>
      </w:r>
    </w:p>
    <w:p>
      <w:pPr>
        <w:pStyle w:val="21"/>
      </w:pPr>
      <w:r>
        <w:t>三是严格往来款项管理，严禁违规对外借款，规范往来款项管理。</w:t>
      </w:r>
    </w:p>
    <w:p>
      <w:pPr>
        <w:pStyle w:val="21"/>
      </w:pPr>
      <w:r>
        <w:t>四是加强预算资金管理，健全资金管理制度。加强和规范资金配置、使用和处置管理，维护资金安全完整。定期或不定期对本单位资金进行清查盘点，确保资金管理账账相符、账实相符。</w:t>
      </w:r>
    </w:p>
    <w:p>
      <w:pPr>
        <w:pStyle w:val="21"/>
      </w:pPr>
      <w:r>
        <w:t>4、加强内部控制和绩效管理的有机结合</w:t>
      </w:r>
    </w:p>
    <w:p>
      <w:pPr>
        <w:pStyle w:val="21"/>
      </w:pPr>
      <w:r>
        <w:t>一是加强对单位内部控制、预算绩效管理的宣传和培训。</w:t>
      </w:r>
    </w:p>
    <w:p>
      <w:pPr>
        <w:pStyle w:val="21"/>
      </w:pPr>
      <w:r>
        <w:t>二是结合内部控制要求，给绩效指标体系进行针对性细化量化。</w:t>
      </w:r>
    </w:p>
    <w:p>
      <w:pPr>
        <w:pStyle w:val="21"/>
      </w:pPr>
      <w:r>
        <w:t>三是强化预算执行管理，实现对预算业务的风险控制。</w:t>
      </w:r>
    </w:p>
    <w:p>
      <w:pPr>
        <w:pStyle w:val="21"/>
      </w:pPr>
      <w:r>
        <w:t>四是加强预算决算公开和绩效管理情况。</w:t>
      </w:r>
    </w:p>
    <w:p>
      <w:pPr>
        <w:pStyle w:val="21"/>
      </w:pPr>
      <w:r>
        <w:t>5、加强内部审计工作</w:t>
      </w:r>
    </w:p>
    <w:p>
      <w:pPr>
        <w:pStyle w:val="21"/>
      </w:pPr>
      <w:r>
        <w:t>一是建立审计内部控制制度，促进单位内部控制管理健全与完善。对执行预算收支情况、专项业务经费执行情况进行检查与评价，促进预算管理思想观念转变，建立与健全各项费用管理办法、制度、相关费用开支标准。</w:t>
      </w:r>
    </w:p>
    <w:p>
      <w:pPr>
        <w:pStyle w:val="21"/>
      </w:pPr>
      <w:r>
        <w:t>二是突出财务收支和专项业务经费资金的审计，对财务收支、专项业务经费资金管理、政府采购、国有资产管理等开展绩效审计，从会计的基础工作规范和专项业务经费资金规范管理方面入手，建立长效机制，规范管理。审查支出预算的编制是否科学、完整，是否存在无预算支出以及挤占、挪用和调剂使用专项资金(专项业务费)的现象，执行厉行节约相关规定、压缩事业开支情况，计算支出预算执行率，评价单位预算执行情况。</w:t>
      </w:r>
    </w:p>
    <w:p>
      <w:pPr>
        <w:pStyle w:val="21"/>
      </w:pPr>
      <w:r>
        <w:t>6、建立科学、完善的重大决策管理机制</w:t>
      </w:r>
    </w:p>
    <w:p>
      <w:pPr>
        <w:pStyle w:val="21"/>
      </w:pPr>
      <w:r>
        <w:t>建立科学、完善的重大决策管理机制，确保专项业务经费资金项目做到管理到位、台账资料齐全、报账的相关原始单据手续完备，不挤占、挪用和调剂使用专项业务资金，对专项业务经费资金实施后产生的经济效益、社会效益进行综合评价。</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eastAsiaTheme="minorEastAsia"/>
          <w:sz w:val="28"/>
          <w:szCs w:val="28"/>
          <w:lang w:eastAsia="zh-CN"/>
        </w:rPr>
        <w:sectPr>
          <w:pgSz w:w="16840" w:h="11900" w:orient="landscape"/>
          <w:pgMar w:top="1361" w:right="1020" w:bottom="1361" w:left="1020" w:header="720" w:footer="720" w:gutter="0"/>
          <w:cols w:space="720" w:num="1"/>
        </w:sectPr>
      </w:pPr>
      <w:r>
        <w:rPr>
          <w:rFonts w:hint="eastAsia" w:eastAsiaTheme="minorEastAsia"/>
          <w:sz w:val="28"/>
          <w:szCs w:val="28"/>
          <w:lang w:eastAsia="zh-CN"/>
        </w:rPr>
        <w:t>本部门无专项资金预算。</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1、农村产权交易中心办公费及运营业务费绩效目标表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1.完善乡镇区农村产权交易服务站功能，建设村级示范站点，加强乡镇站点人员培训500人次，发放农村产权交易资料1000份，提供产权政策咨询、平台交易咨询等服务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培训乡镇村人数</w:t>
            </w:r>
          </w:p>
        </w:tc>
        <w:tc>
          <w:tcPr>
            <w:tcW w:w="2835" w:type="dxa"/>
            <w:vAlign w:val="center"/>
          </w:tcPr>
          <w:p>
            <w:pPr>
              <w:pStyle w:val="10"/>
            </w:pPr>
            <w:r>
              <w:t>培训乡镇村服务人员的数量</w:t>
            </w:r>
          </w:p>
        </w:tc>
        <w:tc>
          <w:tcPr>
            <w:tcW w:w="2551" w:type="dxa"/>
            <w:vAlign w:val="center"/>
          </w:tcPr>
          <w:p>
            <w:pPr>
              <w:pStyle w:val="10"/>
            </w:pPr>
            <w:r>
              <w:t>≥500人次</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发放农村产权宣传资料数量</w:t>
            </w:r>
          </w:p>
        </w:tc>
        <w:tc>
          <w:tcPr>
            <w:tcW w:w="2835" w:type="dxa"/>
            <w:vAlign w:val="center"/>
          </w:tcPr>
          <w:p>
            <w:pPr>
              <w:pStyle w:val="10"/>
            </w:pPr>
            <w:r>
              <w:t>发放农村宣传资料的数量（份）</w:t>
            </w:r>
          </w:p>
        </w:tc>
        <w:tc>
          <w:tcPr>
            <w:tcW w:w="2551" w:type="dxa"/>
            <w:vAlign w:val="center"/>
          </w:tcPr>
          <w:p>
            <w:pPr>
              <w:pStyle w:val="10"/>
            </w:pPr>
            <w:r>
              <w:t>≥1000份</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土地流转备案完成率</w:t>
            </w:r>
          </w:p>
        </w:tc>
        <w:tc>
          <w:tcPr>
            <w:tcW w:w="2835" w:type="dxa"/>
            <w:vAlign w:val="center"/>
          </w:tcPr>
          <w:p>
            <w:pPr>
              <w:pStyle w:val="10"/>
            </w:pPr>
            <w:r>
              <w:t>年度内办理土地流转备案完成数量占预期目标的比例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交易流转备案办结及时率</w:t>
            </w:r>
          </w:p>
        </w:tc>
        <w:tc>
          <w:tcPr>
            <w:tcW w:w="2835" w:type="dxa"/>
            <w:vAlign w:val="center"/>
          </w:tcPr>
          <w:p>
            <w:pPr>
              <w:pStyle w:val="10"/>
            </w:pPr>
            <w:r>
              <w:t>时间内实际交易流转备案办结数占申请流转备案数的比例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培训人均费用节约额占人均标准额的比例</w:t>
            </w:r>
          </w:p>
        </w:tc>
        <w:tc>
          <w:tcPr>
            <w:tcW w:w="2551" w:type="dxa"/>
            <w:vAlign w:val="center"/>
          </w:tcPr>
          <w:p>
            <w:pPr>
              <w:pStyle w:val="10"/>
            </w:pPr>
            <w:r>
              <w:t>20%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交易备案办结率</w:t>
            </w:r>
          </w:p>
        </w:tc>
        <w:tc>
          <w:tcPr>
            <w:tcW w:w="2835" w:type="dxa"/>
            <w:vAlign w:val="center"/>
          </w:tcPr>
          <w:p>
            <w:pPr>
              <w:pStyle w:val="10"/>
            </w:pPr>
            <w:r>
              <w:t>实际交易备案数量占申请登记交易备案数量的比例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农村产权交易增长率</w:t>
            </w:r>
          </w:p>
        </w:tc>
        <w:tc>
          <w:tcPr>
            <w:tcW w:w="2835" w:type="dxa"/>
            <w:vAlign w:val="center"/>
          </w:tcPr>
          <w:p>
            <w:pPr>
              <w:pStyle w:val="10"/>
            </w:pPr>
            <w:r>
              <w:t>年度内交易备案的数量占上年交易备案的比例</w:t>
            </w:r>
          </w:p>
        </w:tc>
        <w:tc>
          <w:tcPr>
            <w:tcW w:w="2551" w:type="dxa"/>
            <w:vAlign w:val="center"/>
          </w:tcPr>
          <w:p>
            <w:pPr>
              <w:pStyle w:val="10"/>
            </w:pPr>
            <w:r>
              <w:t>≥10%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带动村级示范点增长量</w:t>
            </w:r>
          </w:p>
        </w:tc>
        <w:tc>
          <w:tcPr>
            <w:tcW w:w="2835" w:type="dxa"/>
            <w:vAlign w:val="center"/>
          </w:tcPr>
          <w:p>
            <w:pPr>
              <w:pStyle w:val="10"/>
            </w:pPr>
            <w:r>
              <w:t>年带动村级示范点增长的数量</w:t>
            </w:r>
          </w:p>
        </w:tc>
        <w:tc>
          <w:tcPr>
            <w:tcW w:w="2551" w:type="dxa"/>
            <w:vAlign w:val="center"/>
          </w:tcPr>
          <w:p>
            <w:pPr>
              <w:pStyle w:val="10"/>
            </w:pPr>
            <w:r>
              <w:t>≥5个</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备案人的满意度</w:t>
            </w:r>
          </w:p>
        </w:tc>
        <w:tc>
          <w:tcPr>
            <w:tcW w:w="2835" w:type="dxa"/>
            <w:vAlign w:val="center"/>
          </w:tcPr>
          <w:p>
            <w:pPr>
              <w:pStyle w:val="10"/>
            </w:pPr>
            <w:r>
              <w:t>备案满意人的数量和较满意人的数量占申请备案人的数量的比例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1.培训农民社员、专业社负责人、农业技术人员500人次，发放种养加技术服务资料2000份，带动致富农户1000户，加快将供销社打造成为农民生产生活的生力军和综合服务平台。</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2835" w:type="dxa"/>
            <w:vAlign w:val="center"/>
          </w:tcPr>
          <w:p>
            <w:pPr>
              <w:pStyle w:val="10"/>
            </w:pPr>
            <w:r>
              <w:t>发放宣传资料的总份数</w:t>
            </w:r>
          </w:p>
        </w:tc>
        <w:tc>
          <w:tcPr>
            <w:tcW w:w="2551" w:type="dxa"/>
            <w:vAlign w:val="center"/>
          </w:tcPr>
          <w:p>
            <w:pPr>
              <w:pStyle w:val="10"/>
            </w:pPr>
            <w:r>
              <w:t>≥2000份</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培训社员及专业社负责人人数</w:t>
            </w:r>
          </w:p>
        </w:tc>
        <w:tc>
          <w:tcPr>
            <w:tcW w:w="2835" w:type="dxa"/>
            <w:vAlign w:val="center"/>
          </w:tcPr>
          <w:p>
            <w:pPr>
              <w:pStyle w:val="10"/>
            </w:pPr>
            <w:r>
              <w:t>培训社员和专业社负责人的总人数</w:t>
            </w:r>
          </w:p>
        </w:tc>
        <w:tc>
          <w:tcPr>
            <w:tcW w:w="2551" w:type="dxa"/>
            <w:vAlign w:val="center"/>
          </w:tcPr>
          <w:p>
            <w:pPr>
              <w:pStyle w:val="10"/>
            </w:pPr>
            <w:r>
              <w:t>≥500人次</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农村物流配送网络配送率</w:t>
            </w:r>
          </w:p>
        </w:tc>
        <w:tc>
          <w:tcPr>
            <w:tcW w:w="2835" w:type="dxa"/>
            <w:vAlign w:val="center"/>
          </w:tcPr>
          <w:p>
            <w:pPr>
              <w:pStyle w:val="10"/>
            </w:pPr>
            <w:r>
              <w:t>农资、农副产品、日用消费品、再生资源回收利用四个网络区域内货物配送额占货物购进额的比例%</w:t>
            </w:r>
          </w:p>
        </w:tc>
        <w:tc>
          <w:tcPr>
            <w:tcW w:w="2551" w:type="dxa"/>
            <w:vAlign w:val="center"/>
          </w:tcPr>
          <w:p>
            <w:pPr>
              <w:pStyle w:val="10"/>
            </w:pPr>
            <w:r>
              <w:t>≥80%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培训人员费用的人均节约额占人均标准额的比例</w:t>
            </w:r>
          </w:p>
        </w:tc>
        <w:tc>
          <w:tcPr>
            <w:tcW w:w="2551" w:type="dxa"/>
            <w:vAlign w:val="center"/>
          </w:tcPr>
          <w:p>
            <w:pPr>
              <w:pStyle w:val="10"/>
            </w:pPr>
            <w:r>
              <w:t>15%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年度内四个网络健全完成及时率</w:t>
            </w:r>
          </w:p>
        </w:tc>
        <w:tc>
          <w:tcPr>
            <w:tcW w:w="2835" w:type="dxa"/>
            <w:vAlign w:val="center"/>
          </w:tcPr>
          <w:p>
            <w:pPr>
              <w:pStyle w:val="10"/>
            </w:pPr>
            <w:r>
              <w:t>年度内四个网络健全完成时间占全年时间的比例</w:t>
            </w:r>
          </w:p>
        </w:tc>
        <w:tc>
          <w:tcPr>
            <w:tcW w:w="2551" w:type="dxa"/>
            <w:vAlign w:val="center"/>
          </w:tcPr>
          <w:p>
            <w:pPr>
              <w:pStyle w:val="10"/>
            </w:pPr>
            <w:r>
              <w:t>75%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农副产品购进额增长率</w:t>
            </w:r>
          </w:p>
        </w:tc>
        <w:tc>
          <w:tcPr>
            <w:tcW w:w="2835" w:type="dxa"/>
            <w:vAlign w:val="center"/>
          </w:tcPr>
          <w:p>
            <w:pPr>
              <w:pStyle w:val="10"/>
            </w:pPr>
            <w:r>
              <w:t>农副产品购进额比上年增长的比例%</w:t>
            </w:r>
          </w:p>
        </w:tc>
        <w:tc>
          <w:tcPr>
            <w:tcW w:w="2551" w:type="dxa"/>
            <w:vAlign w:val="center"/>
          </w:tcPr>
          <w:p>
            <w:pPr>
              <w:pStyle w:val="10"/>
            </w:pPr>
            <w:r>
              <w:t>8%</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带动致富农户数量</w:t>
            </w:r>
          </w:p>
        </w:tc>
        <w:tc>
          <w:tcPr>
            <w:tcW w:w="2835" w:type="dxa"/>
            <w:vAlign w:val="center"/>
          </w:tcPr>
          <w:p>
            <w:pPr>
              <w:pStyle w:val="10"/>
            </w:pPr>
            <w:r>
              <w:t>带动致富农户的总数量</w:t>
            </w:r>
          </w:p>
        </w:tc>
        <w:tc>
          <w:tcPr>
            <w:tcW w:w="2551" w:type="dxa"/>
            <w:vAlign w:val="center"/>
          </w:tcPr>
          <w:p>
            <w:pPr>
              <w:pStyle w:val="10"/>
            </w:pPr>
            <w:r>
              <w:t>1000户</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持续提高带动三农的影响力</w:t>
            </w:r>
          </w:p>
        </w:tc>
        <w:tc>
          <w:tcPr>
            <w:tcW w:w="2835" w:type="dxa"/>
            <w:vAlign w:val="center"/>
          </w:tcPr>
          <w:p>
            <w:pPr>
              <w:pStyle w:val="10"/>
            </w:pPr>
            <w:r>
              <w:t>供销社带动三农的影响力提高的比例</w:t>
            </w:r>
          </w:p>
        </w:tc>
        <w:tc>
          <w:tcPr>
            <w:tcW w:w="2551" w:type="dxa"/>
            <w:vAlign w:val="center"/>
          </w:tcPr>
          <w:p>
            <w:pPr>
              <w:pStyle w:val="10"/>
            </w:pPr>
            <w:r>
              <w:t>10%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社员满意和较满意人数占社员总人数的比例</w:t>
            </w:r>
          </w:p>
        </w:tc>
        <w:tc>
          <w:tcPr>
            <w:tcW w:w="2551" w:type="dxa"/>
            <w:vAlign w:val="center"/>
          </w:tcPr>
          <w:p>
            <w:pPr>
              <w:pStyle w:val="10"/>
            </w:pPr>
            <w:r>
              <w:t>95%</w:t>
            </w:r>
          </w:p>
        </w:tc>
        <w:tc>
          <w:tcPr>
            <w:tcW w:w="2268"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3、退休军人公益岗绩效目标表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1.安置退役人员12人，月工资39030元，年工资491160元，社保费月13896元，年社保费166752元，以上共计65.7912万元。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保障人数</w:t>
            </w:r>
          </w:p>
        </w:tc>
        <w:tc>
          <w:tcPr>
            <w:tcW w:w="2835" w:type="dxa"/>
            <w:vAlign w:val="center"/>
          </w:tcPr>
          <w:p>
            <w:pPr>
              <w:pStyle w:val="10"/>
            </w:pPr>
            <w:r>
              <w:t>保障人数</w:t>
            </w:r>
          </w:p>
        </w:tc>
        <w:tc>
          <w:tcPr>
            <w:tcW w:w="2551" w:type="dxa"/>
            <w:vAlign w:val="center"/>
          </w:tcPr>
          <w:p>
            <w:pPr>
              <w:pStyle w:val="10"/>
            </w:pPr>
            <w:r>
              <w:t>12人</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工资发放精准性</w:t>
            </w:r>
          </w:p>
        </w:tc>
        <w:tc>
          <w:tcPr>
            <w:tcW w:w="2835" w:type="dxa"/>
            <w:vAlign w:val="center"/>
          </w:tcPr>
          <w:p>
            <w:pPr>
              <w:pStyle w:val="10"/>
            </w:pPr>
            <w:r>
              <w:t>工资福利等发放人员范围的精准性和发放数据的准确性</w:t>
            </w:r>
          </w:p>
        </w:tc>
        <w:tc>
          <w:tcPr>
            <w:tcW w:w="2551" w:type="dxa"/>
            <w:vAlign w:val="center"/>
          </w:tcPr>
          <w:p>
            <w:pPr>
              <w:pStyle w:val="10"/>
            </w:pPr>
            <w:r>
              <w:t>100%</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工资发放及时性</w:t>
            </w:r>
          </w:p>
        </w:tc>
        <w:tc>
          <w:tcPr>
            <w:tcW w:w="2835" w:type="dxa"/>
            <w:vAlign w:val="center"/>
          </w:tcPr>
          <w:p>
            <w:pPr>
              <w:pStyle w:val="10"/>
            </w:pPr>
            <w:r>
              <w:t>工资发放及时情况</w:t>
            </w:r>
          </w:p>
        </w:tc>
        <w:tc>
          <w:tcPr>
            <w:tcW w:w="2551" w:type="dxa"/>
            <w:vAlign w:val="center"/>
          </w:tcPr>
          <w:p>
            <w:pPr>
              <w:pStyle w:val="10"/>
            </w:pPr>
            <w:r>
              <w:t>按规定时间发放</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工资、社会保障等发放（缴纳）标准</w:t>
            </w:r>
          </w:p>
        </w:tc>
        <w:tc>
          <w:tcPr>
            <w:tcW w:w="2835" w:type="dxa"/>
            <w:vAlign w:val="center"/>
          </w:tcPr>
          <w:p>
            <w:pPr>
              <w:pStyle w:val="10"/>
            </w:pPr>
            <w:r>
              <w:t>工资、社会保障等发放（缴纳）标准</w:t>
            </w:r>
          </w:p>
        </w:tc>
        <w:tc>
          <w:tcPr>
            <w:tcW w:w="2551" w:type="dxa"/>
            <w:vAlign w:val="center"/>
          </w:tcPr>
          <w:p>
            <w:pPr>
              <w:pStyle w:val="10"/>
            </w:pPr>
            <w:r>
              <w:t>按照规定执行</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加强工作人员归属感，保持干部队伍稳定</w:t>
            </w:r>
          </w:p>
        </w:tc>
        <w:tc>
          <w:tcPr>
            <w:tcW w:w="2835" w:type="dxa"/>
            <w:vAlign w:val="center"/>
          </w:tcPr>
          <w:p>
            <w:pPr>
              <w:pStyle w:val="10"/>
            </w:pPr>
            <w:r>
              <w:t>通过按时按标准发放工资福利等，进一步增强干部职工得归属感，保持干部队伍相对稳定，保障办公正常运转</w:t>
            </w:r>
          </w:p>
        </w:tc>
        <w:tc>
          <w:tcPr>
            <w:tcW w:w="2551" w:type="dxa"/>
            <w:vAlign w:val="center"/>
          </w:tcPr>
          <w:p>
            <w:pPr>
              <w:pStyle w:val="10"/>
            </w:pPr>
            <w:r>
              <w:t>保持职工队伍稳定</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加强职工的归属感和责任感</w:t>
            </w:r>
          </w:p>
        </w:tc>
        <w:tc>
          <w:tcPr>
            <w:tcW w:w="2835" w:type="dxa"/>
            <w:vAlign w:val="center"/>
          </w:tcPr>
          <w:p>
            <w:pPr>
              <w:pStyle w:val="10"/>
            </w:pPr>
            <w:r>
              <w:t>通过按时按标准发放工资福利等，进一步增强干部职工得归属感、责任感，保障办公正常运转</w:t>
            </w:r>
          </w:p>
        </w:tc>
        <w:tc>
          <w:tcPr>
            <w:tcW w:w="2551" w:type="dxa"/>
            <w:vAlign w:val="center"/>
          </w:tcPr>
          <w:p>
            <w:pPr>
              <w:pStyle w:val="10"/>
            </w:pPr>
            <w:r>
              <w:t>增强职工归属感责任感</w:t>
            </w:r>
          </w:p>
        </w:tc>
        <w:tc>
          <w:tcPr>
            <w:tcW w:w="2268" w:type="dxa"/>
            <w:vAlign w:val="center"/>
          </w:tcPr>
          <w:p>
            <w:pPr>
              <w:pStyle w:val="1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2835" w:type="dxa"/>
            <w:vAlign w:val="center"/>
          </w:tcPr>
          <w:p>
            <w:pPr>
              <w:pStyle w:val="10"/>
            </w:pPr>
            <w:r>
              <w:t>单位人员对工资福利等发放工作的满意程度</w:t>
            </w:r>
          </w:p>
        </w:tc>
        <w:tc>
          <w:tcPr>
            <w:tcW w:w="2551" w:type="dxa"/>
            <w:vAlign w:val="center"/>
          </w:tcPr>
          <w:p>
            <w:pPr>
              <w:pStyle w:val="10"/>
            </w:pPr>
            <w:r>
              <w:t>≥95%</w:t>
            </w:r>
          </w:p>
        </w:tc>
        <w:tc>
          <w:tcPr>
            <w:tcW w:w="2268" w:type="dxa"/>
            <w:vAlign w:val="center"/>
          </w:tcPr>
          <w:p>
            <w:pPr>
              <w:pStyle w:val="10"/>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4、再生资源管理办公费及回收利用体系业务费绩效目标表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快建立可回收物及大件垃圾回收处理体系，探索利用“互联网+”、“信息化”手段，优化再生资源回收体系。做好宣传落实，发放垃圾分类和回收利用资料2000份，培训从业人员200人次，提高回收人员专业水平，提高资源利用率，促进回收行业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发放宣传资料数量</w:t>
            </w:r>
          </w:p>
        </w:tc>
        <w:tc>
          <w:tcPr>
            <w:tcW w:w="2835" w:type="dxa"/>
            <w:vAlign w:val="center"/>
          </w:tcPr>
          <w:p>
            <w:pPr>
              <w:pStyle w:val="10"/>
            </w:pPr>
            <w:r>
              <w:t>发放再生资源分类管理资料的数量（份）</w:t>
            </w:r>
          </w:p>
        </w:tc>
        <w:tc>
          <w:tcPr>
            <w:tcW w:w="2551" w:type="dxa"/>
            <w:vAlign w:val="center"/>
          </w:tcPr>
          <w:p>
            <w:pPr>
              <w:pStyle w:val="10"/>
            </w:pPr>
            <w:r>
              <w:t>≥2000份</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培训从业人员数量</w:t>
            </w:r>
          </w:p>
        </w:tc>
        <w:tc>
          <w:tcPr>
            <w:tcW w:w="2835" w:type="dxa"/>
            <w:vAlign w:val="center"/>
          </w:tcPr>
          <w:p>
            <w:pPr>
              <w:pStyle w:val="10"/>
            </w:pPr>
            <w:r>
              <w:t>培训从业人员的数量</w:t>
            </w:r>
          </w:p>
        </w:tc>
        <w:tc>
          <w:tcPr>
            <w:tcW w:w="2551" w:type="dxa"/>
            <w:vAlign w:val="center"/>
          </w:tcPr>
          <w:p>
            <w:pPr>
              <w:pStyle w:val="10"/>
            </w:pPr>
            <w:r>
              <w:t>≥200人次</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废旧物资利用率</w:t>
            </w:r>
          </w:p>
        </w:tc>
        <w:tc>
          <w:tcPr>
            <w:tcW w:w="2835" w:type="dxa"/>
            <w:vAlign w:val="center"/>
          </w:tcPr>
          <w:p>
            <w:pPr>
              <w:pStyle w:val="10"/>
            </w:pPr>
            <w:r>
              <w:t>生活垃圾中可回收利用部分占应回收利用部分的比例</w:t>
            </w:r>
          </w:p>
        </w:tc>
        <w:tc>
          <w:tcPr>
            <w:tcW w:w="2551" w:type="dxa"/>
            <w:vAlign w:val="center"/>
          </w:tcPr>
          <w:p>
            <w:pPr>
              <w:pStyle w:val="10"/>
            </w:pPr>
            <w:r>
              <w:t>95%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培训的人均标准</w:t>
            </w:r>
          </w:p>
        </w:tc>
        <w:tc>
          <w:tcPr>
            <w:tcW w:w="2835" w:type="dxa"/>
            <w:vAlign w:val="center"/>
          </w:tcPr>
          <w:p>
            <w:pPr>
              <w:pStyle w:val="10"/>
            </w:pPr>
            <w:r>
              <w:t>培训人员费用的人均节约额占人均标准额的比例</w:t>
            </w:r>
          </w:p>
        </w:tc>
        <w:tc>
          <w:tcPr>
            <w:tcW w:w="2551" w:type="dxa"/>
            <w:vAlign w:val="center"/>
          </w:tcPr>
          <w:p>
            <w:pPr>
              <w:pStyle w:val="10"/>
            </w:pPr>
            <w:r>
              <w:t>20%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再生资源回收体系规划制定完成及时率</w:t>
            </w:r>
          </w:p>
        </w:tc>
        <w:tc>
          <w:tcPr>
            <w:tcW w:w="2835" w:type="dxa"/>
            <w:vAlign w:val="center"/>
          </w:tcPr>
          <w:p>
            <w:pPr>
              <w:pStyle w:val="10"/>
            </w:pPr>
            <w:r>
              <w:t>再生资源回收体系规划制定完成时间占全年时间的比例</w:t>
            </w:r>
          </w:p>
        </w:tc>
        <w:tc>
          <w:tcPr>
            <w:tcW w:w="2551" w:type="dxa"/>
            <w:vAlign w:val="center"/>
          </w:tcPr>
          <w:p>
            <w:pPr>
              <w:pStyle w:val="10"/>
            </w:pPr>
            <w:r>
              <w:t>25%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全部回收站点达到政府标准要求的</w:t>
            </w:r>
          </w:p>
        </w:tc>
        <w:tc>
          <w:tcPr>
            <w:tcW w:w="2835" w:type="dxa"/>
            <w:vAlign w:val="center"/>
          </w:tcPr>
          <w:p>
            <w:pPr>
              <w:pStyle w:val="10"/>
            </w:pPr>
            <w:r>
              <w:t>达到标准要求的回收站点数量占全部回收站点的比例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回收站点合理布局率</w:t>
            </w:r>
          </w:p>
        </w:tc>
        <w:tc>
          <w:tcPr>
            <w:tcW w:w="2835" w:type="dxa"/>
            <w:vAlign w:val="center"/>
          </w:tcPr>
          <w:p>
            <w:pPr>
              <w:pStyle w:val="10"/>
            </w:pPr>
            <w:r>
              <w:t>合理布局的回收站点占全部站点的比例</w:t>
            </w:r>
          </w:p>
        </w:tc>
        <w:tc>
          <w:tcPr>
            <w:tcW w:w="2551" w:type="dxa"/>
            <w:vAlign w:val="center"/>
          </w:tcPr>
          <w:p>
            <w:pPr>
              <w:pStyle w:val="10"/>
            </w:pPr>
            <w:r>
              <w:t>100%</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回收行业社会效益提高率</w:t>
            </w:r>
          </w:p>
        </w:tc>
        <w:tc>
          <w:tcPr>
            <w:tcW w:w="2835" w:type="dxa"/>
            <w:vAlign w:val="center"/>
          </w:tcPr>
          <w:p>
            <w:pPr>
              <w:pStyle w:val="10"/>
            </w:pPr>
            <w:r>
              <w:t>回收行业可持续发展带动社会效益提高的比例</w:t>
            </w:r>
          </w:p>
        </w:tc>
        <w:tc>
          <w:tcPr>
            <w:tcW w:w="2551" w:type="dxa"/>
            <w:vAlign w:val="center"/>
          </w:tcPr>
          <w:p>
            <w:pPr>
              <w:pStyle w:val="10"/>
            </w:pPr>
            <w:r>
              <w:t>15%</w:t>
            </w:r>
          </w:p>
        </w:tc>
        <w:tc>
          <w:tcPr>
            <w:tcW w:w="2268"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回收站点建设满意度</w:t>
            </w:r>
          </w:p>
        </w:tc>
        <w:tc>
          <w:tcPr>
            <w:tcW w:w="2835" w:type="dxa"/>
            <w:vAlign w:val="center"/>
          </w:tcPr>
          <w:p>
            <w:pPr>
              <w:pStyle w:val="10"/>
            </w:pPr>
            <w:r>
              <w:t>回收站点满意和较满意数量占全部回收站点数量的比例</w:t>
            </w:r>
          </w:p>
        </w:tc>
        <w:tc>
          <w:tcPr>
            <w:tcW w:w="2551" w:type="dxa"/>
            <w:vAlign w:val="center"/>
          </w:tcPr>
          <w:p>
            <w:pPr>
              <w:pStyle w:val="10"/>
            </w:pPr>
            <w:r>
              <w:t>≥90%</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2023年，石家庄市鹿泉区供销合作总社安排政府采购预算0.00万元。具体内容见下表。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石家庄市鹿泉区供销合作总社（含所属单位）上年末固定资产金额为49.10万元（详见下表）。本年度拟购置固定资产总额为2.00万元，已按要求列入政府采购预算，详见政府采购预算表。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975石家庄市鹿泉区供销合作总社</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49.10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1584</w:t>
            </w:r>
          </w:p>
        </w:tc>
        <w:tc>
          <w:tcPr>
            <w:tcW w:w="2835"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263</w:t>
            </w:r>
          </w:p>
        </w:tc>
        <w:tc>
          <w:tcPr>
            <w:tcW w:w="2835" w:type="dxa"/>
            <w:vAlign w:val="center"/>
          </w:tcPr>
          <w:p>
            <w:pPr>
              <w:pStyle w:val="9"/>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9.10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F29CB"/>
    <w:rsid w:val="00084148"/>
    <w:rsid w:val="000F193A"/>
    <w:rsid w:val="003328F9"/>
    <w:rsid w:val="00D80E2F"/>
    <w:rsid w:val="00F35CA4"/>
    <w:rsid w:val="00FF29CB"/>
    <w:rsid w:val="37B710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2023-09-04T11:04:21Z</dcterms:created>
  <dcterms:modified xsi:type="dcterms:W3CDTF">2023-09-04T03:04:21Z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2023-09-04T11:04:22Z</dcterms:created>
  <dcterms:modified xsi:type="dcterms:W3CDTF">2023-09-04T03:04:22Z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2023-09-04T11:04:22Z</dcterms:created>
  <dcterms:modified xsi:type="dcterms:W3CDTF">2023-09-04T03:04:22Z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2023-09-04T11:04:23Z</dcterms:created>
  <dcterms:modified xsi:type="dcterms:W3CDTF">2023-09-04T03:04:23Z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2023-09-04T11:04:19Z</dcterms:created>
  <dcterms:modified xsi:type="dcterms:W3CDTF">2023-09-04T03:04:19Z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2023-09-04T11:04:21Z</dcterms:created>
  <dcterms:modified xsi:type="dcterms:W3CDTF">2023-09-04T03:04:21Z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2023-09-04T11:04:22Z</dcterms:created>
  <dcterms:modified xsi:type="dcterms:W3CDTF">2023-09-04T03:04:22Z</dcterms:modified>
</cp:coreProperties>
</file>

<file path=customXml/itemProps1.xml><?xml version="1.0" encoding="utf-8"?>
<ds:datastoreItem xmlns:ds="http://schemas.openxmlformats.org/officeDocument/2006/customXml" ds:itemID="{CCC9A433-2AD9-4A8E-BC0E-0CB592C9EC2F}">
  <ds:schemaRefs/>
</ds:datastoreItem>
</file>

<file path=customXml/itemProps10.xml><?xml version="1.0" encoding="utf-8"?>
<ds:datastoreItem xmlns:ds="http://schemas.openxmlformats.org/officeDocument/2006/customXml" ds:itemID="{D9DD97E6-8C8C-4442-8D8B-A4A9CFAD192D}">
  <ds:schemaRefs/>
</ds:datastoreItem>
</file>

<file path=customXml/itemProps11.xml><?xml version="1.0" encoding="utf-8"?>
<ds:datastoreItem xmlns:ds="http://schemas.openxmlformats.org/officeDocument/2006/customXml" ds:itemID="{C72EBED3-AB22-4C17-BF6B-3ABE17285DA3}">
  <ds:schemaRefs/>
</ds:datastoreItem>
</file>

<file path=customXml/itemProps12.xml><?xml version="1.0" encoding="utf-8"?>
<ds:datastoreItem xmlns:ds="http://schemas.openxmlformats.org/officeDocument/2006/customXml" ds:itemID="{0B5E8529-3E68-4702-84F0-719605FDFC5B}">
  <ds:schemaRefs/>
</ds:datastoreItem>
</file>

<file path=customXml/itemProps13.xml><?xml version="1.0" encoding="utf-8"?>
<ds:datastoreItem xmlns:ds="http://schemas.openxmlformats.org/officeDocument/2006/customXml" ds:itemID="{E10EB164-0D0B-4B4D-88BA-3FCB605E6FE3}">
  <ds:schemaRefs/>
</ds:datastoreItem>
</file>

<file path=customXml/itemProps14.xml><?xml version="1.0" encoding="utf-8"?>
<ds:datastoreItem xmlns:ds="http://schemas.openxmlformats.org/officeDocument/2006/customXml" ds:itemID="{4F1A4D5A-B243-49C1-92DC-E7C94CFB34F6}">
  <ds:schemaRefs/>
</ds:datastoreItem>
</file>

<file path=customXml/itemProps2.xml><?xml version="1.0" encoding="utf-8"?>
<ds:datastoreItem xmlns:ds="http://schemas.openxmlformats.org/officeDocument/2006/customXml" ds:itemID="{A25E65C2-91DD-4E79-B9D4-474A5809809B}">
  <ds:schemaRefs/>
</ds:datastoreItem>
</file>

<file path=customXml/itemProps3.xml><?xml version="1.0" encoding="utf-8"?>
<ds:datastoreItem xmlns:ds="http://schemas.openxmlformats.org/officeDocument/2006/customXml" ds:itemID="{854A3C51-51E3-4103-AFC8-36EA0B95B684}">
  <ds:schemaRefs/>
</ds:datastoreItem>
</file>

<file path=customXml/itemProps4.xml><?xml version="1.0" encoding="utf-8"?>
<ds:datastoreItem xmlns:ds="http://schemas.openxmlformats.org/officeDocument/2006/customXml" ds:itemID="{F8F8FCA3-DB43-443D-9902-41776A4B9E95}">
  <ds:schemaRefs/>
</ds:datastoreItem>
</file>

<file path=customXml/itemProps5.xml><?xml version="1.0" encoding="utf-8"?>
<ds:datastoreItem xmlns:ds="http://schemas.openxmlformats.org/officeDocument/2006/customXml" ds:itemID="{9A269071-1D82-4D40-BDD3-F983445F7608}">
  <ds:schemaRefs/>
</ds:datastoreItem>
</file>

<file path=customXml/itemProps6.xml><?xml version="1.0" encoding="utf-8"?>
<ds:datastoreItem xmlns:ds="http://schemas.openxmlformats.org/officeDocument/2006/customXml" ds:itemID="{598B418A-3117-467C-83A1-4C350C9AC935}">
  <ds:schemaRefs/>
</ds:datastoreItem>
</file>

<file path=customXml/itemProps7.xml><?xml version="1.0" encoding="utf-8"?>
<ds:datastoreItem xmlns:ds="http://schemas.openxmlformats.org/officeDocument/2006/customXml" ds:itemID="{526E1E89-5A94-47CC-AF8B-53B186E1EF22}">
  <ds:schemaRefs/>
</ds:datastoreItem>
</file>

<file path=customXml/itemProps8.xml><?xml version="1.0" encoding="utf-8"?>
<ds:datastoreItem xmlns:ds="http://schemas.openxmlformats.org/officeDocument/2006/customXml" ds:itemID="{CBCC134E-7257-4992-800B-631731693B8C}">
  <ds:schemaRefs/>
</ds:datastoreItem>
</file>

<file path=customXml/itemProps9.xml><?xml version="1.0" encoding="utf-8"?>
<ds:datastoreItem xmlns:ds="http://schemas.openxmlformats.org/officeDocument/2006/customXml" ds:itemID="{A57C88FB-53C9-4716-9169-42BC6D5FE8AF}">
  <ds:schemaRefs/>
</ds:datastoreItem>
</file>

<file path=docProps/app.xml><?xml version="1.0" encoding="utf-8"?>
<Properties xmlns="http://schemas.openxmlformats.org/officeDocument/2006/extended-properties" xmlns:vt="http://schemas.openxmlformats.org/officeDocument/2006/docPropsVTypes">
  <Template>Normal</Template>
  <Pages>1</Pages>
  <Words>2676</Words>
  <Characters>15255</Characters>
  <Lines>127</Lines>
  <Paragraphs>35</Paragraphs>
  <TotalTime>11</TotalTime>
  <ScaleCrop>false</ScaleCrop>
  <LinksUpToDate>false</LinksUpToDate>
  <CharactersWithSpaces>17896</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2023-09-04T11:04:00Z</dcterms:created>
  <dc:creator>Administrator</dc:creator>
  <cp:lastModifiedBy>Administrator</cp:lastModifiedBy>
  <dcterms:modified xsi:type="dcterms:W3CDTF">2024-07-04T01:11:17Z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598AAFC9CEB24820814D8FDF710305E4</vt:lpwstr>
  </property>
</Properties>
</file>