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A103AB">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textAlignment w:val="auto"/>
        <w:outlineLvl w:val="9"/>
        <w:rPr>
          <w:rFonts w:hint="eastAsia" w:ascii="仿宋_GB2312" w:eastAsia="仿宋_GB2312"/>
          <w:b w:val="0"/>
          <w:bCs w:val="0"/>
          <w:sz w:val="32"/>
          <w:szCs w:val="32"/>
          <w:lang w:val="en-US" w:eastAsia="zh-CN"/>
        </w:rPr>
      </w:pPr>
      <w:bookmarkStart w:id="0" w:name="_GoBack"/>
      <w:bookmarkEnd w:id="0"/>
      <w:r>
        <w:rPr>
          <w:rFonts w:hint="eastAsia" w:ascii="仿宋_GB2312" w:eastAsia="仿宋_GB2312"/>
          <w:b w:val="0"/>
          <w:bCs w:val="0"/>
          <w:sz w:val="32"/>
          <w:szCs w:val="32"/>
        </w:rPr>
        <w:t>附件</w:t>
      </w:r>
      <w:r>
        <w:rPr>
          <w:rFonts w:hint="eastAsia" w:ascii="仿宋_GB2312" w:eastAsia="仿宋_GB2312"/>
          <w:b w:val="0"/>
          <w:bCs w:val="0"/>
          <w:sz w:val="32"/>
          <w:szCs w:val="32"/>
          <w:lang w:val="en-US" w:eastAsia="zh-CN"/>
        </w:rPr>
        <w:t>3</w:t>
      </w:r>
    </w:p>
    <w:p w14:paraId="6D619B13">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hint="eastAsia" w:ascii="宋体" w:hAnsi="宋体" w:cs="宋体"/>
          <w:b w:val="0"/>
          <w:bCs w:val="0"/>
          <w:sz w:val="44"/>
          <w:szCs w:val="44"/>
        </w:rPr>
      </w:pPr>
    </w:p>
    <w:p w14:paraId="4D43A12B">
      <w:pPr>
        <w:keepNext w:val="0"/>
        <w:keepLines w:val="0"/>
        <w:pageBreakBefore w:val="0"/>
        <w:widowControl w:val="0"/>
        <w:kinsoku/>
        <w:wordWrap/>
        <w:overflowPunct/>
        <w:topLinePunct w:val="0"/>
        <w:autoSpaceDE/>
        <w:autoSpaceDN/>
        <w:bidi w:val="0"/>
        <w:spacing w:line="578" w:lineRule="exact"/>
        <w:jc w:val="center"/>
        <w:textAlignment w:val="auto"/>
        <w:rPr>
          <w:rFonts w:hint="eastAsia" w:ascii="宋体" w:hAnsi="宋体" w:eastAsia="宋体" w:cs="宋体"/>
          <w:b w:val="0"/>
          <w:bCs w:val="0"/>
          <w:sz w:val="44"/>
          <w:szCs w:val="48"/>
          <w:lang w:eastAsia="zh-CN"/>
        </w:rPr>
      </w:pPr>
      <w:r>
        <w:rPr>
          <w:rFonts w:hint="eastAsia" w:ascii="宋体" w:hAnsi="宋体" w:cs="宋体"/>
          <w:b w:val="0"/>
          <w:bCs w:val="0"/>
          <w:sz w:val="44"/>
          <w:szCs w:val="48"/>
          <w:lang w:eastAsia="zh-CN"/>
        </w:rPr>
        <w:t>石家庄市</w:t>
      </w:r>
      <w:r>
        <w:rPr>
          <w:rFonts w:hint="eastAsia" w:ascii="宋体" w:hAnsi="宋体" w:eastAsia="宋体" w:cs="宋体"/>
          <w:b w:val="0"/>
          <w:bCs w:val="0"/>
          <w:sz w:val="44"/>
          <w:szCs w:val="48"/>
        </w:rPr>
        <w:t>鹿泉区</w:t>
      </w:r>
      <w:r>
        <w:rPr>
          <w:rFonts w:hint="eastAsia" w:ascii="宋体" w:hAnsi="宋体" w:eastAsia="宋体" w:cs="宋体"/>
          <w:b w:val="0"/>
          <w:bCs w:val="0"/>
          <w:sz w:val="44"/>
          <w:szCs w:val="48"/>
          <w:lang w:eastAsia="zh-CN"/>
        </w:rPr>
        <w:t>红十字会</w:t>
      </w:r>
    </w:p>
    <w:p w14:paraId="0A3191A1">
      <w:pPr>
        <w:keepNext w:val="0"/>
        <w:keepLines w:val="0"/>
        <w:pageBreakBefore w:val="0"/>
        <w:widowControl w:val="0"/>
        <w:kinsoku/>
        <w:wordWrap/>
        <w:overflowPunct/>
        <w:topLinePunct w:val="0"/>
        <w:autoSpaceDE/>
        <w:autoSpaceDN/>
        <w:bidi w:val="0"/>
        <w:spacing w:line="578" w:lineRule="exact"/>
        <w:jc w:val="center"/>
        <w:textAlignment w:val="auto"/>
        <w:rPr>
          <w:rFonts w:hint="eastAsia" w:ascii="宋体" w:hAnsi="宋体" w:cs="宋体"/>
          <w:b w:val="0"/>
          <w:bCs w:val="0"/>
          <w:sz w:val="44"/>
          <w:szCs w:val="44"/>
        </w:rPr>
      </w:pPr>
      <w:r>
        <w:rPr>
          <w:rFonts w:hint="eastAsia" w:ascii="宋体" w:hAnsi="宋体" w:cs="宋体"/>
          <w:b w:val="0"/>
          <w:bCs w:val="0"/>
          <w:sz w:val="44"/>
          <w:szCs w:val="44"/>
          <w:lang w:val="en-US" w:eastAsia="zh-CN"/>
        </w:rPr>
        <w:t>2022年度整体支出绩效</w:t>
      </w:r>
      <w:r>
        <w:rPr>
          <w:rFonts w:hint="eastAsia" w:ascii="宋体" w:hAnsi="宋体" w:cs="宋体"/>
          <w:b w:val="0"/>
          <w:bCs w:val="0"/>
          <w:sz w:val="44"/>
          <w:szCs w:val="44"/>
        </w:rPr>
        <w:t>自评报告</w:t>
      </w:r>
    </w:p>
    <w:p w14:paraId="68DF8B0F">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ascii="宋体" w:hAnsi="宋体" w:cs="宋体"/>
          <w:b w:val="0"/>
          <w:bCs w:val="0"/>
          <w:sz w:val="32"/>
          <w:szCs w:val="32"/>
        </w:rPr>
      </w:pPr>
    </w:p>
    <w:p w14:paraId="02378E42">
      <w:pPr>
        <w:keepNext w:val="0"/>
        <w:keepLines w:val="0"/>
        <w:pageBreakBefore w:val="0"/>
        <w:widowControl w:val="0"/>
        <w:kinsoku/>
        <w:wordWrap/>
        <w:overflowPunct/>
        <w:topLinePunct w:val="0"/>
        <w:autoSpaceDE/>
        <w:autoSpaceDN/>
        <w:bidi w:val="0"/>
        <w:adjustRightInd w:val="0"/>
        <w:snapToGrid w:val="0"/>
        <w:spacing w:line="518" w:lineRule="exact"/>
        <w:ind w:left="0" w:leftChars="0" w:right="0" w:firstLine="640" w:firstLineChars="200"/>
        <w:textAlignment w:val="auto"/>
        <w:outlineLvl w:val="9"/>
        <w:rPr>
          <w:rFonts w:ascii="仿宋" w:hAnsi="仿宋" w:eastAsia="仿宋"/>
          <w:b w:val="0"/>
          <w:bCs w:val="0"/>
          <w:sz w:val="32"/>
          <w:szCs w:val="32"/>
        </w:rPr>
      </w:pPr>
      <w:r>
        <w:rPr>
          <w:rFonts w:hint="eastAsia" w:ascii="仿宋" w:hAnsi="仿宋" w:eastAsia="仿宋"/>
          <w:b w:val="0"/>
          <w:bCs w:val="0"/>
          <w:sz w:val="32"/>
          <w:szCs w:val="32"/>
        </w:rPr>
        <w:t>贯彻落实</w:t>
      </w:r>
      <w:r>
        <w:rPr>
          <w:rFonts w:hint="eastAsia" w:ascii="仿宋" w:hAnsi="仿宋" w:eastAsia="仿宋"/>
          <w:b w:val="0"/>
          <w:bCs w:val="0"/>
          <w:sz w:val="32"/>
          <w:szCs w:val="32"/>
          <w:lang w:eastAsia="zh-CN"/>
        </w:rPr>
        <w:t>石家庄市鹿泉区人民政府《关于全面实施预算绩效管理的实施意见》（鹿发﹝</w:t>
      </w:r>
      <w:r>
        <w:rPr>
          <w:rFonts w:hint="eastAsia" w:ascii="仿宋" w:hAnsi="仿宋" w:eastAsia="仿宋"/>
          <w:b w:val="0"/>
          <w:bCs w:val="0"/>
          <w:sz w:val="32"/>
          <w:szCs w:val="32"/>
          <w:lang w:val="en-US" w:eastAsia="zh-CN"/>
        </w:rPr>
        <w:t>2019</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8号</w:t>
      </w:r>
      <w:r>
        <w:rPr>
          <w:rFonts w:hint="eastAsia" w:ascii="仿宋" w:hAnsi="仿宋" w:eastAsia="仿宋"/>
          <w:b w:val="0"/>
          <w:bCs w:val="0"/>
          <w:sz w:val="32"/>
          <w:szCs w:val="32"/>
          <w:lang w:eastAsia="zh-CN"/>
        </w:rPr>
        <w:t>）</w:t>
      </w:r>
      <w:r>
        <w:rPr>
          <w:rFonts w:hint="eastAsia" w:ascii="仿宋" w:hAnsi="仿宋" w:eastAsia="仿宋"/>
          <w:b w:val="0"/>
          <w:bCs w:val="0"/>
          <w:sz w:val="32"/>
          <w:szCs w:val="32"/>
        </w:rPr>
        <w:t>文件精神，遵循“科学性、规范性、客观性和公正性”的原则，</w:t>
      </w:r>
      <w:r>
        <w:rPr>
          <w:rFonts w:hint="eastAsia" w:ascii="仿宋" w:hAnsi="仿宋" w:eastAsia="仿宋"/>
          <w:b w:val="0"/>
          <w:bCs w:val="0"/>
          <w:sz w:val="32"/>
          <w:szCs w:val="32"/>
          <w:lang w:eastAsia="zh-CN"/>
        </w:rPr>
        <w:t>石家庄市鹿泉区红十字会对</w:t>
      </w:r>
      <w:r>
        <w:rPr>
          <w:rFonts w:hint="eastAsia" w:ascii="仿宋" w:hAnsi="仿宋" w:eastAsia="仿宋"/>
          <w:b w:val="0"/>
          <w:bCs w:val="0"/>
          <w:sz w:val="32"/>
          <w:szCs w:val="32"/>
          <w:lang w:val="en-US" w:eastAsia="zh-CN"/>
        </w:rPr>
        <w:t>2022年</w:t>
      </w:r>
      <w:r>
        <w:rPr>
          <w:rFonts w:hint="eastAsia" w:ascii="仿宋" w:hAnsi="仿宋" w:eastAsia="仿宋"/>
          <w:b w:val="0"/>
          <w:bCs w:val="0"/>
          <w:sz w:val="32"/>
          <w:szCs w:val="32"/>
          <w:lang w:eastAsia="zh-CN"/>
        </w:rPr>
        <w:t>整体支出情况</w:t>
      </w:r>
      <w:r>
        <w:rPr>
          <w:rFonts w:hint="eastAsia" w:ascii="仿宋" w:hAnsi="仿宋" w:eastAsia="仿宋"/>
          <w:b w:val="0"/>
          <w:bCs w:val="0"/>
          <w:sz w:val="32"/>
          <w:szCs w:val="32"/>
        </w:rPr>
        <w:t>实施了财政支出绩效自评价，形成本评价报告。</w:t>
      </w:r>
    </w:p>
    <w:p w14:paraId="68F77A45">
      <w:pPr>
        <w:keepNext w:val="0"/>
        <w:keepLines w:val="0"/>
        <w:pageBreakBefore w:val="0"/>
        <w:widowControl w:val="0"/>
        <w:kinsoku/>
        <w:wordWrap/>
        <w:overflowPunct/>
        <w:topLinePunct w:val="0"/>
        <w:autoSpaceDE/>
        <w:autoSpaceDN/>
        <w:bidi w:val="0"/>
        <w:adjustRightInd w:val="0"/>
        <w:snapToGrid w:val="0"/>
        <w:spacing w:line="518" w:lineRule="exact"/>
        <w:ind w:left="0" w:leftChars="0" w:right="0"/>
        <w:textAlignment w:val="auto"/>
        <w:outlineLvl w:val="9"/>
        <w:rPr>
          <w:rFonts w:ascii="黑体" w:hAnsi="黑体" w:eastAsia="黑体"/>
          <w:b w:val="0"/>
          <w:bCs w:val="0"/>
          <w:sz w:val="32"/>
          <w:szCs w:val="36"/>
        </w:rPr>
      </w:pPr>
      <w:r>
        <w:rPr>
          <w:rFonts w:hint="eastAsia" w:ascii="仿宋" w:hAnsi="仿宋" w:eastAsia="仿宋"/>
          <w:b w:val="0"/>
          <w:bCs w:val="0"/>
          <w:sz w:val="32"/>
          <w:szCs w:val="32"/>
        </w:rPr>
        <w:t xml:space="preserve">    </w:t>
      </w:r>
      <w:r>
        <w:rPr>
          <w:rFonts w:hint="eastAsia" w:ascii="黑体" w:hAnsi="黑体" w:eastAsia="黑体"/>
          <w:b w:val="0"/>
          <w:bCs w:val="0"/>
          <w:sz w:val="32"/>
          <w:szCs w:val="32"/>
        </w:rPr>
        <w:t>一、</w:t>
      </w:r>
      <w:r>
        <w:rPr>
          <w:rFonts w:hint="eastAsia" w:ascii="黑体" w:hAnsi="黑体" w:eastAsia="黑体"/>
          <w:b w:val="0"/>
          <w:bCs w:val="0"/>
          <w:sz w:val="32"/>
          <w:szCs w:val="32"/>
          <w:lang w:eastAsia="zh-CN"/>
        </w:rPr>
        <w:t>部门</w:t>
      </w:r>
      <w:r>
        <w:rPr>
          <w:rFonts w:hint="eastAsia" w:ascii="黑体" w:hAnsi="黑体" w:eastAsia="黑体"/>
          <w:b w:val="0"/>
          <w:bCs w:val="0"/>
          <w:sz w:val="32"/>
          <w:szCs w:val="36"/>
        </w:rPr>
        <w:t>基本情况</w:t>
      </w:r>
    </w:p>
    <w:p w14:paraId="32FB5C48">
      <w:pPr>
        <w:keepNext w:val="0"/>
        <w:keepLines w:val="0"/>
        <w:pageBreakBefore w:val="0"/>
        <w:widowControl w:val="0"/>
        <w:kinsoku/>
        <w:wordWrap/>
        <w:overflowPunct/>
        <w:topLinePunct w:val="0"/>
        <w:autoSpaceDE/>
        <w:autoSpaceDN/>
        <w:bidi w:val="0"/>
        <w:adjustRightInd w:val="0"/>
        <w:snapToGrid w:val="0"/>
        <w:spacing w:line="518" w:lineRule="exact"/>
        <w:ind w:left="0" w:leftChars="0" w:right="0" w:firstLine="640" w:firstLineChars="200"/>
        <w:textAlignment w:val="auto"/>
        <w:outlineLvl w:val="9"/>
        <w:rPr>
          <w:rFonts w:ascii="仿宋" w:hAnsi="仿宋" w:eastAsia="仿宋" w:cs="楷体_GB2312"/>
          <w:b w:val="0"/>
          <w:bCs w:val="0"/>
          <w:sz w:val="32"/>
          <w:szCs w:val="32"/>
        </w:rPr>
      </w:pPr>
      <w:r>
        <w:rPr>
          <w:rFonts w:hint="eastAsia" w:ascii="仿宋" w:hAnsi="仿宋" w:eastAsia="仿宋" w:cs="楷体_GB2312"/>
          <w:b w:val="0"/>
          <w:bCs w:val="0"/>
          <w:sz w:val="32"/>
          <w:szCs w:val="32"/>
        </w:rPr>
        <w:t>（一）</w:t>
      </w:r>
      <w:r>
        <w:rPr>
          <w:rFonts w:hint="eastAsia" w:ascii="仿宋" w:hAnsi="仿宋" w:eastAsia="仿宋" w:cs="楷体_GB2312"/>
          <w:b w:val="0"/>
          <w:bCs w:val="0"/>
          <w:sz w:val="32"/>
          <w:szCs w:val="32"/>
          <w:lang w:eastAsia="zh-CN"/>
        </w:rPr>
        <w:t>部门</w:t>
      </w:r>
      <w:r>
        <w:rPr>
          <w:rFonts w:hint="eastAsia" w:ascii="仿宋" w:hAnsi="仿宋" w:eastAsia="仿宋" w:cs="楷体_GB2312"/>
          <w:b w:val="0"/>
          <w:bCs w:val="0"/>
          <w:sz w:val="32"/>
          <w:szCs w:val="32"/>
        </w:rPr>
        <w:t>概况</w:t>
      </w:r>
    </w:p>
    <w:p w14:paraId="310731B9">
      <w:pPr>
        <w:keepNext w:val="0"/>
        <w:keepLines w:val="0"/>
        <w:pageBreakBefore w:val="0"/>
        <w:widowControl w:val="0"/>
        <w:kinsoku/>
        <w:wordWrap/>
        <w:overflowPunct/>
        <w:topLinePunct w:val="0"/>
        <w:autoSpaceDE/>
        <w:autoSpaceDN/>
        <w:bidi w:val="0"/>
        <w:spacing w:before="0" w:after="0" w:line="518" w:lineRule="exact"/>
        <w:ind w:firstLine="640"/>
        <w:jc w:val="left"/>
        <w:textAlignment w:val="auto"/>
        <w:outlineLvl w:val="9"/>
        <w:rPr>
          <w:rFonts w:hint="eastAsia" w:ascii="仿宋" w:hAnsi="仿宋" w:eastAsia="仿宋" w:cs="仿宋"/>
          <w:b w:val="0"/>
          <w:bCs w:val="0"/>
          <w:sz w:val="32"/>
          <w:szCs w:val="32"/>
        </w:rPr>
      </w:pPr>
      <w:r>
        <w:rPr>
          <w:rFonts w:hint="eastAsia" w:ascii="仿宋" w:hAnsi="仿宋" w:eastAsia="仿宋" w:cs="仿宋"/>
          <w:b w:val="0"/>
          <w:bCs w:val="0"/>
          <w:color w:val="000000"/>
          <w:sz w:val="32"/>
          <w:szCs w:val="32"/>
        </w:rPr>
        <w:t>部门职责：</w:t>
      </w:r>
    </w:p>
    <w:p w14:paraId="41645139">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一）开展备灾救灾的准备工作，建立完善红十字会应急救援体系，设立备灾救灾仓库，组建应急救援队并演练。开展自然灾害的救助及突发事件的应急救援，参与灾后重建。对从事备灾物资、备灾仓库管理人员进行培训。</w:t>
      </w:r>
    </w:p>
    <w:p w14:paraId="213C7E0A">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（二）努力推进应急救护知识普及，建立红十字应急救护培训长效机制，充分发挥红十字会在公众参与的应急救护培训中的主体作用，积极推动红十字救护培训进社区、进农村、进学校、进企业、进机关。</w:t>
      </w:r>
    </w:p>
    <w:p w14:paraId="060E15D2">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（三）致力关注民生，积极开展弱势群体帮扶，向社会大力募集资金，建立专项救助基金。面向困难群体开展符合其宗旨的人道救助工作，重点救助困难群众及患病儿童。</w:t>
      </w:r>
    </w:p>
    <w:p w14:paraId="3B4DDADC">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（四）认真贯彻执行《中华人民共和国红十字会法》和《中国红十字会章程》，指导全区红十字组织开展活动，推动红十字会各项工作的开展。</w:t>
      </w:r>
    </w:p>
    <w:p w14:paraId="53A0DEA5">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（五）加强无偿献血、造血干细胞捐献、遗体和人体器官捐献知识宣传普及和捐献工作，大力建设红十字博爱家园，不断扩大红十字影响。</w:t>
      </w:r>
    </w:p>
    <w:p w14:paraId="099803EF">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（六）开展红十字青少年和志愿服务活动，广泛宣传</w:t>
      </w:r>
      <w:r>
        <w:rPr>
          <w:rFonts w:hint="eastAsia" w:ascii="仿宋" w:hAnsi="仿宋" w:eastAsia="仿宋" w:cs="仿宋"/>
          <w:b w:val="0"/>
          <w:bCs w:val="0"/>
          <w:sz w:val="32"/>
          <w:szCs w:val="32"/>
          <w:lang w:eastAsia="zh-CN"/>
        </w:rPr>
        <w:t>《中华人民共和国红十字会法》</w:t>
      </w:r>
      <w:r>
        <w:rPr>
          <w:rFonts w:hint="eastAsia" w:ascii="仿宋" w:hAnsi="仿宋" w:eastAsia="仿宋" w:cs="仿宋"/>
          <w:b w:val="0"/>
          <w:bCs w:val="0"/>
          <w:sz w:val="32"/>
          <w:szCs w:val="32"/>
        </w:rPr>
        <w:t>，加强与国际红十字及港澳台组织在人道救援、志愿服务、红十字青少年等方面交流与合作。积极参与国际红十字运动，积极发展红十字志愿者，提升红十字会社会影响力。</w:t>
      </w:r>
    </w:p>
    <w:p w14:paraId="0C680183">
      <w:pPr>
        <w:pStyle w:val="7"/>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color w:val="000000"/>
          <w:sz w:val="32"/>
          <w:szCs w:val="32"/>
        </w:rPr>
        <w:t>部门机构设置情况</w:t>
      </w:r>
      <w:r>
        <w:rPr>
          <w:rFonts w:hint="eastAsia" w:ascii="仿宋" w:hAnsi="仿宋" w:eastAsia="仿宋" w:cs="仿宋"/>
          <w:b w:val="0"/>
          <w:bCs w:val="0"/>
          <w:color w:val="000000"/>
          <w:sz w:val="32"/>
          <w:szCs w:val="32"/>
          <w:lang w:eastAsia="zh-CN"/>
        </w:rPr>
        <w:t>：</w:t>
      </w:r>
      <w:r>
        <w:rPr>
          <w:rFonts w:hint="eastAsia" w:ascii="仿宋" w:hAnsi="仿宋" w:eastAsia="仿宋" w:cs="仿宋"/>
          <w:b w:val="0"/>
          <w:bCs w:val="0"/>
          <w:sz w:val="32"/>
          <w:szCs w:val="32"/>
        </w:rPr>
        <w:t>石家庄市鹿泉区红十字会正科级事业</w:t>
      </w:r>
      <w:r>
        <w:rPr>
          <w:rFonts w:hint="eastAsia" w:ascii="仿宋" w:hAnsi="仿宋" w:eastAsia="仿宋" w:cs="仿宋"/>
          <w:b w:val="0"/>
          <w:bCs w:val="0"/>
          <w:sz w:val="32"/>
          <w:szCs w:val="32"/>
          <w:lang w:eastAsia="zh-CN"/>
        </w:rPr>
        <w:t>单位，</w:t>
      </w:r>
      <w:r>
        <w:rPr>
          <w:rFonts w:hint="eastAsia" w:ascii="仿宋" w:hAnsi="仿宋" w:eastAsia="仿宋" w:cs="仿宋"/>
          <w:b w:val="0"/>
          <w:bCs w:val="0"/>
          <w:sz w:val="32"/>
          <w:szCs w:val="32"/>
        </w:rPr>
        <w:t>经费保障形式</w:t>
      </w:r>
      <w:r>
        <w:rPr>
          <w:rFonts w:hint="eastAsia" w:ascii="仿宋" w:hAnsi="仿宋" w:eastAsia="仿宋" w:cs="仿宋"/>
          <w:b w:val="0"/>
          <w:bCs w:val="0"/>
          <w:sz w:val="32"/>
          <w:szCs w:val="32"/>
          <w:lang w:eastAsia="zh-CN"/>
        </w:rPr>
        <w:t>为</w:t>
      </w:r>
      <w:r>
        <w:rPr>
          <w:rFonts w:hint="eastAsia" w:ascii="仿宋" w:hAnsi="仿宋" w:eastAsia="仿宋" w:cs="仿宋"/>
          <w:b w:val="0"/>
          <w:bCs w:val="0"/>
          <w:sz w:val="32"/>
          <w:szCs w:val="32"/>
        </w:rPr>
        <w:t>财政性资金基本保证</w:t>
      </w:r>
      <w:r>
        <w:rPr>
          <w:rFonts w:hint="eastAsia" w:ascii="仿宋" w:hAnsi="仿宋" w:eastAsia="仿宋" w:cs="仿宋"/>
          <w:b w:val="0"/>
          <w:bCs w:val="0"/>
          <w:sz w:val="32"/>
          <w:szCs w:val="32"/>
          <w:lang w:eastAsia="zh-CN"/>
        </w:rPr>
        <w:t>。现有事业编制</w:t>
      </w:r>
      <w:r>
        <w:rPr>
          <w:rFonts w:hint="eastAsia" w:ascii="仿宋" w:hAnsi="仿宋" w:eastAsia="仿宋" w:cs="仿宋"/>
          <w:b w:val="0"/>
          <w:bCs w:val="0"/>
          <w:sz w:val="32"/>
          <w:szCs w:val="32"/>
          <w:lang w:val="en-US" w:eastAsia="zh-CN"/>
        </w:rPr>
        <w:t>4名，实有人员4名。</w:t>
      </w:r>
    </w:p>
    <w:p w14:paraId="78C3AB78">
      <w:pPr>
        <w:pStyle w:val="7"/>
        <w:keepNext w:val="0"/>
        <w:keepLines w:val="0"/>
        <w:pageBreakBefore w:val="0"/>
        <w:widowControl w:val="0"/>
        <w:kinsoku/>
        <w:wordWrap/>
        <w:overflowPunct/>
        <w:topLinePunct w:val="0"/>
        <w:autoSpaceDE/>
        <w:autoSpaceDN/>
        <w:bidi w:val="0"/>
        <w:spacing w:line="518" w:lineRule="exact"/>
        <w:textAlignment w:val="auto"/>
        <w:rPr>
          <w:rFonts w:hint="default" w:ascii="仿宋" w:hAnsi="仿宋" w:eastAsia="仿宋" w:cs="仿宋"/>
          <w:b w:val="0"/>
          <w:bCs w:val="0"/>
          <w:sz w:val="32"/>
          <w:szCs w:val="24"/>
          <w:lang w:val="en-US" w:eastAsia="zh-CN"/>
        </w:rPr>
      </w:pPr>
      <w:r>
        <w:rPr>
          <w:rFonts w:hint="eastAsia" w:ascii="仿宋" w:hAnsi="仿宋" w:eastAsia="仿宋" w:cs="仿宋"/>
          <w:b w:val="0"/>
          <w:bCs w:val="0"/>
          <w:sz w:val="32"/>
          <w:szCs w:val="24"/>
        </w:rPr>
        <w:t>资产</w:t>
      </w:r>
      <w:r>
        <w:rPr>
          <w:rFonts w:hint="eastAsia" w:ascii="仿宋" w:hAnsi="仿宋" w:eastAsia="仿宋" w:cs="仿宋"/>
          <w:b w:val="0"/>
          <w:bCs w:val="0"/>
          <w:sz w:val="32"/>
          <w:szCs w:val="24"/>
          <w:lang w:eastAsia="zh-CN"/>
        </w:rPr>
        <w:t>情况：</w:t>
      </w:r>
      <w:r>
        <w:rPr>
          <w:rFonts w:hint="eastAsia" w:ascii="仿宋" w:hAnsi="仿宋" w:eastAsia="仿宋" w:cs="仿宋"/>
          <w:b w:val="0"/>
          <w:bCs w:val="0"/>
          <w:sz w:val="32"/>
          <w:szCs w:val="24"/>
        </w:rPr>
        <w:t>石家庄市鹿泉区红十字会年末固定资产金额为6.42万元</w:t>
      </w:r>
      <w:r>
        <w:rPr>
          <w:rFonts w:hint="eastAsia" w:ascii="仿宋" w:hAnsi="仿宋" w:eastAsia="仿宋" w:cs="仿宋"/>
          <w:b w:val="0"/>
          <w:bCs w:val="0"/>
          <w:sz w:val="32"/>
          <w:szCs w:val="24"/>
          <w:lang w:eastAsia="zh-CN"/>
        </w:rPr>
        <w:t>。其中：公务用车</w:t>
      </w:r>
      <w:r>
        <w:rPr>
          <w:rFonts w:hint="eastAsia" w:ascii="仿宋" w:hAnsi="仿宋" w:eastAsia="仿宋" w:cs="仿宋"/>
          <w:b w:val="0"/>
          <w:bCs w:val="0"/>
          <w:sz w:val="32"/>
          <w:szCs w:val="24"/>
          <w:lang w:val="en-US" w:eastAsia="zh-CN"/>
        </w:rPr>
        <w:t>1辆、价值3.23万元，其他固定资产价值3.19万元。</w:t>
      </w:r>
    </w:p>
    <w:p w14:paraId="2585EAD6">
      <w:pPr>
        <w:keepNext w:val="0"/>
        <w:keepLines w:val="0"/>
        <w:pageBreakBefore w:val="0"/>
        <w:widowControl w:val="0"/>
        <w:kinsoku/>
        <w:wordWrap/>
        <w:overflowPunct/>
        <w:topLinePunct w:val="0"/>
        <w:autoSpaceDE/>
        <w:autoSpaceDN/>
        <w:bidi w:val="0"/>
        <w:adjustRightInd w:val="0"/>
        <w:snapToGrid w:val="0"/>
        <w:spacing w:line="518" w:lineRule="exact"/>
        <w:ind w:left="0" w:leftChars="0" w:right="0" w:firstLine="640" w:firstLineChars="200"/>
        <w:textAlignment w:val="auto"/>
        <w:outlineLvl w:val="9"/>
        <w:rPr>
          <w:rFonts w:hint="eastAsia" w:ascii="仿宋" w:hAnsi="仿宋" w:eastAsia="仿宋" w:cs="楷体_GB2312"/>
          <w:b w:val="0"/>
          <w:bCs w:val="0"/>
          <w:sz w:val="32"/>
          <w:szCs w:val="32"/>
          <w:lang w:eastAsia="zh-CN"/>
        </w:rPr>
      </w:pPr>
      <w:r>
        <w:rPr>
          <w:rFonts w:hint="eastAsia" w:ascii="仿宋" w:hAnsi="仿宋" w:eastAsia="仿宋" w:cs="楷体_GB2312"/>
          <w:b w:val="0"/>
          <w:bCs w:val="0"/>
          <w:sz w:val="32"/>
          <w:szCs w:val="32"/>
        </w:rPr>
        <w:t>（二）</w:t>
      </w:r>
      <w:r>
        <w:rPr>
          <w:rFonts w:hint="eastAsia" w:ascii="仿宋" w:hAnsi="仿宋" w:eastAsia="仿宋" w:cs="楷体_GB2312"/>
          <w:b w:val="0"/>
          <w:bCs w:val="0"/>
          <w:sz w:val="32"/>
          <w:szCs w:val="32"/>
          <w:lang w:eastAsia="zh-CN"/>
        </w:rPr>
        <w:t>部门收支预决算情况</w:t>
      </w:r>
    </w:p>
    <w:p w14:paraId="778AD50D">
      <w:pPr>
        <w:keepNext w:val="0"/>
        <w:keepLines w:val="0"/>
        <w:pageBreakBefore w:val="0"/>
        <w:widowControl w:val="0"/>
        <w:kinsoku/>
        <w:wordWrap/>
        <w:overflowPunct/>
        <w:topLinePunct w:val="0"/>
        <w:autoSpaceDE/>
        <w:autoSpaceDN/>
        <w:bidi w:val="0"/>
        <w:adjustRightInd w:val="0"/>
        <w:snapToGrid w:val="0"/>
        <w:spacing w:line="518" w:lineRule="exact"/>
        <w:ind w:left="0" w:leftChars="0" w:right="0" w:firstLine="640" w:firstLineChars="200"/>
        <w:textAlignment w:val="auto"/>
        <w:outlineLvl w:val="9"/>
        <w:rPr>
          <w:rFonts w:hint="eastAsia" w:ascii="仿宋" w:hAnsi="仿宋" w:eastAsia="仿宋" w:cs="仿宋"/>
          <w:b w:val="0"/>
          <w:bCs w:val="0"/>
          <w:sz w:val="32"/>
          <w:szCs w:val="32"/>
        </w:rPr>
      </w:pPr>
      <w:r>
        <w:rPr>
          <w:rFonts w:hint="eastAsia" w:ascii="仿宋" w:hAnsi="仿宋" w:eastAsia="仿宋" w:cs="仿宋"/>
          <w:b w:val="0"/>
          <w:bCs w:val="0"/>
          <w:sz w:val="32"/>
          <w:szCs w:val="32"/>
        </w:rPr>
        <w:t>本部门2022年度收、支总计（含结转和结余）</w:t>
      </w:r>
      <w:r>
        <w:rPr>
          <w:rFonts w:hint="eastAsia" w:ascii="仿宋" w:hAnsi="仿宋" w:eastAsia="仿宋" w:cs="仿宋"/>
          <w:b w:val="0"/>
          <w:bCs w:val="0"/>
          <w:sz w:val="32"/>
          <w:szCs w:val="32"/>
          <w:lang w:val="en-US" w:eastAsia="zh-CN"/>
        </w:rPr>
        <w:t>111.18</w:t>
      </w:r>
      <w:r>
        <w:rPr>
          <w:rFonts w:hint="eastAsia" w:ascii="仿宋" w:hAnsi="仿宋" w:eastAsia="仿宋" w:cs="仿宋"/>
          <w:b w:val="0"/>
          <w:bCs w:val="0"/>
          <w:sz w:val="32"/>
          <w:szCs w:val="32"/>
        </w:rPr>
        <w:t>万元。与2021年度决算相比，收支各增加</w:t>
      </w:r>
      <w:r>
        <w:rPr>
          <w:rFonts w:hint="eastAsia" w:ascii="仿宋" w:hAnsi="仿宋" w:eastAsia="仿宋" w:cs="仿宋"/>
          <w:b w:val="0"/>
          <w:bCs w:val="0"/>
          <w:sz w:val="32"/>
          <w:szCs w:val="32"/>
          <w:lang w:val="en-US" w:eastAsia="zh-CN"/>
        </w:rPr>
        <w:t>26.90</w:t>
      </w:r>
      <w:r>
        <w:rPr>
          <w:rFonts w:hint="eastAsia" w:ascii="仿宋" w:hAnsi="仿宋" w:eastAsia="仿宋" w:cs="仿宋"/>
          <w:b w:val="0"/>
          <w:bCs w:val="0"/>
          <w:sz w:val="32"/>
          <w:szCs w:val="32"/>
        </w:rPr>
        <w:t>万元，增长</w:t>
      </w:r>
      <w:r>
        <w:rPr>
          <w:rFonts w:hint="eastAsia" w:ascii="仿宋" w:hAnsi="仿宋" w:eastAsia="仿宋" w:cs="仿宋"/>
          <w:b w:val="0"/>
          <w:bCs w:val="0"/>
          <w:sz w:val="32"/>
          <w:szCs w:val="32"/>
          <w:lang w:val="en-US" w:eastAsia="zh-CN"/>
        </w:rPr>
        <w:t>31.92</w:t>
      </w:r>
      <w:r>
        <w:rPr>
          <w:rFonts w:hint="eastAsia" w:ascii="仿宋" w:hAnsi="仿宋" w:eastAsia="仿宋" w:cs="仿宋"/>
          <w:b w:val="0"/>
          <w:bCs w:val="0"/>
          <w:sz w:val="32"/>
          <w:szCs w:val="32"/>
        </w:rPr>
        <w:t>%，主要原因是</w:t>
      </w:r>
      <w:r>
        <w:rPr>
          <w:rFonts w:hint="eastAsia" w:ascii="仿宋" w:hAnsi="仿宋" w:eastAsia="仿宋" w:cs="仿宋"/>
          <w:b w:val="0"/>
          <w:bCs w:val="0"/>
          <w:sz w:val="32"/>
          <w:szCs w:val="32"/>
          <w:lang w:val="en-US" w:eastAsia="zh-CN"/>
        </w:rPr>
        <w:t>项目经费和人员经费支出增加</w:t>
      </w:r>
      <w:r>
        <w:rPr>
          <w:rFonts w:hint="eastAsia" w:ascii="仿宋" w:hAnsi="仿宋" w:eastAsia="仿宋" w:cs="仿宋"/>
          <w:b w:val="0"/>
          <w:bCs w:val="0"/>
          <w:sz w:val="32"/>
          <w:szCs w:val="32"/>
        </w:rPr>
        <w:t>。</w:t>
      </w:r>
    </w:p>
    <w:p w14:paraId="593535F4">
      <w:pPr>
        <w:keepNext w:val="0"/>
        <w:keepLines w:val="0"/>
        <w:pageBreakBefore w:val="0"/>
        <w:widowControl w:val="0"/>
        <w:kinsoku/>
        <w:wordWrap/>
        <w:overflowPunct/>
        <w:topLinePunct w:val="0"/>
        <w:autoSpaceDE/>
        <w:autoSpaceDN/>
        <w:bidi w:val="0"/>
        <w:adjustRightInd w:val="0"/>
        <w:snapToGrid w:val="0"/>
        <w:spacing w:line="518" w:lineRule="exact"/>
        <w:ind w:left="0" w:leftChars="0" w:right="0" w:firstLine="640" w:firstLineChars="200"/>
        <w:textAlignment w:val="auto"/>
        <w:outlineLvl w:val="9"/>
        <w:rPr>
          <w:rFonts w:hint="eastAsia" w:ascii="仿宋" w:hAnsi="仿宋" w:eastAsia="仿宋" w:cs="楷体_GB2312"/>
          <w:b w:val="0"/>
          <w:bCs w:val="0"/>
          <w:sz w:val="32"/>
          <w:szCs w:val="32"/>
          <w:lang w:eastAsia="zh-CN"/>
        </w:rPr>
      </w:pPr>
      <w:r>
        <w:rPr>
          <w:rFonts w:hint="eastAsia" w:ascii="仿宋" w:hAnsi="仿宋" w:eastAsia="仿宋" w:cs="楷体_GB2312"/>
          <w:b w:val="0"/>
          <w:bCs w:val="0"/>
          <w:sz w:val="32"/>
          <w:szCs w:val="32"/>
          <w:lang w:eastAsia="zh-CN"/>
        </w:rPr>
        <w:t>（三）部门整体支出绩效目标、指标</w:t>
      </w:r>
    </w:p>
    <w:p w14:paraId="22D0F06D">
      <w:pPr>
        <w:keepNext w:val="0"/>
        <w:keepLines w:val="0"/>
        <w:pageBreakBefore w:val="0"/>
        <w:widowControl w:val="0"/>
        <w:kinsoku/>
        <w:wordWrap/>
        <w:overflowPunct/>
        <w:topLinePunct w:val="0"/>
        <w:autoSpaceDE/>
        <w:autoSpaceDN/>
        <w:bidi w:val="0"/>
        <w:adjustRightInd w:val="0"/>
        <w:snapToGrid w:val="0"/>
        <w:spacing w:line="518" w:lineRule="exact"/>
        <w:ind w:left="0" w:leftChars="0" w:right="0" w:firstLine="640" w:firstLineChars="200"/>
        <w:textAlignment w:val="auto"/>
        <w:outlineLvl w:val="9"/>
        <w:rPr>
          <w:rFonts w:hint="eastAsia" w:ascii="仿宋" w:hAnsi="仿宋" w:eastAsia="仿宋"/>
          <w:b w:val="0"/>
          <w:bCs w:val="0"/>
          <w:sz w:val="32"/>
          <w:szCs w:val="32"/>
          <w:lang w:eastAsia="zh-CN"/>
        </w:rPr>
      </w:pPr>
      <w:r>
        <w:rPr>
          <w:rFonts w:hint="eastAsia" w:ascii="仿宋" w:hAnsi="仿宋" w:eastAsia="仿宋"/>
          <w:b w:val="0"/>
          <w:bCs w:val="0"/>
          <w:sz w:val="32"/>
          <w:szCs w:val="32"/>
          <w:lang w:eastAsia="zh-CN"/>
        </w:rPr>
        <w:t>在区委、区政府的正确领导下，紧紧围绕红十字会总会、省市红十字会工作要求和服务区委、区政府中心任务，大力弘扬“人道、博爱、奉献”的红十字精神，加强组织和队伍建设，打牢红十字工作的基础；加大募捐和监督力度，提升红十字工作的公信力；关爱生命健康，扩大红十字工作的影响力；打造志愿服务品牌，提升红十字工作的美誉度；广泛深入宣传，营造红十字工作的良好氛围。开展应急救援工作。开展应急救护工作。开展人道救助工作。开展“三献”工作。开展国际人道援助和志愿者工作。开展红十字会综合事务工作。</w:t>
      </w:r>
    </w:p>
    <w:p w14:paraId="7A384688">
      <w:pPr>
        <w:keepNext w:val="0"/>
        <w:keepLines w:val="0"/>
        <w:pageBreakBefore w:val="0"/>
        <w:widowControl w:val="0"/>
        <w:kinsoku/>
        <w:wordWrap/>
        <w:overflowPunct/>
        <w:topLinePunct w:val="0"/>
        <w:autoSpaceDE/>
        <w:autoSpaceDN/>
        <w:bidi w:val="0"/>
        <w:adjustRightInd w:val="0"/>
        <w:snapToGrid w:val="0"/>
        <w:spacing w:line="518" w:lineRule="exact"/>
        <w:ind w:left="0" w:leftChars="0" w:right="0" w:firstLine="640" w:firstLineChars="200"/>
        <w:textAlignment w:val="auto"/>
        <w:outlineLvl w:val="9"/>
        <w:rPr>
          <w:rFonts w:ascii="黑体" w:hAnsi="黑体" w:eastAsia="黑体"/>
          <w:b w:val="0"/>
          <w:bCs w:val="0"/>
          <w:sz w:val="32"/>
          <w:szCs w:val="32"/>
        </w:rPr>
      </w:pPr>
      <w:r>
        <w:rPr>
          <w:rFonts w:hint="eastAsia" w:ascii="黑体" w:hAnsi="黑体" w:eastAsia="黑体"/>
          <w:b w:val="0"/>
          <w:bCs w:val="0"/>
          <w:sz w:val="32"/>
          <w:szCs w:val="32"/>
        </w:rPr>
        <w:t>二、自评工作</w:t>
      </w:r>
      <w:r>
        <w:rPr>
          <w:rFonts w:hint="eastAsia" w:ascii="黑体" w:hAnsi="黑体" w:eastAsia="黑体"/>
          <w:b w:val="0"/>
          <w:bCs w:val="0"/>
          <w:sz w:val="32"/>
          <w:szCs w:val="32"/>
          <w:lang w:eastAsia="zh-CN"/>
        </w:rPr>
        <w:t>开展</w:t>
      </w:r>
      <w:r>
        <w:rPr>
          <w:rFonts w:hint="eastAsia" w:ascii="黑体" w:hAnsi="黑体" w:eastAsia="黑体"/>
          <w:b w:val="0"/>
          <w:bCs w:val="0"/>
          <w:sz w:val="32"/>
          <w:szCs w:val="32"/>
        </w:rPr>
        <w:t>情况</w:t>
      </w:r>
    </w:p>
    <w:p w14:paraId="6B6DBE27">
      <w:pPr>
        <w:keepNext w:val="0"/>
        <w:keepLines w:val="0"/>
        <w:pageBreakBefore w:val="0"/>
        <w:widowControl w:val="0"/>
        <w:kinsoku/>
        <w:wordWrap/>
        <w:overflowPunct/>
        <w:topLinePunct w:val="0"/>
        <w:autoSpaceDE/>
        <w:autoSpaceDN/>
        <w:bidi w:val="0"/>
        <w:spacing w:line="518" w:lineRule="exact"/>
        <w:ind w:left="0" w:leftChars="0" w:right="0"/>
        <w:textAlignment w:val="auto"/>
        <w:outlineLvl w:val="9"/>
        <w:rPr>
          <w:rFonts w:ascii="仿宋" w:hAnsi="仿宋" w:eastAsia="仿宋" w:cs="楷体_GB2312"/>
          <w:b w:val="0"/>
          <w:bCs w:val="0"/>
          <w:sz w:val="32"/>
          <w:szCs w:val="32"/>
        </w:rPr>
      </w:pPr>
      <w:r>
        <w:rPr>
          <w:rFonts w:hint="eastAsia" w:ascii="仿宋" w:hAnsi="仿宋" w:eastAsia="仿宋"/>
          <w:b w:val="0"/>
          <w:bCs w:val="0"/>
          <w:sz w:val="32"/>
          <w:szCs w:val="32"/>
        </w:rPr>
        <w:t xml:space="preserve">    </w:t>
      </w:r>
      <w:r>
        <w:rPr>
          <w:rFonts w:hint="eastAsia" w:ascii="仿宋" w:hAnsi="仿宋" w:eastAsia="仿宋" w:cs="楷体_GB2312"/>
          <w:b w:val="0"/>
          <w:bCs w:val="0"/>
          <w:sz w:val="32"/>
          <w:szCs w:val="32"/>
        </w:rPr>
        <w:t>（一）自评的组织工作</w:t>
      </w:r>
    </w:p>
    <w:p w14:paraId="196A5263">
      <w:pPr>
        <w:keepNext w:val="0"/>
        <w:keepLines w:val="0"/>
        <w:pageBreakBefore w:val="0"/>
        <w:widowControl w:val="0"/>
        <w:kinsoku/>
        <w:wordWrap/>
        <w:overflowPunct/>
        <w:topLinePunct w:val="0"/>
        <w:autoSpaceDE/>
        <w:autoSpaceDN/>
        <w:bidi w:val="0"/>
        <w:spacing w:line="518" w:lineRule="exact"/>
        <w:ind w:left="0" w:leftChars="0" w:right="0" w:firstLine="640"/>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我部门制定了《鹿泉区</w:t>
      </w:r>
      <w:r>
        <w:rPr>
          <w:rFonts w:hint="eastAsia" w:ascii="仿宋" w:hAnsi="仿宋" w:eastAsia="仿宋"/>
          <w:b w:val="0"/>
          <w:bCs w:val="0"/>
          <w:sz w:val="32"/>
          <w:szCs w:val="32"/>
          <w:lang w:eastAsia="zh-CN"/>
        </w:rPr>
        <w:t>红十字会</w:t>
      </w:r>
      <w:r>
        <w:rPr>
          <w:rFonts w:hint="eastAsia" w:ascii="仿宋" w:hAnsi="仿宋" w:eastAsia="仿宋"/>
          <w:b w:val="0"/>
          <w:bCs w:val="0"/>
          <w:sz w:val="32"/>
          <w:szCs w:val="32"/>
        </w:rPr>
        <w:t>绩效管理制度》，成立了绩效管理领导小组；开展多种形式的绩效管理宣传工作，包括开会、讨论等；按《鹿泉区</w:t>
      </w:r>
      <w:r>
        <w:rPr>
          <w:rFonts w:hint="eastAsia" w:ascii="仿宋" w:hAnsi="仿宋" w:eastAsia="仿宋"/>
          <w:b w:val="0"/>
          <w:bCs w:val="0"/>
          <w:sz w:val="32"/>
          <w:szCs w:val="32"/>
          <w:lang w:eastAsia="zh-CN"/>
        </w:rPr>
        <w:t>红十字会</w:t>
      </w:r>
      <w:r>
        <w:rPr>
          <w:rFonts w:hint="eastAsia" w:ascii="仿宋" w:hAnsi="仿宋" w:eastAsia="仿宋"/>
          <w:b w:val="0"/>
          <w:bCs w:val="0"/>
          <w:sz w:val="32"/>
          <w:szCs w:val="32"/>
        </w:rPr>
        <w:t>绩效管理制度》要求报送项目执行相关材料、参加会议培训、动态调整完善绩效指标体系等；对我部门中期绩效评估、财政重点监控发现问题要求及时整改到位；按照《石家庄市鹿泉区财政局关于转发石家庄市财政支出事前绩效评估管理办法的通知》（鹿财绩〔2019〕42号）要求，全面开展事前绩效评估工作并提交事前绩效评估报告；按时监控并按时向区财政局报送绩效监控结果。</w:t>
      </w:r>
    </w:p>
    <w:p w14:paraId="6C7417E1">
      <w:pPr>
        <w:keepNext w:val="0"/>
        <w:keepLines w:val="0"/>
        <w:pageBreakBefore w:val="0"/>
        <w:widowControl w:val="0"/>
        <w:numPr>
          <w:ilvl w:val="0"/>
          <w:numId w:val="0"/>
        </w:numPr>
        <w:kinsoku/>
        <w:wordWrap/>
        <w:overflowPunct/>
        <w:topLinePunct w:val="0"/>
        <w:autoSpaceDE/>
        <w:autoSpaceDN/>
        <w:bidi w:val="0"/>
        <w:spacing w:line="518" w:lineRule="exact"/>
        <w:ind w:left="642" w:leftChars="0" w:right="0" w:rightChars="0" w:firstLine="0" w:firstLineChars="0"/>
        <w:textAlignment w:val="auto"/>
        <w:outlineLvl w:val="9"/>
        <w:rPr>
          <w:rFonts w:hint="eastAsia" w:ascii="仿宋" w:hAnsi="仿宋" w:eastAsia="仿宋" w:cs="楷体_GB2312"/>
          <w:b w:val="0"/>
          <w:bCs w:val="0"/>
          <w:sz w:val="32"/>
          <w:szCs w:val="32"/>
        </w:rPr>
      </w:pPr>
      <w:r>
        <w:rPr>
          <w:rFonts w:hint="eastAsia" w:ascii="仿宋" w:hAnsi="仿宋" w:eastAsia="仿宋" w:cs="楷体_GB2312"/>
          <w:b w:val="0"/>
          <w:bCs w:val="0"/>
          <w:kern w:val="2"/>
          <w:sz w:val="32"/>
          <w:szCs w:val="32"/>
          <w:lang w:val="en-US" w:eastAsia="zh-CN" w:bidi="ar-SA"/>
        </w:rPr>
        <w:t>（二）</w:t>
      </w:r>
      <w:r>
        <w:rPr>
          <w:rFonts w:hint="eastAsia" w:ascii="仿宋" w:hAnsi="仿宋" w:eastAsia="仿宋" w:cs="楷体_GB2312"/>
          <w:b w:val="0"/>
          <w:bCs w:val="0"/>
          <w:sz w:val="32"/>
          <w:szCs w:val="32"/>
        </w:rPr>
        <w:t>自评的方法和过程</w:t>
      </w:r>
    </w:p>
    <w:p w14:paraId="6FBF00A1">
      <w:pPr>
        <w:keepNext w:val="0"/>
        <w:keepLines w:val="0"/>
        <w:pageBreakBefore w:val="0"/>
        <w:widowControl w:val="0"/>
        <w:kinsoku/>
        <w:wordWrap/>
        <w:overflowPunct/>
        <w:topLinePunct w:val="0"/>
        <w:autoSpaceDE/>
        <w:autoSpaceDN/>
        <w:bidi w:val="0"/>
        <w:spacing w:line="518" w:lineRule="exact"/>
        <w:ind w:firstLine="640" w:firstLineChars="200"/>
        <w:textAlignment w:val="auto"/>
        <w:rPr>
          <w:rFonts w:hint="eastAsia" w:ascii="仿宋" w:hAnsi="仿宋" w:eastAsia="仿宋" w:cs="楷体_GB2312"/>
          <w:b w:val="0"/>
          <w:bCs w:val="0"/>
          <w:sz w:val="32"/>
          <w:szCs w:val="32"/>
        </w:rPr>
      </w:pPr>
      <w:r>
        <w:rPr>
          <w:rFonts w:hint="eastAsia" w:ascii="仿宋" w:hAnsi="仿宋" w:eastAsia="仿宋"/>
          <w:b w:val="0"/>
          <w:bCs w:val="0"/>
          <w:color w:val="auto"/>
          <w:sz w:val="32"/>
          <w:szCs w:val="32"/>
          <w:lang w:eastAsia="zh-CN"/>
        </w:rPr>
        <w:t>我部门绩效评价本着问题导向、系统评价、科学客观、讲求绩效的原则，采用全面评价和重点评价相结合、现场评价和非现场评价相结合、定性分析与定量分析相结合的方式，运用案卷研究、专家咨询、座谈访谈等方法，对项目决策、过程、产出、效益四方面进行综合评价。</w:t>
      </w:r>
    </w:p>
    <w:p w14:paraId="2CB9FF9F">
      <w:pPr>
        <w:keepNext w:val="0"/>
        <w:keepLines w:val="0"/>
        <w:pageBreakBefore w:val="0"/>
        <w:widowControl w:val="0"/>
        <w:kinsoku/>
        <w:wordWrap/>
        <w:overflowPunct/>
        <w:topLinePunct w:val="0"/>
        <w:autoSpaceDE/>
        <w:autoSpaceDN/>
        <w:bidi w:val="0"/>
        <w:spacing w:line="518" w:lineRule="exact"/>
        <w:ind w:left="0" w:leftChars="0" w:right="0"/>
        <w:textAlignment w:val="auto"/>
        <w:outlineLvl w:val="9"/>
        <w:rPr>
          <w:rFonts w:hint="eastAsia" w:ascii="黑体" w:hAnsi="黑体" w:eastAsia="黑体"/>
          <w:b w:val="0"/>
          <w:bCs w:val="0"/>
          <w:sz w:val="32"/>
          <w:szCs w:val="32"/>
          <w:lang w:eastAsia="zh-CN"/>
        </w:rPr>
      </w:pPr>
      <w:r>
        <w:rPr>
          <w:rFonts w:hint="eastAsia" w:ascii="仿宋" w:hAnsi="仿宋" w:eastAsia="仿宋" w:cs="楷体_GB2312"/>
          <w:b w:val="0"/>
          <w:bCs w:val="0"/>
          <w:sz w:val="32"/>
          <w:szCs w:val="32"/>
        </w:rPr>
        <w:t xml:space="preserve">    </w:t>
      </w:r>
      <w:r>
        <w:rPr>
          <w:rFonts w:hint="eastAsia" w:ascii="仿宋" w:hAnsi="仿宋" w:eastAsia="仿宋"/>
          <w:b w:val="0"/>
          <w:bCs w:val="0"/>
          <w:sz w:val="32"/>
          <w:szCs w:val="32"/>
        </w:rPr>
        <w:t xml:space="preserve"> </w:t>
      </w:r>
      <w:r>
        <w:rPr>
          <w:rFonts w:hint="eastAsia" w:ascii="黑体" w:hAnsi="黑体" w:eastAsia="黑体"/>
          <w:b w:val="0"/>
          <w:bCs w:val="0"/>
          <w:sz w:val="32"/>
          <w:szCs w:val="32"/>
        </w:rPr>
        <w:t>三、</w:t>
      </w:r>
      <w:r>
        <w:rPr>
          <w:rFonts w:hint="eastAsia" w:ascii="黑体" w:hAnsi="黑体" w:eastAsia="黑体"/>
          <w:b w:val="0"/>
          <w:bCs w:val="0"/>
          <w:sz w:val="32"/>
          <w:szCs w:val="32"/>
          <w:lang w:eastAsia="zh-CN"/>
        </w:rPr>
        <w:t>部门整体支出</w:t>
      </w:r>
      <w:r>
        <w:rPr>
          <w:rFonts w:hint="eastAsia" w:ascii="黑体" w:hAnsi="黑体" w:eastAsia="黑体"/>
          <w:b w:val="0"/>
          <w:bCs w:val="0"/>
          <w:sz w:val="32"/>
          <w:szCs w:val="32"/>
        </w:rPr>
        <w:t>绩效</w:t>
      </w:r>
      <w:r>
        <w:rPr>
          <w:rFonts w:hint="eastAsia" w:ascii="黑体" w:hAnsi="黑体" w:eastAsia="黑体"/>
          <w:b w:val="0"/>
          <w:bCs w:val="0"/>
          <w:sz w:val="32"/>
          <w:szCs w:val="32"/>
          <w:lang w:eastAsia="zh-CN"/>
        </w:rPr>
        <w:t>目标实现情况及指标分析</w:t>
      </w:r>
    </w:p>
    <w:p w14:paraId="485BCB21">
      <w:pPr>
        <w:keepNext w:val="0"/>
        <w:keepLines w:val="0"/>
        <w:pageBreakBefore w:val="0"/>
        <w:widowControl w:val="0"/>
        <w:numPr>
          <w:ilvl w:val="0"/>
          <w:numId w:val="0"/>
        </w:numPr>
        <w:kinsoku/>
        <w:wordWrap/>
        <w:overflowPunct/>
        <w:topLinePunct w:val="0"/>
        <w:autoSpaceDE/>
        <w:autoSpaceDN/>
        <w:bidi w:val="0"/>
        <w:spacing w:line="518" w:lineRule="exact"/>
        <w:ind w:left="0" w:leftChars="0" w:right="0" w:rightChars="0" w:firstLine="640" w:firstLineChars="200"/>
        <w:textAlignment w:val="auto"/>
        <w:outlineLvl w:val="9"/>
        <w:rPr>
          <w:rFonts w:ascii="仿宋" w:hAnsi="仿宋" w:eastAsia="仿宋" w:cs="楷体_GB2312"/>
          <w:b w:val="0"/>
          <w:bCs w:val="0"/>
          <w:sz w:val="32"/>
          <w:szCs w:val="32"/>
        </w:rPr>
      </w:pPr>
      <w:r>
        <w:rPr>
          <w:rFonts w:ascii="仿宋" w:hAnsi="仿宋" w:eastAsia="仿宋" w:cs="楷体_GB2312"/>
          <w:b w:val="0"/>
          <w:bCs w:val="0"/>
          <w:kern w:val="2"/>
          <w:sz w:val="32"/>
          <w:szCs w:val="32"/>
          <w:lang w:val="en-US" w:eastAsia="zh-CN" w:bidi="ar-SA"/>
        </w:rPr>
        <w:t>（一）</w:t>
      </w:r>
      <w:r>
        <w:rPr>
          <w:rFonts w:hint="eastAsia" w:ascii="仿宋" w:hAnsi="仿宋" w:eastAsia="仿宋" w:cs="楷体_GB2312"/>
          <w:b w:val="0"/>
          <w:bCs w:val="0"/>
          <w:sz w:val="32"/>
          <w:szCs w:val="32"/>
          <w:lang w:eastAsia="zh-CN"/>
        </w:rPr>
        <w:t>总体绩效目标实现情况</w:t>
      </w:r>
    </w:p>
    <w:p w14:paraId="262E7640">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b w:val="0"/>
          <w:bCs w:val="0"/>
          <w:color w:val="auto"/>
          <w:sz w:val="32"/>
          <w:szCs w:val="32"/>
        </w:rPr>
        <w:t>我部门各项目的落地实施均形成了较好成果</w:t>
      </w:r>
      <w:r>
        <w:rPr>
          <w:rFonts w:hint="eastAsia" w:ascii="仿宋" w:hAnsi="仿宋" w:eastAsia="仿宋"/>
          <w:b w:val="0"/>
          <w:bCs w:val="0"/>
          <w:color w:val="auto"/>
          <w:sz w:val="32"/>
          <w:szCs w:val="32"/>
          <w:lang w:eastAsia="zh-CN"/>
        </w:rPr>
        <w:t>。</w:t>
      </w:r>
      <w:r>
        <w:rPr>
          <w:rFonts w:hint="eastAsia" w:ascii="仿宋" w:hAnsi="仿宋" w:eastAsia="仿宋" w:cs="仿宋"/>
          <w:b w:val="0"/>
          <w:bCs w:val="0"/>
          <w:sz w:val="32"/>
          <w:szCs w:val="32"/>
        </w:rPr>
        <w:t>弘扬“人道、博爱、奉献”的红十字精神，加强组织和队伍建设，打牢红十字工作的基础；加大募捐和监督力度，提升红十字工作的公信力；关爱生命健康，扩大红十字工作的影响力；打造志愿服务品牌，提升红十字工作的美誉度；广泛深入宣传，营造红十字工作的良好氛围。</w:t>
      </w:r>
    </w:p>
    <w:p w14:paraId="76756D9D">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（二）</w:t>
      </w:r>
      <w:r>
        <w:rPr>
          <w:rFonts w:hint="eastAsia" w:ascii="仿宋" w:hAnsi="仿宋" w:eastAsia="仿宋" w:cs="仿宋"/>
          <w:b w:val="0"/>
          <w:bCs w:val="0"/>
          <w:sz w:val="32"/>
          <w:szCs w:val="32"/>
          <w:lang w:eastAsia="zh-CN"/>
        </w:rPr>
        <w:t>分项绩效目标实现情况及指标分析</w:t>
      </w:r>
    </w:p>
    <w:p w14:paraId="6290E553">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1.</w:t>
      </w:r>
      <w:r>
        <w:rPr>
          <w:rFonts w:hint="eastAsia" w:ascii="仿宋" w:hAnsi="仿宋" w:eastAsia="仿宋" w:cs="仿宋"/>
          <w:b w:val="0"/>
          <w:bCs w:val="0"/>
          <w:sz w:val="32"/>
          <w:szCs w:val="32"/>
        </w:rPr>
        <w:t>开展应急救援工作。</w:t>
      </w:r>
    </w:p>
    <w:p w14:paraId="141A541E">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绩效目标：设立备灾救灾仓库，储备应急救援备灾救灾物资，增强备灾救灾能力；完成救灾及应急救援任务，提高人道救助能力。</w:t>
      </w:r>
    </w:p>
    <w:p w14:paraId="6504C575">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绩效指标：租赁备灾仓库，面积不低于100平方米；提高社会影响力，得到广大群众的充分认可；群众满意度达到90%以上。</w:t>
      </w:r>
    </w:p>
    <w:p w14:paraId="71111094">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rPr>
        <w:t>开展应急救护工作。</w:t>
      </w:r>
    </w:p>
    <w:p w14:paraId="152F8CD8">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目标：培训中学生应急救护知识，增强学生应急避险意识，掌握应急救护知识技能；培训中小学校初级救护员，提高学校以外突发事件的应对能力。面向群众开展红十字应急救护知识宣传，提高群众自救互就能力；参加石家庄市级应急救护大赛，展示我区应急救护培训成果，提高我区应急救护水平。</w:t>
      </w:r>
    </w:p>
    <w:p w14:paraId="52F0C94B">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指标：培训初级救护员210人，举办初级救护员培训4次，每次培训不少于2天，培训16课时，每人200元；应急救护知识专题讲座200人，举办应急救护知识讲座2次，每人25元；购买应急救护培训盒1000个，应急救护知识普及900人以上，开展应急救护知识普及5次，制作与发放对外宣传品1000份以上；按时完成培训工作任务，提高初级救护员培训合格率，得到广大群众的充分认可，满意度达到90%以上。</w:t>
      </w:r>
    </w:p>
    <w:p w14:paraId="38CB29F9">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3.</w:t>
      </w:r>
      <w:r>
        <w:rPr>
          <w:rFonts w:hint="eastAsia" w:ascii="仿宋" w:hAnsi="仿宋" w:eastAsia="仿宋" w:cs="仿宋"/>
          <w:b w:val="0"/>
          <w:bCs w:val="0"/>
          <w:sz w:val="32"/>
          <w:szCs w:val="32"/>
        </w:rPr>
        <w:t>开展人道救助工作。</w:t>
      </w:r>
    </w:p>
    <w:p w14:paraId="1818AB5E">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绩效目标：在社区建立红十字基层组织；加强公益设施建设，促进社区红十字会基层组织和服务能力建设。</w:t>
      </w:r>
    </w:p>
    <w:p w14:paraId="61A5632B">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指标：红十字社区配备日常老百姓常用且不常备的便民工具、设施和器材，购置放置架、急救箱、折叠梯、轮椅、多功能工具箱等物资，建设红十字书屋，配备相应图书，方便群众阅览，红十字社区投入2万元。按照工作计划，按时完成红十字社区建设。在全区产生影响，得到广大群众认可，社区群众满意度达到90%以上。</w:t>
      </w:r>
    </w:p>
    <w:p w14:paraId="432DBEFE">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4.</w:t>
      </w:r>
      <w:r>
        <w:rPr>
          <w:rFonts w:hint="eastAsia" w:ascii="仿宋" w:hAnsi="仿宋" w:eastAsia="仿宋" w:cs="仿宋"/>
          <w:b w:val="0"/>
          <w:bCs w:val="0"/>
          <w:sz w:val="32"/>
          <w:szCs w:val="32"/>
        </w:rPr>
        <w:t>开展“三献”工作。</w:t>
      </w:r>
    </w:p>
    <w:p w14:paraId="50224F4B">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目标：开加强无偿献血、造血干细胞捐献、遗体和器官捐献工作，提高“三献”工作开展质量；向社会公开宣传招募红十字志愿者，邀请上级进行业务培训，让更多人了解无偿献血政策、造血干细胞知识，扩大红十字影响。</w:t>
      </w:r>
    </w:p>
    <w:p w14:paraId="16549735">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绩效指标：开展无偿献血、造血干细胞及人体和器官捐献等活动对外宣传3次，招募志愿者10人，开展宣传活动产生的影响，得到广大受众的认可，社会影响力和工作满意度达到90%以上。</w:t>
      </w:r>
    </w:p>
    <w:p w14:paraId="21B12B39">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5.</w:t>
      </w:r>
      <w:r>
        <w:rPr>
          <w:rFonts w:hint="eastAsia" w:ascii="仿宋" w:hAnsi="仿宋" w:eastAsia="仿宋" w:cs="仿宋"/>
          <w:b w:val="0"/>
          <w:bCs w:val="0"/>
          <w:sz w:val="32"/>
          <w:szCs w:val="32"/>
        </w:rPr>
        <w:t>开展国际人道援助和志愿者工作。</w:t>
      </w:r>
    </w:p>
    <w:p w14:paraId="363E8C68">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目标：建立红十字青少年工作基层组织，创建学校红十字会，发展红十字青少年会员；开展红十字青少年工作培训，普及红十字运动基本知识；加强红十字志愿服务组织建设，开展志愿服务活动，提升支援服务水平。</w:t>
      </w:r>
    </w:p>
    <w:p w14:paraId="42960F2E">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指标：建立1所学校红十字会；开展常规节日志愿服务活动3次；通过开展红十字青少年防灾避险知识竞赛，对全区红十字事业发展促进推动作用。对开展红十字学校创建、社区群众对红十字志愿服务及参加知识竞赛学生对活动开展情况的满意度达到90%以上。</w:t>
      </w:r>
    </w:p>
    <w:p w14:paraId="42B9B971">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6.</w:t>
      </w:r>
      <w:r>
        <w:rPr>
          <w:rFonts w:hint="eastAsia" w:ascii="仿宋" w:hAnsi="仿宋" w:eastAsia="仿宋" w:cs="仿宋"/>
          <w:b w:val="0"/>
          <w:bCs w:val="0"/>
          <w:sz w:val="32"/>
          <w:szCs w:val="32"/>
        </w:rPr>
        <w:t>开展红十字会综合事务工作。</w:t>
      </w:r>
    </w:p>
    <w:p w14:paraId="6C356927">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绩效目标：订阅红十字报刊、杂志，提高红十字工作领导干部及工作人员的服务意识；开展红十字知识宣传纪念活动，保障红十字事业健康发展。</w:t>
      </w:r>
    </w:p>
    <w:p w14:paraId="117FD23F">
      <w:pPr>
        <w:pStyle w:val="11"/>
        <w:keepNext w:val="0"/>
        <w:keepLines w:val="0"/>
        <w:pageBreakBefore w:val="0"/>
        <w:widowControl w:val="0"/>
        <w:kinsoku/>
        <w:wordWrap/>
        <w:overflowPunct/>
        <w:topLinePunct w:val="0"/>
        <w:autoSpaceDE/>
        <w:autoSpaceDN/>
        <w:bidi w:val="0"/>
        <w:spacing w:line="518" w:lineRule="exact"/>
        <w:textAlignment w:val="auto"/>
        <w:rPr>
          <w:rFonts w:hint="eastAsia" w:ascii="仿宋" w:hAnsi="仿宋" w:eastAsia="仿宋"/>
          <w:b w:val="0"/>
          <w:bCs w:val="0"/>
          <w:sz w:val="32"/>
          <w:szCs w:val="32"/>
        </w:rPr>
      </w:pPr>
      <w:r>
        <w:rPr>
          <w:rFonts w:hint="eastAsia" w:ascii="仿宋" w:hAnsi="仿宋" w:eastAsia="仿宋" w:cs="仿宋"/>
          <w:b w:val="0"/>
          <w:bCs w:val="0"/>
          <w:sz w:val="32"/>
          <w:szCs w:val="32"/>
        </w:rPr>
        <w:t>绩效指标：建订阅红十字报刊杂志不少于6份，开展红十字宣传纪念活动5次，制作发放外宣品400份，在全区产生影响，得到广大受众的充分认可，系列活动参与者满意度达到90%以上。</w:t>
      </w:r>
    </w:p>
    <w:p w14:paraId="41B31B06">
      <w:pPr>
        <w:keepNext w:val="0"/>
        <w:keepLines w:val="0"/>
        <w:pageBreakBefore w:val="0"/>
        <w:widowControl w:val="0"/>
        <w:kinsoku/>
        <w:wordWrap/>
        <w:overflowPunct/>
        <w:topLinePunct w:val="0"/>
        <w:autoSpaceDE/>
        <w:autoSpaceDN/>
        <w:bidi w:val="0"/>
        <w:spacing w:line="518" w:lineRule="exact"/>
        <w:ind w:left="0" w:leftChars="0" w:right="0" w:firstLine="640" w:firstLineChars="200"/>
        <w:textAlignment w:val="auto"/>
        <w:outlineLvl w:val="9"/>
        <w:rPr>
          <w:rFonts w:ascii="黑体" w:hAnsi="黑体" w:eastAsia="黑体"/>
          <w:b w:val="0"/>
          <w:bCs w:val="0"/>
          <w:sz w:val="32"/>
          <w:szCs w:val="32"/>
        </w:rPr>
      </w:pPr>
      <w:r>
        <w:rPr>
          <w:rFonts w:hint="eastAsia" w:ascii="黑体" w:hAnsi="黑体" w:eastAsia="黑体"/>
          <w:b w:val="0"/>
          <w:bCs w:val="0"/>
          <w:sz w:val="32"/>
          <w:szCs w:val="32"/>
        </w:rPr>
        <w:t>四、评价结论和评价等级</w:t>
      </w:r>
    </w:p>
    <w:p w14:paraId="23BF4034">
      <w:pPr>
        <w:keepNext w:val="0"/>
        <w:keepLines w:val="0"/>
        <w:pageBreakBefore w:val="0"/>
        <w:widowControl w:val="0"/>
        <w:kinsoku/>
        <w:wordWrap/>
        <w:overflowPunct/>
        <w:topLinePunct w:val="0"/>
        <w:autoSpaceDE/>
        <w:autoSpaceDN/>
        <w:bidi w:val="0"/>
        <w:spacing w:line="518" w:lineRule="exact"/>
        <w:ind w:left="0" w:leftChars="0" w:right="0" w:firstLine="640" w:firstLineChars="200"/>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根据</w:t>
      </w:r>
      <w:r>
        <w:rPr>
          <w:rFonts w:hint="eastAsia" w:ascii="仿宋" w:hAnsi="仿宋" w:eastAsia="仿宋"/>
          <w:b w:val="0"/>
          <w:bCs w:val="0"/>
          <w:sz w:val="32"/>
          <w:szCs w:val="32"/>
          <w:lang w:eastAsia="zh-CN"/>
        </w:rPr>
        <w:t>部门职责定位和各项工作履职情况进行综合评价</w:t>
      </w:r>
      <w:r>
        <w:rPr>
          <w:rFonts w:hint="eastAsia" w:ascii="仿宋" w:hAnsi="仿宋" w:eastAsia="仿宋"/>
          <w:b w:val="0"/>
          <w:bCs w:val="0"/>
          <w:sz w:val="32"/>
          <w:szCs w:val="32"/>
        </w:rPr>
        <w:t>，给出总得分，满分100分，得出综合绩效评价等级。</w:t>
      </w:r>
      <w:r>
        <w:rPr>
          <w:rFonts w:hint="eastAsia" w:ascii="仿宋" w:hAnsi="仿宋" w:eastAsia="仿宋"/>
          <w:b w:val="0"/>
          <w:bCs w:val="0"/>
          <w:sz w:val="32"/>
          <w:szCs w:val="32"/>
          <w:lang w:eastAsia="zh-CN"/>
        </w:rPr>
        <w:t>部门整体支出</w:t>
      </w:r>
      <w:r>
        <w:rPr>
          <w:rFonts w:hint="eastAsia" w:ascii="仿宋" w:hAnsi="仿宋" w:eastAsia="仿宋"/>
          <w:b w:val="0"/>
          <w:bCs w:val="0"/>
          <w:sz w:val="32"/>
          <w:szCs w:val="32"/>
        </w:rPr>
        <w:t>综合绩效评价分为4个等级：得分</w:t>
      </w:r>
      <w:r>
        <w:rPr>
          <w:rFonts w:ascii="仿宋" w:hAnsi="仿宋" w:eastAsia="仿宋" w:cs="Arial"/>
          <w:b w:val="0"/>
          <w:bCs w:val="0"/>
          <w:sz w:val="32"/>
          <w:szCs w:val="32"/>
        </w:rPr>
        <w:t>≥</w:t>
      </w:r>
      <w:r>
        <w:rPr>
          <w:rFonts w:hint="eastAsia" w:ascii="仿宋" w:hAnsi="仿宋" w:eastAsia="仿宋"/>
          <w:b w:val="0"/>
          <w:bCs w:val="0"/>
          <w:sz w:val="32"/>
          <w:szCs w:val="32"/>
        </w:rPr>
        <w:t>85分为优秀；75</w:t>
      </w:r>
      <w:r>
        <w:rPr>
          <w:rFonts w:ascii="仿宋" w:hAnsi="仿宋" w:eastAsia="仿宋" w:cs="Arial"/>
          <w:b w:val="0"/>
          <w:bCs w:val="0"/>
          <w:sz w:val="32"/>
          <w:szCs w:val="32"/>
        </w:rPr>
        <w:t>≤</w:t>
      </w:r>
      <w:r>
        <w:rPr>
          <w:rFonts w:hint="eastAsia" w:ascii="仿宋" w:hAnsi="仿宋" w:eastAsia="仿宋"/>
          <w:b w:val="0"/>
          <w:bCs w:val="0"/>
          <w:sz w:val="32"/>
          <w:szCs w:val="32"/>
        </w:rPr>
        <w:t>得分＜85分为良好；60</w:t>
      </w:r>
      <w:r>
        <w:rPr>
          <w:rFonts w:ascii="仿宋" w:hAnsi="仿宋" w:eastAsia="仿宋" w:cs="Arial"/>
          <w:b w:val="0"/>
          <w:bCs w:val="0"/>
          <w:sz w:val="32"/>
          <w:szCs w:val="32"/>
        </w:rPr>
        <w:t>≤</w:t>
      </w:r>
      <w:r>
        <w:rPr>
          <w:rFonts w:hint="eastAsia" w:ascii="仿宋" w:hAnsi="仿宋" w:eastAsia="仿宋"/>
          <w:b w:val="0"/>
          <w:bCs w:val="0"/>
          <w:sz w:val="32"/>
          <w:szCs w:val="32"/>
        </w:rPr>
        <w:t>得分＜75分为一般；得分＜60分为较差。</w:t>
      </w:r>
    </w:p>
    <w:p w14:paraId="53B9C66E">
      <w:pPr>
        <w:keepNext w:val="0"/>
        <w:keepLines w:val="0"/>
        <w:pageBreakBefore w:val="0"/>
        <w:widowControl w:val="0"/>
        <w:kinsoku/>
        <w:wordWrap/>
        <w:overflowPunct/>
        <w:topLinePunct w:val="0"/>
        <w:autoSpaceDE/>
        <w:autoSpaceDN/>
        <w:bidi w:val="0"/>
        <w:spacing w:line="518" w:lineRule="exact"/>
        <w:ind w:firstLine="600" w:firstLineChars="200"/>
        <w:textAlignment w:val="auto"/>
        <w:rPr>
          <w:rFonts w:ascii="仿宋" w:hAnsi="仿宋" w:eastAsia="仿宋"/>
          <w:b w:val="0"/>
          <w:bCs w:val="0"/>
          <w:sz w:val="30"/>
          <w:szCs w:val="30"/>
        </w:rPr>
      </w:pPr>
      <w:r>
        <w:rPr>
          <w:rFonts w:hint="eastAsia" w:ascii="仿宋" w:hAnsi="仿宋" w:eastAsia="仿宋"/>
          <w:b w:val="0"/>
          <w:bCs w:val="0"/>
          <w:color w:val="auto"/>
          <w:sz w:val="30"/>
          <w:szCs w:val="30"/>
        </w:rPr>
        <w:t>（一）产出指标（50分）。我部门各项目资金的使用能在规定时</w:t>
      </w:r>
      <w:r>
        <w:rPr>
          <w:rFonts w:hint="eastAsia" w:ascii="仿宋" w:hAnsi="仿宋" w:eastAsia="仿宋"/>
          <w:b w:val="0"/>
          <w:bCs w:val="0"/>
          <w:sz w:val="30"/>
          <w:szCs w:val="30"/>
        </w:rPr>
        <w:t>限内完成，数量和成本指标均在标准范围内。</w:t>
      </w:r>
    </w:p>
    <w:p w14:paraId="0B4C242B">
      <w:pPr>
        <w:keepNext w:val="0"/>
        <w:keepLines w:val="0"/>
        <w:pageBreakBefore w:val="0"/>
        <w:widowControl w:val="0"/>
        <w:kinsoku/>
        <w:wordWrap/>
        <w:overflowPunct/>
        <w:topLinePunct w:val="0"/>
        <w:autoSpaceDE/>
        <w:autoSpaceDN/>
        <w:bidi w:val="0"/>
        <w:spacing w:line="518" w:lineRule="exact"/>
        <w:ind w:firstLine="600" w:firstLineChars="200"/>
        <w:textAlignment w:val="auto"/>
        <w:rPr>
          <w:rFonts w:ascii="仿宋" w:hAnsi="仿宋" w:eastAsia="仿宋"/>
          <w:b w:val="0"/>
          <w:bCs w:val="0"/>
          <w:sz w:val="30"/>
          <w:szCs w:val="30"/>
        </w:rPr>
      </w:pPr>
      <w:r>
        <w:rPr>
          <w:rFonts w:hint="eastAsia" w:ascii="仿宋" w:hAnsi="仿宋" w:eastAsia="仿宋"/>
          <w:b w:val="0"/>
          <w:bCs w:val="0"/>
          <w:sz w:val="30"/>
          <w:szCs w:val="30"/>
        </w:rPr>
        <w:t>（二）效益指标（40分）。我部门绝大部分项目均为民生项目，为提高我区</w:t>
      </w:r>
      <w:r>
        <w:rPr>
          <w:rFonts w:hint="eastAsia" w:ascii="仿宋" w:hAnsi="仿宋" w:eastAsia="仿宋"/>
          <w:b w:val="0"/>
          <w:bCs w:val="0"/>
          <w:sz w:val="30"/>
          <w:szCs w:val="30"/>
          <w:lang w:eastAsia="zh-CN"/>
        </w:rPr>
        <w:t>三救三献工作，</w:t>
      </w:r>
      <w:r>
        <w:rPr>
          <w:rFonts w:hint="eastAsia" w:ascii="仿宋" w:hAnsi="仿宋" w:eastAsia="仿宋"/>
          <w:b w:val="0"/>
          <w:bCs w:val="0"/>
          <w:sz w:val="30"/>
          <w:szCs w:val="30"/>
        </w:rPr>
        <w:t>落实常态化疫情防控，我部门多措并举将各项目落地，经评估项目实施社会效益良好，可持续影响力强，群众满意度高，评估</w:t>
      </w:r>
      <w:r>
        <w:rPr>
          <w:rFonts w:hint="eastAsia" w:ascii="仿宋" w:hAnsi="仿宋" w:eastAsia="仿宋"/>
          <w:b w:val="0"/>
          <w:bCs w:val="0"/>
          <w:sz w:val="30"/>
          <w:szCs w:val="30"/>
          <w:lang w:eastAsia="zh-CN"/>
        </w:rPr>
        <w:t>为优秀</w:t>
      </w:r>
      <w:r>
        <w:rPr>
          <w:rFonts w:hint="eastAsia" w:ascii="仿宋" w:hAnsi="仿宋" w:eastAsia="仿宋"/>
          <w:b w:val="0"/>
          <w:bCs w:val="0"/>
          <w:sz w:val="30"/>
          <w:szCs w:val="30"/>
        </w:rPr>
        <w:t>。</w:t>
      </w:r>
    </w:p>
    <w:p w14:paraId="36810C07">
      <w:pPr>
        <w:keepNext w:val="0"/>
        <w:keepLines w:val="0"/>
        <w:pageBreakBefore w:val="0"/>
        <w:widowControl w:val="0"/>
        <w:kinsoku/>
        <w:wordWrap/>
        <w:overflowPunct/>
        <w:topLinePunct w:val="0"/>
        <w:autoSpaceDE/>
        <w:autoSpaceDN/>
        <w:bidi w:val="0"/>
        <w:spacing w:line="518" w:lineRule="exact"/>
        <w:ind w:left="0" w:leftChars="0" w:right="0" w:firstLine="600" w:firstLineChars="200"/>
        <w:textAlignment w:val="auto"/>
        <w:outlineLvl w:val="9"/>
        <w:rPr>
          <w:rFonts w:hint="eastAsia" w:ascii="仿宋" w:hAnsi="仿宋" w:eastAsia="仿宋"/>
          <w:b w:val="0"/>
          <w:bCs w:val="0"/>
          <w:sz w:val="30"/>
          <w:szCs w:val="30"/>
        </w:rPr>
      </w:pPr>
      <w:r>
        <w:rPr>
          <w:rFonts w:hint="eastAsia" w:ascii="仿宋" w:hAnsi="仿宋" w:eastAsia="仿宋"/>
          <w:b w:val="0"/>
          <w:bCs w:val="0"/>
          <w:sz w:val="30"/>
          <w:szCs w:val="30"/>
        </w:rPr>
        <w:t>（三）满意度指标（10分）。经评估，群众满意度高，评估</w:t>
      </w:r>
      <w:r>
        <w:rPr>
          <w:rFonts w:hint="eastAsia" w:ascii="仿宋" w:hAnsi="仿宋" w:eastAsia="仿宋"/>
          <w:b w:val="0"/>
          <w:bCs w:val="0"/>
          <w:sz w:val="30"/>
          <w:szCs w:val="30"/>
          <w:lang w:eastAsia="zh-CN"/>
        </w:rPr>
        <w:t>为优秀</w:t>
      </w:r>
      <w:r>
        <w:rPr>
          <w:rFonts w:hint="eastAsia" w:ascii="仿宋" w:hAnsi="仿宋" w:eastAsia="仿宋"/>
          <w:b w:val="0"/>
          <w:bCs w:val="0"/>
          <w:sz w:val="30"/>
          <w:szCs w:val="30"/>
        </w:rPr>
        <w:t>。</w:t>
      </w:r>
    </w:p>
    <w:p w14:paraId="7910D8E7">
      <w:pPr>
        <w:keepNext w:val="0"/>
        <w:keepLines w:val="0"/>
        <w:pageBreakBefore w:val="0"/>
        <w:widowControl w:val="0"/>
        <w:kinsoku/>
        <w:wordWrap/>
        <w:overflowPunct/>
        <w:topLinePunct w:val="0"/>
        <w:autoSpaceDE/>
        <w:autoSpaceDN/>
        <w:bidi w:val="0"/>
        <w:spacing w:line="518" w:lineRule="exact"/>
        <w:ind w:left="0" w:leftChars="0" w:right="0" w:firstLine="640" w:firstLineChars="200"/>
        <w:textAlignment w:val="auto"/>
        <w:outlineLvl w:val="9"/>
        <w:rPr>
          <w:rFonts w:ascii="黑体" w:hAnsi="黑体" w:eastAsia="黑体"/>
          <w:b w:val="0"/>
          <w:bCs w:val="0"/>
          <w:sz w:val="32"/>
          <w:szCs w:val="32"/>
        </w:rPr>
      </w:pPr>
      <w:r>
        <w:rPr>
          <w:rFonts w:hint="eastAsia" w:ascii="黑体" w:hAnsi="黑体" w:eastAsia="黑体"/>
          <w:b w:val="0"/>
          <w:bCs w:val="0"/>
          <w:sz w:val="32"/>
          <w:szCs w:val="32"/>
        </w:rPr>
        <w:t>五、存在的问题及改进措施</w:t>
      </w:r>
    </w:p>
    <w:p w14:paraId="3831517F">
      <w:pPr>
        <w:keepNext w:val="0"/>
        <w:keepLines w:val="0"/>
        <w:pageBreakBefore w:val="0"/>
        <w:widowControl w:val="0"/>
        <w:kinsoku/>
        <w:wordWrap/>
        <w:overflowPunct/>
        <w:topLinePunct w:val="0"/>
        <w:autoSpaceDE/>
        <w:autoSpaceDN/>
        <w:bidi w:val="0"/>
        <w:spacing w:line="518" w:lineRule="exact"/>
        <w:ind w:left="0" w:leftChars="0" w:right="0" w:firstLine="640" w:firstLineChars="200"/>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（一）存在的主要问题</w:t>
      </w:r>
    </w:p>
    <w:p w14:paraId="30E27F10">
      <w:pPr>
        <w:keepNext w:val="0"/>
        <w:keepLines w:val="0"/>
        <w:pageBreakBefore w:val="0"/>
        <w:widowControl w:val="0"/>
        <w:kinsoku/>
        <w:wordWrap/>
        <w:overflowPunct/>
        <w:topLinePunct w:val="0"/>
        <w:autoSpaceDE/>
        <w:autoSpaceDN/>
        <w:bidi w:val="0"/>
        <w:spacing w:line="518" w:lineRule="exact"/>
        <w:ind w:left="0" w:leftChars="0" w:right="0" w:firstLine="640" w:firstLineChars="200"/>
        <w:textAlignment w:val="auto"/>
        <w:outlineLvl w:val="9"/>
        <w:rPr>
          <w:rFonts w:hint="eastAsia" w:ascii="仿宋" w:hAnsi="仿宋" w:eastAsia="仿宋"/>
          <w:b w:val="0"/>
          <w:bCs w:val="0"/>
          <w:sz w:val="32"/>
          <w:szCs w:val="32"/>
          <w:lang w:eastAsia="zh-CN"/>
        </w:rPr>
      </w:pPr>
      <w:r>
        <w:rPr>
          <w:rFonts w:hint="eastAsia" w:ascii="仿宋" w:hAnsi="仿宋" w:eastAsia="仿宋"/>
          <w:b w:val="0"/>
          <w:bCs w:val="0"/>
          <w:sz w:val="32"/>
          <w:szCs w:val="32"/>
          <w:lang w:eastAsia="zh-CN"/>
        </w:rPr>
        <w:t>无</w:t>
      </w:r>
    </w:p>
    <w:p w14:paraId="37784E68">
      <w:pPr>
        <w:keepNext w:val="0"/>
        <w:keepLines w:val="0"/>
        <w:pageBreakBefore w:val="0"/>
        <w:widowControl w:val="0"/>
        <w:numPr>
          <w:ilvl w:val="0"/>
          <w:numId w:val="1"/>
        </w:numPr>
        <w:kinsoku/>
        <w:wordWrap/>
        <w:overflowPunct/>
        <w:topLinePunct w:val="0"/>
        <w:autoSpaceDE/>
        <w:autoSpaceDN/>
        <w:bidi w:val="0"/>
        <w:spacing w:line="518" w:lineRule="exact"/>
        <w:ind w:left="0" w:leftChars="0" w:right="0" w:firstLine="640" w:firstLineChars="200"/>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针对问题提出具体的改进措施或建议</w:t>
      </w:r>
    </w:p>
    <w:p w14:paraId="65A92F66">
      <w:pPr>
        <w:keepNext w:val="0"/>
        <w:keepLines w:val="0"/>
        <w:pageBreakBefore w:val="0"/>
        <w:widowControl w:val="0"/>
        <w:numPr>
          <w:ilvl w:val="0"/>
          <w:numId w:val="0"/>
        </w:numPr>
        <w:kinsoku/>
        <w:wordWrap/>
        <w:overflowPunct/>
        <w:topLinePunct w:val="0"/>
        <w:autoSpaceDE/>
        <w:autoSpaceDN/>
        <w:bidi w:val="0"/>
        <w:spacing w:line="518" w:lineRule="exact"/>
        <w:ind w:right="0" w:rightChars="0"/>
        <w:textAlignment w:val="auto"/>
        <w:outlineLvl w:val="9"/>
        <w:rPr>
          <w:rFonts w:hint="default" w:ascii="仿宋" w:hAnsi="仿宋" w:eastAsia="仿宋"/>
          <w:b w:val="0"/>
          <w:bCs w:val="0"/>
          <w:sz w:val="32"/>
          <w:szCs w:val="32"/>
          <w:lang w:val="en-US" w:eastAsia="zh-CN"/>
        </w:rPr>
      </w:pPr>
      <w:r>
        <w:rPr>
          <w:rFonts w:hint="eastAsia" w:ascii="仿宋" w:hAnsi="仿宋" w:eastAsia="仿宋"/>
          <w:b w:val="0"/>
          <w:bCs w:val="0"/>
          <w:sz w:val="32"/>
          <w:szCs w:val="32"/>
          <w:lang w:val="en-US" w:eastAsia="zh-CN"/>
        </w:rPr>
        <w:t xml:space="preserve">    无</w:t>
      </w:r>
    </w:p>
    <w:p w14:paraId="21070B83">
      <w:pPr>
        <w:keepNext w:val="0"/>
        <w:keepLines w:val="0"/>
        <w:pageBreakBefore w:val="0"/>
        <w:widowControl w:val="0"/>
        <w:kinsoku/>
        <w:wordWrap/>
        <w:overflowPunct/>
        <w:topLinePunct w:val="0"/>
        <w:autoSpaceDE/>
        <w:autoSpaceDN/>
        <w:bidi w:val="0"/>
        <w:adjustRightInd w:val="0"/>
        <w:snapToGrid w:val="0"/>
        <w:spacing w:line="518" w:lineRule="exact"/>
        <w:ind w:left="0" w:leftChars="0" w:right="0" w:firstLine="640" w:firstLineChars="200"/>
        <w:textAlignment w:val="auto"/>
        <w:outlineLvl w:val="9"/>
        <w:rPr>
          <w:rFonts w:hint="eastAsia" w:ascii="黑体" w:hAnsi="黑体" w:eastAsia="黑体" w:cs="黑体"/>
          <w:b w:val="0"/>
          <w:bCs w:val="0"/>
          <w:sz w:val="32"/>
          <w:szCs w:val="32"/>
        </w:rPr>
      </w:pPr>
      <w:r>
        <w:rPr>
          <w:rFonts w:hint="eastAsia" w:ascii="黑体" w:hAnsi="黑体" w:eastAsia="黑体" w:cs="黑体"/>
          <w:b w:val="0"/>
          <w:bCs w:val="0"/>
          <w:sz w:val="32"/>
          <w:szCs w:val="32"/>
        </w:rPr>
        <w:t>六、评价工作组人员名单及签字（姓名、工作单位、职务、职称）</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A44802">
    <w:pPr>
      <w:pStyle w:val="2"/>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96D3CE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696D3CE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M2NWYxN2I4OWVmMWUzYmE4MGJiZTdiNTczMGVhNjYifQ=="/>
  </w:docVars>
  <w:rsids>
    <w:rsidRoot w:val="0EBD2122"/>
    <w:rsid w:val="007E6C1F"/>
    <w:rsid w:val="00975D66"/>
    <w:rsid w:val="009F3830"/>
    <w:rsid w:val="00AF566A"/>
    <w:rsid w:val="00B6553A"/>
    <w:rsid w:val="00E645F8"/>
    <w:rsid w:val="014F088E"/>
    <w:rsid w:val="01B104CA"/>
    <w:rsid w:val="01B97F5E"/>
    <w:rsid w:val="01DA6BFB"/>
    <w:rsid w:val="02106AB0"/>
    <w:rsid w:val="026659F0"/>
    <w:rsid w:val="02B43A28"/>
    <w:rsid w:val="03B1493A"/>
    <w:rsid w:val="046F331E"/>
    <w:rsid w:val="050551FA"/>
    <w:rsid w:val="05724E4C"/>
    <w:rsid w:val="05EB5EDA"/>
    <w:rsid w:val="05FA2ED0"/>
    <w:rsid w:val="061A7B87"/>
    <w:rsid w:val="07956271"/>
    <w:rsid w:val="09060CCF"/>
    <w:rsid w:val="09721397"/>
    <w:rsid w:val="0A6D5774"/>
    <w:rsid w:val="0B5A2A7D"/>
    <w:rsid w:val="0BB63BED"/>
    <w:rsid w:val="0C917B0E"/>
    <w:rsid w:val="0D430A63"/>
    <w:rsid w:val="0D53487E"/>
    <w:rsid w:val="0E4E7E7B"/>
    <w:rsid w:val="0EB97A43"/>
    <w:rsid w:val="0EBD2122"/>
    <w:rsid w:val="0F1964BE"/>
    <w:rsid w:val="0F214EAE"/>
    <w:rsid w:val="10172A20"/>
    <w:rsid w:val="10F20D97"/>
    <w:rsid w:val="119B31DD"/>
    <w:rsid w:val="11B71E6A"/>
    <w:rsid w:val="1528122B"/>
    <w:rsid w:val="15C75EE7"/>
    <w:rsid w:val="162D644C"/>
    <w:rsid w:val="1720647E"/>
    <w:rsid w:val="18E91842"/>
    <w:rsid w:val="19A17D23"/>
    <w:rsid w:val="1AAF0063"/>
    <w:rsid w:val="1ADC2775"/>
    <w:rsid w:val="1BE140DE"/>
    <w:rsid w:val="1DDF7A40"/>
    <w:rsid w:val="1FC55FF4"/>
    <w:rsid w:val="20612441"/>
    <w:rsid w:val="21771570"/>
    <w:rsid w:val="22113B54"/>
    <w:rsid w:val="22C04D77"/>
    <w:rsid w:val="239E5F03"/>
    <w:rsid w:val="248C197D"/>
    <w:rsid w:val="24EA3E07"/>
    <w:rsid w:val="252959AF"/>
    <w:rsid w:val="277A6671"/>
    <w:rsid w:val="292D35B7"/>
    <w:rsid w:val="2A594280"/>
    <w:rsid w:val="2B286A75"/>
    <w:rsid w:val="2C0D4D5A"/>
    <w:rsid w:val="2DAE356F"/>
    <w:rsid w:val="2E6B420B"/>
    <w:rsid w:val="2F385B07"/>
    <w:rsid w:val="2FAD43AF"/>
    <w:rsid w:val="31C561C1"/>
    <w:rsid w:val="321815D1"/>
    <w:rsid w:val="334F7D9B"/>
    <w:rsid w:val="33860ED9"/>
    <w:rsid w:val="33EB6CFF"/>
    <w:rsid w:val="350B3B5F"/>
    <w:rsid w:val="358F4C83"/>
    <w:rsid w:val="35A12947"/>
    <w:rsid w:val="36E10416"/>
    <w:rsid w:val="37387040"/>
    <w:rsid w:val="37D32AC6"/>
    <w:rsid w:val="3842422E"/>
    <w:rsid w:val="38C74D5D"/>
    <w:rsid w:val="38E761EC"/>
    <w:rsid w:val="394B6E0F"/>
    <w:rsid w:val="3A55796F"/>
    <w:rsid w:val="3AD57913"/>
    <w:rsid w:val="3AF75099"/>
    <w:rsid w:val="3B625C0A"/>
    <w:rsid w:val="3B806E1C"/>
    <w:rsid w:val="3CEE1963"/>
    <w:rsid w:val="3DB441DE"/>
    <w:rsid w:val="40B3559D"/>
    <w:rsid w:val="410F0A26"/>
    <w:rsid w:val="43430E5B"/>
    <w:rsid w:val="437B6846"/>
    <w:rsid w:val="43E160A4"/>
    <w:rsid w:val="44753296"/>
    <w:rsid w:val="46440B86"/>
    <w:rsid w:val="46EF0D2A"/>
    <w:rsid w:val="484A67E7"/>
    <w:rsid w:val="495F4E09"/>
    <w:rsid w:val="496D465E"/>
    <w:rsid w:val="4AB23A41"/>
    <w:rsid w:val="4AD12E5A"/>
    <w:rsid w:val="4BAF79DD"/>
    <w:rsid w:val="4BC40018"/>
    <w:rsid w:val="4BFC46B4"/>
    <w:rsid w:val="4C0E5B16"/>
    <w:rsid w:val="4C3B1BD6"/>
    <w:rsid w:val="4C466676"/>
    <w:rsid w:val="4C97227E"/>
    <w:rsid w:val="4C9C27FE"/>
    <w:rsid w:val="4CC665C8"/>
    <w:rsid w:val="4DCA1BB7"/>
    <w:rsid w:val="512260B4"/>
    <w:rsid w:val="51BF5ACB"/>
    <w:rsid w:val="52BD6ACB"/>
    <w:rsid w:val="53E2646E"/>
    <w:rsid w:val="55537534"/>
    <w:rsid w:val="561A74F1"/>
    <w:rsid w:val="588D5626"/>
    <w:rsid w:val="58D41BFE"/>
    <w:rsid w:val="58FB7AAC"/>
    <w:rsid w:val="597244E8"/>
    <w:rsid w:val="597E40F8"/>
    <w:rsid w:val="5A461916"/>
    <w:rsid w:val="5A7C4F26"/>
    <w:rsid w:val="5C4C6F93"/>
    <w:rsid w:val="5E421FE3"/>
    <w:rsid w:val="5EB71C30"/>
    <w:rsid w:val="61241E74"/>
    <w:rsid w:val="61CD6067"/>
    <w:rsid w:val="655C2766"/>
    <w:rsid w:val="667E63D5"/>
    <w:rsid w:val="66AF0CE5"/>
    <w:rsid w:val="67C9107F"/>
    <w:rsid w:val="68C22A13"/>
    <w:rsid w:val="695F613F"/>
    <w:rsid w:val="696C75A4"/>
    <w:rsid w:val="6A171656"/>
    <w:rsid w:val="6A91553D"/>
    <w:rsid w:val="6AC537CF"/>
    <w:rsid w:val="6BD57F80"/>
    <w:rsid w:val="6CEA1EDF"/>
    <w:rsid w:val="6CF738B6"/>
    <w:rsid w:val="6D9B3AD4"/>
    <w:rsid w:val="6E3336CF"/>
    <w:rsid w:val="6E5B14A6"/>
    <w:rsid w:val="6F29122F"/>
    <w:rsid w:val="6FC104BF"/>
    <w:rsid w:val="70A81A46"/>
    <w:rsid w:val="70CF66BA"/>
    <w:rsid w:val="711B255E"/>
    <w:rsid w:val="7317199D"/>
    <w:rsid w:val="75DD0891"/>
    <w:rsid w:val="76301E26"/>
    <w:rsid w:val="769E2054"/>
    <w:rsid w:val="794C0A82"/>
    <w:rsid w:val="795A6B7F"/>
    <w:rsid w:val="7B8B5BE7"/>
    <w:rsid w:val="7BB51E06"/>
    <w:rsid w:val="7C387F7C"/>
    <w:rsid w:val="7D537911"/>
    <w:rsid w:val="7E5E1837"/>
    <w:rsid w:val="7F9F5B66"/>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6">
    <w:name w:val="page number"/>
    <w:basedOn w:val="5"/>
    <w:qFormat/>
    <w:uiPriority w:val="0"/>
  </w:style>
  <w:style w:type="paragraph" w:customStyle="1" w:styleId="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3265</Words>
  <Characters>3357</Characters>
  <Lines>7</Lines>
  <Paragraphs>2</Paragraphs>
  <TotalTime>3</TotalTime>
  <ScaleCrop>false</ScaleCrop>
  <LinksUpToDate>false</LinksUpToDate>
  <CharactersWithSpaces>3374</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2022-01-19T07:24:00Z</cp:lastPrinted>
  <dcterms:modified xsi:type="dcterms:W3CDTF">2024-07-04T14:39:59Z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64A47C3E53D743CEA4DF7187FD64DE8E_12</vt:lpwstr>
  </property>
</Properties>
</file>