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right="0" w:rightChars="0"/>
        <w:jc w:val="both"/>
        <w:textAlignment w:val="auto"/>
        <w:outlineLvl w:val="9"/>
        <w:rPr>
          <w:rFonts w:hint="eastAsia" w:ascii="黑体" w:hAnsi="黑体" w:eastAsia="黑体" w:cs="黑体"/>
          <w:b w:val="0"/>
          <w:bCs w:val="0"/>
          <w:sz w:val="32"/>
          <w:szCs w:val="32"/>
          <w:lang w:val="en-US" w:eastAsia="zh-CN"/>
        </w:rPr>
      </w:pPr>
    </w:p>
    <w:p>
      <w:pPr>
        <w:spacing w:line="360" w:lineRule="auto"/>
        <w:ind w:left="0" w:leftChars="0" w:right="0" w:rightChars="0" w:firstLine="0" w:firstLineChars="0"/>
        <w:jc w:val="center"/>
        <w:rPr>
          <w:rFonts w:hint="eastAsia" w:ascii="华文楷体" w:eastAsia="华文楷体"/>
          <w:sz w:val="32"/>
          <w:szCs w:val="32"/>
          <w:lang w:eastAsia="zh-CN"/>
        </w:rPr>
      </w:pPr>
      <w:r>
        <w:rPr>
          <w:rFonts w:hint="eastAsia" w:ascii="宋体"/>
          <w:b/>
          <w:bCs/>
          <w:sz w:val="36"/>
          <w:szCs w:val="32"/>
          <w:lang w:eastAsia="zh-CN"/>
        </w:rPr>
        <w:t>宗教工作项目</w:t>
      </w:r>
      <w:r>
        <w:rPr>
          <w:rFonts w:hint="eastAsia" w:ascii="宋体"/>
          <w:b/>
          <w:bCs/>
          <w:sz w:val="36"/>
          <w:szCs w:val="32"/>
        </w:rPr>
        <w:t>绩效评价报告</w:t>
      </w:r>
    </w:p>
    <w:p>
      <w:pPr>
        <w:spacing w:line="360" w:lineRule="auto"/>
        <w:ind w:left="0" w:leftChars="0" w:right="0" w:rightChars="0" w:firstLine="0" w:firstLineChars="0"/>
        <w:jc w:val="center"/>
        <w:rPr>
          <w:rFonts w:hint="eastAsia" w:ascii="仿宋" w:hAnsi="仿宋" w:eastAsia="仿宋" w:cs="仿宋"/>
          <w:sz w:val="32"/>
          <w:szCs w:val="32"/>
          <w:lang w:eastAsia="zh-CN"/>
        </w:rPr>
      </w:pPr>
    </w:p>
    <w:p>
      <w:pPr>
        <w:spacing w:line="360" w:lineRule="auto"/>
        <w:ind w:left="0" w:leftChars="0" w:right="0" w:rightChars="0" w:firstLine="0" w:firstLineChars="0"/>
        <w:jc w:val="center"/>
        <w:rPr>
          <w:rFonts w:hint="eastAsia" w:ascii="华文楷体" w:eastAsia="华文楷体"/>
          <w:sz w:val="32"/>
          <w:szCs w:val="32"/>
          <w:lang w:eastAsia="zh-CN"/>
        </w:rPr>
      </w:pPr>
    </w:p>
    <w:p>
      <w:pPr>
        <w:adjustRightInd w:val="0"/>
        <w:snapToGrid w:val="0"/>
        <w:spacing w:line="360" w:lineRule="auto"/>
        <w:ind w:firstLine="640" w:firstLineChars="200"/>
        <w:rPr>
          <w:rFonts w:hint="eastAsia" w:ascii="仿宋_GB2312" w:eastAsia="仿宋_GB2312"/>
          <w:sz w:val="32"/>
          <w:szCs w:val="32"/>
        </w:rPr>
      </w:pPr>
      <w:r>
        <w:rPr>
          <w:rFonts w:hint="eastAsia" w:ascii="仿宋_GB2312" w:eastAsia="仿宋_GB2312"/>
          <w:sz w:val="32"/>
          <w:szCs w:val="32"/>
        </w:rPr>
        <w:t>根据《</w:t>
      </w:r>
      <w:r>
        <w:rPr>
          <w:rFonts w:hint="eastAsia" w:ascii="仿宋_GB2312" w:eastAsia="仿宋_GB2312"/>
          <w:sz w:val="32"/>
          <w:szCs w:val="32"/>
          <w:lang w:eastAsia="zh-CN"/>
        </w:rPr>
        <w:t>石家庄市鹿泉区区级部门预算绩效管理办法</w:t>
      </w:r>
      <w:r>
        <w:rPr>
          <w:rFonts w:hint="eastAsia" w:ascii="仿宋_GB2312" w:eastAsia="仿宋_GB2312"/>
          <w:sz w:val="32"/>
          <w:szCs w:val="32"/>
        </w:rPr>
        <w:t>》</w:t>
      </w:r>
      <w:r>
        <w:rPr>
          <w:rFonts w:hint="eastAsia" w:ascii="仿宋_GB2312" w:eastAsia="仿宋_GB2312"/>
          <w:sz w:val="32"/>
          <w:szCs w:val="32"/>
          <w:lang w:eastAsia="zh-CN"/>
        </w:rPr>
        <w:t>（鹿</w:t>
      </w:r>
      <w:r>
        <w:rPr>
          <w:rFonts w:hint="eastAsia" w:ascii="仿宋_GB2312" w:eastAsia="仿宋_GB2312"/>
          <w:sz w:val="32"/>
          <w:szCs w:val="32"/>
          <w:lang w:val="en-US" w:eastAsia="zh-CN"/>
        </w:rPr>
        <w:t>财字[2019]65号）</w:t>
      </w:r>
      <w:r>
        <w:rPr>
          <w:rFonts w:hint="eastAsia" w:ascii="仿宋_GB2312" w:eastAsia="仿宋_GB2312"/>
          <w:sz w:val="32"/>
          <w:szCs w:val="32"/>
        </w:rPr>
        <w:t>，遵循“科学性、规范性、客观性和公正性”的原则，对</w:t>
      </w:r>
      <w:r>
        <w:rPr>
          <w:rFonts w:hint="eastAsia" w:ascii="仿宋_GB2312" w:eastAsia="仿宋_GB2312"/>
          <w:sz w:val="32"/>
          <w:szCs w:val="32"/>
          <w:lang w:eastAsia="zh-CN"/>
        </w:rPr>
        <w:t>宗教工作项目</w:t>
      </w:r>
      <w:r>
        <w:rPr>
          <w:rFonts w:hint="eastAsia" w:ascii="仿宋_GB2312" w:eastAsia="仿宋_GB2312"/>
          <w:sz w:val="32"/>
          <w:szCs w:val="32"/>
        </w:rPr>
        <w:t>实施了</w:t>
      </w:r>
      <w:r>
        <w:rPr>
          <w:rFonts w:hint="eastAsia" w:ascii="仿宋_GB2312" w:eastAsia="仿宋_GB2312"/>
          <w:sz w:val="32"/>
          <w:szCs w:val="32"/>
          <w:lang w:eastAsia="zh-CN"/>
        </w:rPr>
        <w:t>绩效</w:t>
      </w:r>
      <w:r>
        <w:rPr>
          <w:rFonts w:hint="eastAsia" w:ascii="仿宋_GB2312" w:eastAsia="仿宋_GB2312"/>
          <w:sz w:val="32"/>
          <w:szCs w:val="32"/>
        </w:rPr>
        <w:t>评价，形成本评价报告。</w:t>
      </w:r>
    </w:p>
    <w:p>
      <w:pPr>
        <w:adjustRightInd w:val="0"/>
        <w:snapToGrid w:val="0"/>
        <w:spacing w:line="360" w:lineRule="auto"/>
        <w:rPr>
          <w:rFonts w:hint="eastAsia" w:ascii="黑体" w:eastAsia="黑体"/>
          <w:b/>
          <w:bCs/>
          <w:sz w:val="32"/>
          <w:szCs w:val="36"/>
        </w:rPr>
      </w:pPr>
      <w:r>
        <w:rPr>
          <w:rFonts w:hint="eastAsia" w:ascii="黑体" w:eastAsia="黑体"/>
          <w:sz w:val="32"/>
          <w:szCs w:val="32"/>
          <w:lang w:val="en-US" w:eastAsia="zh-CN"/>
        </w:rPr>
        <w:t xml:space="preserve">    </w:t>
      </w:r>
      <w:r>
        <w:rPr>
          <w:rFonts w:hint="eastAsia" w:ascii="黑体" w:eastAsia="黑体"/>
          <w:b w:val="0"/>
          <w:bCs w:val="0"/>
          <w:sz w:val="32"/>
          <w:szCs w:val="32"/>
        </w:rPr>
        <w:t>一、</w:t>
      </w:r>
      <w:r>
        <w:rPr>
          <w:rFonts w:hint="eastAsia" w:ascii="黑体" w:eastAsia="黑体"/>
          <w:b w:val="0"/>
          <w:bCs w:val="0"/>
          <w:sz w:val="32"/>
          <w:szCs w:val="32"/>
          <w:lang w:eastAsia="zh-CN"/>
        </w:rPr>
        <w:t>项目</w:t>
      </w:r>
      <w:r>
        <w:rPr>
          <w:rFonts w:hint="eastAsia" w:ascii="黑体" w:eastAsia="黑体"/>
          <w:b w:val="0"/>
          <w:bCs w:val="0"/>
          <w:sz w:val="32"/>
          <w:szCs w:val="36"/>
        </w:rPr>
        <w:t>基本情况</w:t>
      </w:r>
    </w:p>
    <w:p>
      <w:pPr>
        <w:adjustRightInd w:val="0"/>
        <w:snapToGrid w:val="0"/>
        <w:spacing w:line="360" w:lineRule="auto"/>
        <w:ind w:firstLine="640" w:firstLineChars="200"/>
        <w:rPr>
          <w:rFonts w:hint="eastAsia" w:ascii="楷体_GB2312" w:hAnsi="楷体_GB2312" w:eastAsia="楷体_GB2312" w:cs="楷体_GB2312"/>
          <w:b w:val="0"/>
          <w:bCs w:val="0"/>
          <w:sz w:val="32"/>
          <w:szCs w:val="32"/>
        </w:rPr>
      </w:pPr>
      <w:r>
        <w:rPr>
          <w:rFonts w:hint="eastAsia" w:ascii="楷体_GB2312" w:hAnsi="楷体_GB2312" w:eastAsia="楷体_GB2312" w:cs="楷体_GB2312"/>
          <w:b w:val="0"/>
          <w:bCs w:val="0"/>
          <w:sz w:val="32"/>
          <w:szCs w:val="32"/>
        </w:rPr>
        <w:t>（一）项目概况</w:t>
      </w:r>
    </w:p>
    <w:p>
      <w:pPr>
        <w:adjustRightInd w:val="0"/>
        <w:snapToGrid w:val="0"/>
        <w:spacing w:line="360" w:lineRule="auto"/>
        <w:ind w:firstLine="640" w:firstLineChars="200"/>
        <w:rPr>
          <w:rFonts w:hint="eastAsia" w:ascii="仿宋_GB2312" w:eastAsia="仿宋_GB2312"/>
          <w:sz w:val="32"/>
          <w:szCs w:val="32"/>
          <w:lang w:eastAsia="zh-CN"/>
        </w:rPr>
      </w:pPr>
      <w:r>
        <w:rPr>
          <w:rFonts w:hint="eastAsia" w:ascii="仿宋_GB2312" w:eastAsia="仿宋_GB2312"/>
          <w:sz w:val="32"/>
          <w:szCs w:val="32"/>
          <w:lang w:val="en-US" w:eastAsia="zh-CN"/>
        </w:rPr>
        <w:t xml:space="preserve"> </w:t>
      </w:r>
      <w:r>
        <w:rPr>
          <w:rFonts w:hint="eastAsia" w:ascii="仿宋_GB2312" w:eastAsia="仿宋_GB2312"/>
          <w:sz w:val="32"/>
          <w:szCs w:val="32"/>
        </w:rPr>
        <w:t>1</w:t>
      </w:r>
      <w:r>
        <w:rPr>
          <w:rFonts w:hint="eastAsia" w:ascii="仿宋_GB2312" w:eastAsia="仿宋_GB2312"/>
          <w:sz w:val="32"/>
          <w:szCs w:val="32"/>
          <w:lang w:val="en-US" w:eastAsia="zh-CN"/>
        </w:rPr>
        <w:t>.</w:t>
      </w:r>
      <w:r>
        <w:rPr>
          <w:rFonts w:hint="eastAsia" w:ascii="仿宋_GB2312" w:eastAsia="仿宋_GB2312"/>
          <w:sz w:val="32"/>
          <w:szCs w:val="32"/>
          <w:lang w:eastAsia="zh-CN"/>
        </w:rPr>
        <w:t>项目实施单位及项目立项等基本情况；</w:t>
      </w:r>
    </w:p>
    <w:p>
      <w:pPr>
        <w:adjustRightInd w:val="0"/>
        <w:snapToGrid w:val="0"/>
        <w:spacing w:line="360" w:lineRule="auto"/>
        <w:ind w:firstLine="640" w:firstLineChars="200"/>
        <w:rPr>
          <w:rFonts w:hint="default" w:ascii="仿宋_GB2312" w:eastAsia="仿宋_GB2312"/>
          <w:sz w:val="32"/>
          <w:szCs w:val="32"/>
          <w:lang w:val="en-US" w:eastAsia="zh-CN"/>
        </w:rPr>
      </w:pPr>
      <w:r>
        <w:rPr>
          <w:rFonts w:hint="eastAsia" w:ascii="仿宋_GB2312" w:eastAsia="仿宋_GB2312"/>
          <w:sz w:val="32"/>
          <w:szCs w:val="32"/>
          <w:lang w:eastAsia="zh-CN"/>
        </w:rPr>
        <w:t>本项目实施单位为鹿泉区委统战部，涉及全区宗教工作开展。该项目经过集体研究决策，具有可行性。</w:t>
      </w:r>
    </w:p>
    <w:p>
      <w:pPr>
        <w:numPr>
          <w:ilvl w:val="0"/>
          <w:numId w:val="1"/>
        </w:numPr>
        <w:tabs>
          <w:tab w:val="left" w:pos="312"/>
        </w:tabs>
        <w:adjustRightInd w:val="0"/>
        <w:snapToGrid w:val="0"/>
        <w:spacing w:line="360" w:lineRule="auto"/>
        <w:ind w:left="800" w:leftChars="0" w:firstLine="0" w:firstLineChars="0"/>
        <w:rPr>
          <w:rFonts w:hint="eastAsia" w:ascii="仿宋_GB2312" w:eastAsia="仿宋_GB2312"/>
          <w:sz w:val="32"/>
          <w:szCs w:val="32"/>
          <w:lang w:val="en-US" w:eastAsia="zh-CN"/>
        </w:rPr>
      </w:pPr>
      <w:r>
        <w:rPr>
          <w:rFonts w:hint="eastAsia" w:ascii="仿宋_GB2312" w:eastAsia="仿宋_GB2312"/>
          <w:sz w:val="32"/>
          <w:szCs w:val="32"/>
          <w:lang w:val="en-US" w:eastAsia="zh-CN"/>
        </w:rPr>
        <w:t>项目主要实施内容和范围；</w:t>
      </w:r>
    </w:p>
    <w:p>
      <w:pPr>
        <w:numPr>
          <w:ilvl w:val="0"/>
          <w:numId w:val="0"/>
        </w:numPr>
        <w:tabs>
          <w:tab w:val="clear" w:pos="312"/>
        </w:tabs>
        <w:adjustRightInd w:val="0"/>
        <w:snapToGrid w:val="0"/>
        <w:spacing w:line="360" w:lineRule="auto"/>
        <w:ind w:left="0" w:leftChars="0" w:firstLine="640" w:firstLineChars="200"/>
        <w:rPr>
          <w:rFonts w:hint="eastAsia" w:ascii="仿宋_GB2312" w:eastAsia="仿宋_GB2312"/>
          <w:sz w:val="32"/>
          <w:szCs w:val="32"/>
          <w:lang w:val="en-US" w:eastAsia="zh-CN"/>
        </w:rPr>
      </w:pPr>
      <w:r>
        <w:rPr>
          <w:rFonts w:hint="eastAsia" w:ascii="仿宋_GB2312" w:eastAsia="仿宋_GB2312"/>
          <w:sz w:val="32"/>
          <w:szCs w:val="32"/>
          <w:lang w:val="en-US" w:eastAsia="zh-CN"/>
        </w:rPr>
        <w:t>贯彻落实党的民族宗教工作方针和政策，拟定民族宗教工作的措施并督导落实，协调处理民族宗教工作中的重大问题，全面促进民族宗教事业发展，维护全区民族宗教领域和谐稳定。</w:t>
      </w:r>
    </w:p>
    <w:p>
      <w:pPr>
        <w:numPr>
          <w:ilvl w:val="0"/>
          <w:numId w:val="1"/>
        </w:numPr>
        <w:tabs>
          <w:tab w:val="left" w:pos="312"/>
        </w:tabs>
        <w:adjustRightInd w:val="0"/>
        <w:snapToGrid w:val="0"/>
        <w:spacing w:line="360" w:lineRule="auto"/>
        <w:ind w:left="800" w:leftChars="0" w:firstLine="0" w:firstLineChars="0"/>
        <w:rPr>
          <w:rFonts w:hint="eastAsia" w:ascii="仿宋_GB2312" w:eastAsia="仿宋_GB2312"/>
          <w:sz w:val="32"/>
          <w:szCs w:val="32"/>
          <w:lang w:val="en-US" w:eastAsia="zh-CN"/>
        </w:rPr>
      </w:pPr>
      <w:r>
        <w:rPr>
          <w:rFonts w:hint="eastAsia" w:ascii="仿宋_GB2312" w:eastAsia="仿宋_GB2312"/>
          <w:sz w:val="32"/>
          <w:szCs w:val="32"/>
          <w:lang w:val="en-US" w:eastAsia="zh-CN"/>
        </w:rPr>
        <w:t>项目资金投入情况；</w:t>
      </w:r>
    </w:p>
    <w:p>
      <w:pPr>
        <w:numPr>
          <w:ilvl w:val="0"/>
          <w:numId w:val="0"/>
        </w:numPr>
        <w:tabs>
          <w:tab w:val="clear" w:pos="312"/>
        </w:tabs>
        <w:adjustRightInd w:val="0"/>
        <w:snapToGrid w:val="0"/>
        <w:spacing w:line="360" w:lineRule="auto"/>
        <w:ind w:left="0" w:leftChars="0" w:firstLine="0" w:firstLineChars="0"/>
        <w:rPr>
          <w:rFonts w:hint="default" w:ascii="仿宋_GB2312" w:eastAsia="仿宋_GB2312"/>
          <w:sz w:val="32"/>
          <w:szCs w:val="32"/>
          <w:lang w:val="en-US" w:eastAsia="zh-CN"/>
        </w:rPr>
      </w:pPr>
      <w:r>
        <w:rPr>
          <w:rFonts w:hint="eastAsia" w:ascii="仿宋_GB2312" w:eastAsia="仿宋_GB2312"/>
          <w:sz w:val="32"/>
          <w:szCs w:val="32"/>
          <w:lang w:val="en-US" w:eastAsia="zh-CN"/>
        </w:rPr>
        <w:t xml:space="preserve">    项目总投资10万元，全部由鹿泉区财政出资。</w:t>
      </w:r>
    </w:p>
    <w:p>
      <w:pPr>
        <w:numPr>
          <w:ilvl w:val="0"/>
          <w:numId w:val="0"/>
        </w:numPr>
        <w:tabs>
          <w:tab w:val="clear" w:pos="312"/>
        </w:tabs>
        <w:adjustRightInd w:val="0"/>
        <w:snapToGrid w:val="0"/>
        <w:spacing w:line="360" w:lineRule="auto"/>
        <w:ind w:firstLine="640" w:firstLineChars="200"/>
        <w:rPr>
          <w:rFonts w:hint="eastAsia" w:ascii="楷体_GB2312" w:hAnsi="楷体_GB2312" w:eastAsia="楷体_GB2312" w:cs="楷体_GB2312"/>
          <w:b/>
          <w:bCs/>
          <w:sz w:val="32"/>
          <w:szCs w:val="32"/>
        </w:rPr>
      </w:pPr>
      <w:r>
        <w:rPr>
          <w:rFonts w:hint="eastAsia" w:ascii="楷体_GB2312" w:hAnsi="楷体_GB2312" w:eastAsia="楷体_GB2312" w:cs="楷体_GB2312"/>
          <w:b w:val="0"/>
          <w:bCs w:val="0"/>
          <w:sz w:val="32"/>
          <w:szCs w:val="32"/>
        </w:rPr>
        <w:t>（二）项目</w:t>
      </w:r>
      <w:r>
        <w:rPr>
          <w:rFonts w:hint="eastAsia" w:ascii="楷体_GB2312" w:hAnsi="楷体_GB2312" w:eastAsia="楷体_GB2312" w:cs="楷体_GB2312"/>
          <w:b w:val="0"/>
          <w:bCs w:val="0"/>
          <w:sz w:val="32"/>
          <w:szCs w:val="32"/>
          <w:lang w:eastAsia="zh-CN"/>
        </w:rPr>
        <w:t>预期</w:t>
      </w:r>
      <w:r>
        <w:rPr>
          <w:rFonts w:hint="eastAsia" w:ascii="楷体_GB2312" w:hAnsi="楷体_GB2312" w:eastAsia="楷体_GB2312" w:cs="楷体_GB2312"/>
          <w:b w:val="0"/>
          <w:bCs w:val="0"/>
          <w:sz w:val="32"/>
          <w:szCs w:val="32"/>
        </w:rPr>
        <w:t>绩效目标</w:t>
      </w:r>
    </w:p>
    <w:p>
      <w:pPr>
        <w:adjustRightInd w:val="0"/>
        <w:snapToGrid w:val="0"/>
        <w:spacing w:line="360" w:lineRule="auto"/>
        <w:ind w:firstLine="640" w:firstLineChars="200"/>
        <w:rPr>
          <w:rFonts w:hint="eastAsia" w:ascii="仿宋_GB2312" w:eastAsia="仿宋_GB2312"/>
          <w:sz w:val="32"/>
          <w:szCs w:val="32"/>
          <w:lang w:eastAsia="zh-CN"/>
        </w:rPr>
      </w:pPr>
      <w:r>
        <w:rPr>
          <w:rFonts w:hint="eastAsia" w:ascii="仿宋_GB2312" w:eastAsia="仿宋_GB2312"/>
          <w:sz w:val="32"/>
          <w:szCs w:val="32"/>
        </w:rPr>
        <w:t>项目</w:t>
      </w:r>
      <w:r>
        <w:rPr>
          <w:rFonts w:hint="eastAsia" w:ascii="仿宋_GB2312" w:eastAsia="仿宋_GB2312"/>
          <w:sz w:val="32"/>
          <w:szCs w:val="32"/>
          <w:lang w:eastAsia="zh-CN"/>
        </w:rPr>
        <w:t>预期</w:t>
      </w:r>
      <w:r>
        <w:rPr>
          <w:rFonts w:hint="eastAsia" w:ascii="仿宋_GB2312" w:eastAsia="仿宋_GB2312"/>
          <w:sz w:val="32"/>
          <w:szCs w:val="32"/>
        </w:rPr>
        <w:t>绩效</w:t>
      </w:r>
      <w:r>
        <w:rPr>
          <w:rFonts w:hint="eastAsia" w:ascii="仿宋_GB2312" w:eastAsia="仿宋_GB2312"/>
          <w:sz w:val="32"/>
          <w:szCs w:val="32"/>
          <w:lang w:eastAsia="zh-CN"/>
        </w:rPr>
        <w:t>总</w:t>
      </w:r>
      <w:r>
        <w:rPr>
          <w:rFonts w:hint="eastAsia" w:ascii="仿宋_GB2312" w:eastAsia="仿宋_GB2312"/>
          <w:sz w:val="32"/>
          <w:szCs w:val="32"/>
        </w:rPr>
        <w:t>目标</w:t>
      </w:r>
      <w:r>
        <w:rPr>
          <w:rFonts w:hint="eastAsia" w:ascii="仿宋_GB2312" w:eastAsia="仿宋_GB2312"/>
          <w:sz w:val="32"/>
          <w:szCs w:val="32"/>
          <w:lang w:eastAsia="zh-CN"/>
        </w:rPr>
        <w:t>：</w:t>
      </w:r>
      <w:r>
        <w:rPr>
          <w:rFonts w:hint="eastAsia" w:ascii="仿宋_GB2312" w:eastAsia="仿宋_GB2312"/>
          <w:sz w:val="32"/>
          <w:szCs w:val="32"/>
          <w:lang w:val="en-US" w:eastAsia="zh-CN"/>
        </w:rPr>
        <w:t xml:space="preserve">全面促进民族宗教事业发展，维护全区民族宗教领域和谐稳定。 </w:t>
      </w:r>
    </w:p>
    <w:p>
      <w:pPr>
        <w:adjustRightInd w:val="0"/>
        <w:snapToGrid w:val="0"/>
        <w:spacing w:line="360" w:lineRule="auto"/>
        <w:ind w:firstLine="643" w:firstLineChars="200"/>
        <w:rPr>
          <w:rFonts w:hint="eastAsia" w:ascii="黑体" w:hAnsi="黑体" w:eastAsia="黑体" w:cs="黑体"/>
          <w:b/>
          <w:bCs/>
          <w:sz w:val="32"/>
          <w:szCs w:val="32"/>
          <w:lang w:eastAsia="zh-CN"/>
        </w:rPr>
      </w:pPr>
      <w:r>
        <w:rPr>
          <w:rFonts w:hint="eastAsia" w:ascii="黑体" w:hAnsi="黑体" w:eastAsia="黑体" w:cs="黑体"/>
          <w:b/>
          <w:bCs/>
          <w:sz w:val="32"/>
          <w:szCs w:val="32"/>
          <w:lang w:eastAsia="zh-CN"/>
        </w:rPr>
        <w:t>二、绩效评价工作情况</w:t>
      </w:r>
    </w:p>
    <w:p>
      <w:pPr>
        <w:ind w:left="0" w:leftChars="0" w:right="0" w:rightChars="0" w:firstLine="0" w:firstLineChars="0"/>
        <w:jc w:val="both"/>
        <w:rPr>
          <w:rFonts w:hint="eastAsia" w:ascii="楷体_GB2312" w:hAnsi="楷体_GB2312" w:eastAsia="楷体_GB2312" w:cs="楷体_GB2312"/>
          <w:sz w:val="32"/>
          <w:szCs w:val="32"/>
          <w:lang w:val="en-US" w:eastAsia="zh-CN"/>
        </w:rPr>
      </w:pPr>
      <w:r>
        <w:rPr>
          <w:rFonts w:hint="eastAsia" w:ascii="仿宋_GB2312" w:eastAsia="仿宋_GB2312"/>
          <w:sz w:val="32"/>
          <w:szCs w:val="32"/>
          <w:lang w:val="en-US" w:eastAsia="zh-CN"/>
        </w:rPr>
        <w:t xml:space="preserve">   </w:t>
      </w:r>
      <w:r>
        <w:rPr>
          <w:rFonts w:hint="eastAsia" w:ascii="楷体_GB2312" w:hAnsi="楷体_GB2312" w:eastAsia="楷体_GB2312" w:cs="楷体_GB2312"/>
          <w:b w:val="0"/>
          <w:bCs w:val="0"/>
          <w:sz w:val="32"/>
          <w:szCs w:val="32"/>
          <w:lang w:val="en-US" w:eastAsia="zh-CN"/>
        </w:rPr>
        <w:t>（一）绩效评价的组织工作</w:t>
      </w:r>
    </w:p>
    <w:p>
      <w:pPr>
        <w:numPr>
          <w:ilvl w:val="0"/>
          <w:numId w:val="0"/>
        </w:numPr>
        <w:tabs>
          <w:tab w:val="clear" w:pos="312"/>
        </w:tabs>
        <w:rPr>
          <w:rFonts w:hint="eastAsia" w:ascii="仿宋_GB2312" w:eastAsia="仿宋_GB2312"/>
          <w:sz w:val="32"/>
          <w:szCs w:val="32"/>
        </w:rPr>
      </w:pPr>
      <w:r>
        <w:rPr>
          <w:rFonts w:hint="eastAsia" w:ascii="仿宋_GB2312" w:eastAsia="仿宋_GB2312"/>
          <w:sz w:val="32"/>
          <w:szCs w:val="32"/>
          <w:lang w:val="en-US" w:eastAsia="zh-CN"/>
        </w:rPr>
        <w:t xml:space="preserve">    根据河北省委《关于进一步加强基层宗教工作的实施意见》（冀办发[2007]12号）、石家庄市委《关于加强基层宗教工作的意见》（石办发[2007]8号）文件有关规定，组织实施。</w:t>
      </w:r>
    </w:p>
    <w:p>
      <w:pPr>
        <w:numPr>
          <w:ilvl w:val="0"/>
          <w:numId w:val="2"/>
        </w:numPr>
        <w:ind w:left="481" w:leftChars="0" w:right="0" w:rightChars="0" w:firstLine="0" w:firstLineChars="0"/>
        <w:jc w:val="both"/>
        <w:rPr>
          <w:rFonts w:hint="eastAsia" w:ascii="楷体_GB2312" w:hAnsi="楷体_GB2312" w:eastAsia="楷体_GB2312" w:cs="楷体_GB2312"/>
          <w:b w:val="0"/>
          <w:bCs w:val="0"/>
          <w:sz w:val="32"/>
          <w:szCs w:val="32"/>
          <w:lang w:val="en-US" w:eastAsia="zh-CN"/>
        </w:rPr>
      </w:pPr>
      <w:r>
        <w:rPr>
          <w:rFonts w:hint="eastAsia" w:ascii="楷体_GB2312" w:hAnsi="楷体_GB2312" w:eastAsia="楷体_GB2312" w:cs="楷体_GB2312"/>
          <w:b w:val="0"/>
          <w:bCs w:val="0"/>
          <w:sz w:val="32"/>
          <w:szCs w:val="32"/>
          <w:lang w:val="en-US" w:eastAsia="zh-CN"/>
        </w:rPr>
        <w:t>绩效评价的方法和过程</w:t>
      </w:r>
    </w:p>
    <w:p>
      <w:pPr>
        <w:numPr>
          <w:ilvl w:val="0"/>
          <w:numId w:val="0"/>
        </w:numPr>
        <w:tabs>
          <w:tab w:val="left" w:pos="0"/>
          <w:tab w:val="clear" w:pos="312"/>
        </w:tabs>
        <w:ind w:left="0" w:leftChars="0" w:right="0" w:rightChars="0" w:firstLine="640" w:firstLineChars="200"/>
        <w:jc w:val="both"/>
        <w:rPr>
          <w:rFonts w:hint="eastAsia" w:ascii="楷体_GB2312" w:hAnsi="楷体_GB2312" w:eastAsia="楷体_GB2312" w:cs="楷体_GB2312"/>
          <w:b w:val="0"/>
          <w:bCs w:val="0"/>
          <w:sz w:val="32"/>
          <w:szCs w:val="32"/>
          <w:lang w:val="en-US" w:eastAsia="zh-CN"/>
        </w:rPr>
      </w:pPr>
      <w:r>
        <w:rPr>
          <w:rFonts w:hint="eastAsia" w:ascii="仿宋_GB2312" w:eastAsia="仿宋_GB2312"/>
          <w:sz w:val="32"/>
          <w:szCs w:val="32"/>
          <w:lang w:val="en-US" w:eastAsia="zh-CN"/>
        </w:rPr>
        <w:t>根据河北省委《关于进一步加强基层宗教工作的实施意见》（冀办发[2007]12号）、石家庄市委《关于加强基层宗教工作的意见》（石办发[2007]8号）文件有关规定，组织实施。</w:t>
      </w:r>
    </w:p>
    <w:p>
      <w:pPr>
        <w:numPr>
          <w:ilvl w:val="0"/>
          <w:numId w:val="0"/>
        </w:numPr>
        <w:tabs>
          <w:tab w:val="clear" w:pos="312"/>
        </w:tabs>
        <w:ind w:leftChars="0" w:right="0" w:rightChars="0"/>
        <w:jc w:val="both"/>
        <w:rPr>
          <w:rFonts w:hint="eastAsia" w:ascii="仿宋_GB2312" w:eastAsia="仿宋_GB2312"/>
          <w:b w:val="0"/>
          <w:bCs w:val="0"/>
          <w:sz w:val="32"/>
          <w:szCs w:val="32"/>
          <w:lang w:val="en-US" w:eastAsia="zh-CN"/>
        </w:rPr>
      </w:pPr>
      <w:r>
        <w:rPr>
          <w:rFonts w:hint="eastAsia" w:ascii="楷体_GB2312" w:hAnsi="楷体_GB2312" w:eastAsia="楷体_GB2312" w:cs="楷体_GB2312"/>
          <w:b/>
          <w:bCs/>
          <w:sz w:val="32"/>
          <w:szCs w:val="32"/>
          <w:lang w:val="en-US" w:eastAsia="zh-CN"/>
        </w:rPr>
        <w:t xml:space="preserve">   </w:t>
      </w:r>
      <w:r>
        <w:rPr>
          <w:rFonts w:hint="eastAsia" w:ascii="楷体_GB2312" w:hAnsi="楷体_GB2312" w:eastAsia="楷体_GB2312" w:cs="楷体_GB2312"/>
          <w:b w:val="0"/>
          <w:bCs w:val="0"/>
          <w:sz w:val="32"/>
          <w:szCs w:val="32"/>
          <w:lang w:val="en-US" w:eastAsia="zh-CN"/>
        </w:rPr>
        <w:t>（三）建立绩效评价指标体系</w:t>
      </w:r>
    </w:p>
    <w:p>
      <w:pPr>
        <w:keepNext w:val="0"/>
        <w:keepLines w:val="0"/>
        <w:pageBreakBefore w:val="0"/>
        <w:widowControl w:val="0"/>
        <w:numPr>
          <w:ilvl w:val="0"/>
          <w:numId w:val="0"/>
        </w:numPr>
        <w:tabs>
          <w:tab w:val="clear" w:pos="312"/>
        </w:tabs>
        <w:kinsoku/>
        <w:wordWrap/>
        <w:overflowPunct/>
        <w:topLinePunct w:val="0"/>
        <w:autoSpaceDE/>
        <w:autoSpaceDN/>
        <w:bidi w:val="0"/>
        <w:snapToGrid/>
        <w:spacing w:line="578" w:lineRule="exact"/>
        <w:ind w:right="0" w:rightChars="0" w:firstLine="640" w:firstLineChars="200"/>
        <w:textAlignment w:val="auto"/>
        <w:rPr>
          <w:rFonts w:hint="eastAsia" w:ascii="仿宋" w:hAnsi="仿宋" w:eastAsia="仿宋"/>
          <w:sz w:val="32"/>
          <w:szCs w:val="32"/>
          <w:lang w:eastAsia="zh-CN"/>
        </w:rPr>
      </w:pPr>
      <w:r>
        <w:rPr>
          <w:rFonts w:hint="eastAsia" w:ascii="仿宋" w:hAnsi="仿宋" w:eastAsia="仿宋"/>
          <w:sz w:val="32"/>
          <w:szCs w:val="32"/>
          <w:lang w:eastAsia="zh-CN"/>
        </w:rPr>
        <w:t>总绩效目标：</w:t>
      </w:r>
    </w:p>
    <w:p>
      <w:pPr>
        <w:keepNext w:val="0"/>
        <w:keepLines w:val="0"/>
        <w:pageBreakBefore w:val="0"/>
        <w:widowControl w:val="0"/>
        <w:numPr>
          <w:ilvl w:val="0"/>
          <w:numId w:val="0"/>
        </w:numPr>
        <w:tabs>
          <w:tab w:val="clear" w:pos="312"/>
        </w:tabs>
        <w:kinsoku/>
        <w:wordWrap/>
        <w:overflowPunct/>
        <w:topLinePunct w:val="0"/>
        <w:autoSpaceDE/>
        <w:autoSpaceDN/>
        <w:bidi w:val="0"/>
        <w:snapToGrid/>
        <w:spacing w:line="578" w:lineRule="exact"/>
        <w:ind w:right="0" w:rightChars="0" w:firstLine="640" w:firstLineChars="200"/>
        <w:textAlignment w:val="auto"/>
        <w:rPr>
          <w:rFonts w:hint="eastAsia" w:ascii="仿宋" w:hAnsi="仿宋" w:eastAsia="仿宋"/>
          <w:sz w:val="32"/>
          <w:szCs w:val="32"/>
          <w:lang w:eastAsia="zh-CN"/>
        </w:rPr>
      </w:pPr>
      <w:r>
        <w:rPr>
          <w:rFonts w:hint="eastAsia" w:ascii="仿宋_GB2312" w:hAnsi="仿宋_GB2312" w:eastAsia="仿宋_GB2312" w:cs="仿宋_GB2312"/>
          <w:b w:val="0"/>
          <w:bCs w:val="0"/>
          <w:sz w:val="32"/>
          <w:szCs w:val="32"/>
        </w:rPr>
        <w:t>加强</w:t>
      </w:r>
      <w:r>
        <w:rPr>
          <w:rFonts w:hint="eastAsia" w:ascii="仿宋_GB2312" w:hAnsi="仿宋_GB2312" w:eastAsia="仿宋_GB2312" w:cs="仿宋_GB2312"/>
          <w:b w:val="0"/>
          <w:bCs w:val="0"/>
          <w:sz w:val="32"/>
          <w:szCs w:val="32"/>
          <w:lang w:eastAsia="zh-CN"/>
        </w:rPr>
        <w:t>党的</w:t>
      </w:r>
      <w:r>
        <w:rPr>
          <w:rFonts w:hint="eastAsia" w:ascii="仿宋_GB2312" w:hAnsi="仿宋_GB2312" w:eastAsia="仿宋_GB2312" w:cs="仿宋_GB2312"/>
          <w:b w:val="0"/>
          <w:bCs w:val="0"/>
          <w:sz w:val="32"/>
          <w:szCs w:val="32"/>
        </w:rPr>
        <w:t>领导，强化各级对宗教工作重要性的认识</w:t>
      </w:r>
      <w:r>
        <w:rPr>
          <w:rFonts w:hint="eastAsia" w:ascii="仿宋_GB2312" w:hAnsi="仿宋_GB2312" w:eastAsia="仿宋_GB2312" w:cs="仿宋_GB2312"/>
          <w:b w:val="0"/>
          <w:bCs w:val="0"/>
          <w:sz w:val="32"/>
          <w:szCs w:val="32"/>
          <w:lang w:eastAsia="zh-CN"/>
        </w:rPr>
        <w:t>，</w:t>
      </w:r>
      <w:r>
        <w:rPr>
          <w:rFonts w:hint="eastAsia" w:ascii="仿宋_GB2312" w:hAnsi="仿宋_GB2312" w:eastAsia="仿宋_GB2312" w:cs="仿宋_GB2312"/>
          <w:b w:val="0"/>
          <w:bCs w:val="0"/>
          <w:sz w:val="32"/>
          <w:szCs w:val="32"/>
          <w:lang w:val="en-US" w:eastAsia="zh-CN"/>
        </w:rPr>
        <w:t>有效提高了各级尤其是领导干部对宗教工作重要性的认识；</w:t>
      </w:r>
      <w:r>
        <w:rPr>
          <w:rFonts w:hint="eastAsia" w:ascii="仿宋_GB2312" w:hAnsi="仿宋_GB2312" w:eastAsia="仿宋_GB2312" w:cs="仿宋_GB2312"/>
          <w:b w:val="0"/>
          <w:bCs w:val="0"/>
          <w:sz w:val="32"/>
          <w:szCs w:val="32"/>
        </w:rPr>
        <w:t>攻坚克难，坚决做好宗教督查整改工作</w:t>
      </w:r>
      <w:r>
        <w:rPr>
          <w:rFonts w:hint="eastAsia" w:ascii="仿宋_GB2312" w:hAnsi="仿宋_GB2312" w:eastAsia="仿宋_GB2312" w:cs="仿宋_GB2312"/>
          <w:b w:val="0"/>
          <w:bCs w:val="0"/>
          <w:sz w:val="32"/>
          <w:szCs w:val="32"/>
          <w:lang w:eastAsia="zh-CN"/>
        </w:rPr>
        <w:t>。对全区宗教场所进行了财务审计，</w:t>
      </w:r>
      <w:r>
        <w:rPr>
          <w:rFonts w:hint="eastAsia" w:ascii="仿宋_GB2312" w:hAnsi="仿宋_GB2312" w:eastAsia="仿宋_GB2312" w:cs="仿宋_GB2312"/>
          <w:b w:val="0"/>
          <w:bCs w:val="0"/>
          <w:sz w:val="32"/>
          <w:szCs w:val="32"/>
          <w:lang w:val="en-US" w:eastAsia="zh-CN"/>
        </w:rPr>
        <w:t>极大促进了我区宗教领域依法管理的水平；</w:t>
      </w:r>
      <w:r>
        <w:rPr>
          <w:rFonts w:hint="eastAsia" w:ascii="仿宋_GB2312" w:hAnsi="仿宋_GB2312" w:eastAsia="仿宋_GB2312" w:cs="仿宋_GB2312"/>
          <w:b w:val="0"/>
          <w:bCs w:val="0"/>
          <w:sz w:val="32"/>
          <w:szCs w:val="32"/>
        </w:rPr>
        <w:t>健全依法管理的长效机制</w:t>
      </w:r>
      <w:r>
        <w:rPr>
          <w:rFonts w:hint="eastAsia" w:ascii="仿宋_GB2312" w:hAnsi="仿宋_GB2312" w:eastAsia="仿宋_GB2312" w:cs="仿宋_GB2312"/>
          <w:b w:val="0"/>
          <w:bCs w:val="0"/>
          <w:sz w:val="32"/>
          <w:szCs w:val="32"/>
          <w:lang w:eastAsia="zh-CN"/>
        </w:rPr>
        <w:t>；</w:t>
      </w:r>
      <w:r>
        <w:rPr>
          <w:rFonts w:hint="eastAsia" w:ascii="仿宋_GB2312" w:hAnsi="仿宋_GB2312" w:eastAsia="仿宋_GB2312" w:cs="仿宋_GB2312"/>
          <w:b w:val="0"/>
          <w:bCs w:val="0"/>
          <w:color w:val="000000"/>
          <w:sz w:val="32"/>
          <w:szCs w:val="32"/>
          <w:lang w:val="en-US" w:eastAsia="zh-CN"/>
        </w:rPr>
        <w:t>深入开展“双创四进”活动。维护宗教领域安全稳定。</w:t>
      </w:r>
    </w:p>
    <w:p>
      <w:pPr>
        <w:ind w:firstLine="640" w:firstLineChars="200"/>
        <w:rPr>
          <w:rFonts w:ascii="仿宋" w:hAnsi="仿宋" w:eastAsia="仿宋"/>
          <w:sz w:val="32"/>
          <w:szCs w:val="32"/>
        </w:rPr>
      </w:pPr>
      <w:r>
        <w:rPr>
          <w:rFonts w:hint="eastAsia" w:ascii="仿宋" w:hAnsi="仿宋" w:eastAsia="仿宋"/>
          <w:sz w:val="32"/>
          <w:szCs w:val="32"/>
        </w:rPr>
        <w:t>（一）产出指标</w:t>
      </w:r>
    </w:p>
    <w:p>
      <w:pPr>
        <w:ind w:firstLine="600" w:firstLineChars="200"/>
        <w:rPr>
          <w:rFonts w:hint="eastAsia" w:ascii="仿宋_GB2312" w:eastAsia="仿宋_GB2312"/>
          <w:b w:val="0"/>
          <w:bCs w:val="0"/>
          <w:sz w:val="30"/>
          <w:szCs w:val="30"/>
          <w:lang w:val="en-US" w:eastAsia="zh-CN"/>
        </w:rPr>
      </w:pPr>
      <w:r>
        <w:rPr>
          <w:rFonts w:hint="eastAsia" w:ascii="仿宋_GB2312" w:eastAsia="仿宋_GB2312"/>
          <w:b w:val="0"/>
          <w:bCs w:val="0"/>
          <w:sz w:val="30"/>
          <w:szCs w:val="30"/>
          <w:lang w:val="en-US" w:eastAsia="zh-CN"/>
        </w:rPr>
        <w:t>开展培训的次数、调查研究的次数以及宣传活动的次数等</w:t>
      </w:r>
    </w:p>
    <w:p>
      <w:pPr>
        <w:numPr>
          <w:ilvl w:val="0"/>
          <w:numId w:val="3"/>
        </w:numPr>
        <w:ind w:firstLine="640" w:firstLineChars="200"/>
        <w:rPr>
          <w:rFonts w:hint="eastAsia" w:ascii="仿宋_GB2312" w:hAnsi="仿宋_GB2312" w:eastAsia="仿宋_GB2312" w:cs="仿宋_GB2312"/>
          <w:b/>
          <w:bCs/>
          <w:sz w:val="32"/>
          <w:szCs w:val="32"/>
          <w:lang w:val="en-US" w:eastAsia="zh-CN"/>
        </w:rPr>
      </w:pPr>
      <w:r>
        <w:rPr>
          <w:rFonts w:hint="eastAsia" w:ascii="仿宋" w:hAnsi="仿宋" w:eastAsia="仿宋"/>
          <w:sz w:val="32"/>
          <w:szCs w:val="32"/>
        </w:rPr>
        <w:t>效果指标</w:t>
      </w:r>
    </w:p>
    <w:p>
      <w:pPr>
        <w:keepNext w:val="0"/>
        <w:keepLines w:val="0"/>
        <w:pageBreakBefore w:val="0"/>
        <w:widowControl w:val="0"/>
        <w:numPr>
          <w:ilvl w:val="0"/>
          <w:numId w:val="0"/>
        </w:numPr>
        <w:tabs>
          <w:tab w:val="clear" w:pos="312"/>
        </w:tabs>
        <w:kinsoku/>
        <w:wordWrap/>
        <w:overflowPunct/>
        <w:topLinePunct w:val="0"/>
        <w:autoSpaceDE/>
        <w:autoSpaceDN/>
        <w:bidi w:val="0"/>
        <w:snapToGrid/>
        <w:spacing w:line="578" w:lineRule="exact"/>
        <w:ind w:right="0" w:rightChars="0" w:firstLine="643"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一是</w:t>
      </w:r>
      <w:r>
        <w:rPr>
          <w:rFonts w:hint="eastAsia" w:ascii="仿宋_GB2312" w:hAnsi="仿宋_GB2312" w:eastAsia="仿宋_GB2312" w:cs="仿宋_GB2312"/>
          <w:b/>
          <w:bCs/>
          <w:sz w:val="32"/>
          <w:szCs w:val="32"/>
        </w:rPr>
        <w:t>加强</w:t>
      </w:r>
      <w:r>
        <w:rPr>
          <w:rFonts w:hint="eastAsia" w:ascii="仿宋_GB2312" w:hAnsi="仿宋_GB2312" w:eastAsia="仿宋_GB2312" w:cs="仿宋_GB2312"/>
          <w:b/>
          <w:bCs/>
          <w:sz w:val="32"/>
          <w:szCs w:val="32"/>
          <w:lang w:eastAsia="zh-CN"/>
        </w:rPr>
        <w:t>党的</w:t>
      </w:r>
      <w:r>
        <w:rPr>
          <w:rFonts w:hint="eastAsia" w:ascii="仿宋_GB2312" w:hAnsi="仿宋_GB2312" w:eastAsia="仿宋_GB2312" w:cs="仿宋_GB2312"/>
          <w:b/>
          <w:bCs/>
          <w:sz w:val="32"/>
          <w:szCs w:val="32"/>
        </w:rPr>
        <w:t>领导，强化各级对宗教工作重要性的认识</w:t>
      </w:r>
      <w:r>
        <w:rPr>
          <w:rFonts w:hint="eastAsia" w:ascii="仿宋_GB2312" w:hAnsi="仿宋_GB2312" w:eastAsia="仿宋_GB2312" w:cs="仿宋_GB2312"/>
          <w:b/>
          <w:bCs/>
          <w:sz w:val="32"/>
          <w:szCs w:val="32"/>
          <w:lang w:eastAsia="zh-CN"/>
        </w:rPr>
        <w:t>。</w:t>
      </w:r>
      <w:r>
        <w:rPr>
          <w:rFonts w:hint="eastAsia" w:ascii="仿宋_GB2312" w:hAnsi="仿宋_GB2312" w:eastAsia="仿宋_GB2312" w:cs="仿宋_GB2312"/>
          <w:sz w:val="32"/>
          <w:szCs w:val="32"/>
          <w:lang w:eastAsia="zh-CN"/>
        </w:rPr>
        <w:t>切实落实宗教工作“三学三纳入”要求，区委常委会</w:t>
      </w:r>
      <w:r>
        <w:rPr>
          <w:rFonts w:hint="eastAsia" w:ascii="仿宋_GB2312" w:hAnsi="仿宋_GB2312" w:eastAsia="仿宋_GB2312" w:cs="仿宋_GB2312"/>
          <w:sz w:val="32"/>
          <w:szCs w:val="32"/>
        </w:rPr>
        <w:t>2次</w:t>
      </w:r>
      <w:r>
        <w:rPr>
          <w:rFonts w:hint="eastAsia" w:ascii="仿宋_GB2312" w:hAnsi="仿宋_GB2312" w:eastAsia="仿宋_GB2312" w:cs="仿宋_GB2312"/>
          <w:sz w:val="32"/>
          <w:szCs w:val="32"/>
          <w:lang w:eastAsia="zh-CN"/>
        </w:rPr>
        <w:t>专题</w:t>
      </w:r>
      <w:r>
        <w:rPr>
          <w:rFonts w:hint="eastAsia" w:ascii="仿宋_GB2312" w:hAnsi="仿宋_GB2312" w:eastAsia="仿宋_GB2312" w:cs="仿宋_GB2312"/>
          <w:sz w:val="32"/>
          <w:szCs w:val="32"/>
        </w:rPr>
        <w:t>研究宗教工作</w:t>
      </w:r>
      <w:r>
        <w:rPr>
          <w:rFonts w:hint="eastAsia" w:ascii="仿宋_GB2312" w:hAnsi="仿宋_GB2312" w:eastAsia="仿宋_GB2312" w:cs="仿宋_GB2312"/>
          <w:sz w:val="32"/>
          <w:szCs w:val="32"/>
          <w:lang w:eastAsia="zh-CN"/>
        </w:rPr>
        <w:t>；组织</w:t>
      </w:r>
      <w:r>
        <w:rPr>
          <w:rFonts w:hint="eastAsia" w:ascii="仿宋_GB2312" w:hAnsi="仿宋_GB2312" w:eastAsia="仿宋_GB2312" w:cs="仿宋_GB2312"/>
          <w:sz w:val="32"/>
          <w:szCs w:val="32"/>
          <w:lang w:val="en-US" w:eastAsia="zh-CN"/>
        </w:rPr>
        <w:t>区委统一战线工作领导小组成员和乡镇党委书记，208个村党支部书记开展宗教工作专题培训；组织所有宗教专干参加了省市的业务培训，有效提高了各级尤其是领导干部对宗教工作重要性的认识。</w:t>
      </w:r>
    </w:p>
    <w:p>
      <w:pPr>
        <w:keepNext w:val="0"/>
        <w:keepLines w:val="0"/>
        <w:pageBreakBefore w:val="0"/>
        <w:widowControl w:val="0"/>
        <w:numPr>
          <w:ilvl w:val="0"/>
          <w:numId w:val="0"/>
        </w:numPr>
        <w:tabs>
          <w:tab w:val="clear" w:pos="312"/>
        </w:tabs>
        <w:kinsoku/>
        <w:wordWrap/>
        <w:overflowPunct/>
        <w:topLinePunct w:val="0"/>
        <w:autoSpaceDE/>
        <w:autoSpaceDN/>
        <w:bidi w:val="0"/>
        <w:snapToGrid/>
        <w:spacing w:line="578" w:lineRule="exact"/>
        <w:ind w:right="0" w:rightChars="0" w:firstLine="643"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lang w:val="en-US" w:eastAsia="zh-CN"/>
        </w:rPr>
        <w:t>二是</w:t>
      </w:r>
      <w:r>
        <w:rPr>
          <w:rFonts w:hint="eastAsia" w:ascii="仿宋_GB2312" w:hAnsi="仿宋_GB2312" w:eastAsia="仿宋_GB2312" w:cs="仿宋_GB2312"/>
          <w:b/>
          <w:bCs/>
          <w:sz w:val="32"/>
          <w:szCs w:val="32"/>
        </w:rPr>
        <w:t>攻坚克难，坚决做好宗教督查整改工作</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制定了《中央宗教工作督查反馈意见整改方案》，</w:t>
      </w:r>
      <w:r>
        <w:rPr>
          <w:rFonts w:hint="eastAsia" w:ascii="仿宋_GB2312" w:hAnsi="仿宋_GB2312" w:eastAsia="仿宋_GB2312" w:cs="仿宋_GB2312"/>
          <w:sz w:val="32"/>
          <w:szCs w:val="32"/>
          <w:lang w:eastAsia="zh-CN"/>
        </w:rPr>
        <w:t>明确任务措施，全面整改了</w:t>
      </w:r>
      <w:r>
        <w:rPr>
          <w:rFonts w:hint="eastAsia" w:ascii="仿宋_GB2312" w:hAnsi="仿宋_GB2312" w:eastAsia="仿宋_GB2312" w:cs="仿宋_GB2312"/>
          <w:sz w:val="32"/>
          <w:szCs w:val="32"/>
        </w:rPr>
        <w:t>藏传佛教元素</w:t>
      </w:r>
      <w:r>
        <w:rPr>
          <w:rFonts w:hint="eastAsia" w:ascii="仿宋_GB2312" w:hAnsi="仿宋_GB2312" w:eastAsia="仿宋_GB2312" w:cs="仿宋_GB2312"/>
          <w:sz w:val="32"/>
          <w:szCs w:val="32"/>
          <w:lang w:eastAsia="zh-CN"/>
        </w:rPr>
        <w:t>的传播，完成</w:t>
      </w:r>
      <w:r>
        <w:rPr>
          <w:rFonts w:hint="eastAsia" w:ascii="仿宋_GB2312" w:hAnsi="仿宋_GB2312" w:eastAsia="仿宋_GB2312" w:cs="仿宋_GB2312"/>
          <w:sz w:val="32"/>
          <w:szCs w:val="32"/>
        </w:rPr>
        <w:t>露天宗教造像治理任务</w:t>
      </w:r>
      <w:r>
        <w:rPr>
          <w:rFonts w:hint="eastAsia" w:ascii="仿宋_GB2312" w:hAnsi="仿宋_GB2312" w:eastAsia="仿宋_GB2312" w:cs="仿宋_GB2312"/>
          <w:sz w:val="32"/>
          <w:szCs w:val="32"/>
          <w:lang w:eastAsia="zh-CN"/>
        </w:rPr>
        <w:t>，治理了公共场所存在的阿文标识，清理了</w:t>
      </w:r>
      <w:r>
        <w:rPr>
          <w:rFonts w:hint="eastAsia" w:ascii="仿宋_GB2312" w:hAnsi="仿宋_GB2312" w:eastAsia="仿宋_GB2312" w:cs="仿宋_GB2312"/>
          <w:sz w:val="32"/>
          <w:szCs w:val="32"/>
        </w:rPr>
        <w:t>玉螺山和莲花山民间信仰场所周边乱建</w:t>
      </w:r>
      <w:r>
        <w:rPr>
          <w:rFonts w:hint="eastAsia" w:ascii="仿宋_GB2312" w:hAnsi="仿宋_GB2312" w:eastAsia="仿宋_GB2312" w:cs="仿宋_GB2312"/>
          <w:sz w:val="32"/>
          <w:szCs w:val="32"/>
          <w:lang w:eastAsia="zh-CN"/>
        </w:rPr>
        <w:t>的</w:t>
      </w:r>
      <w:r>
        <w:rPr>
          <w:rFonts w:hint="eastAsia" w:ascii="仿宋_GB2312" w:hAnsi="仿宋_GB2312" w:eastAsia="仿宋_GB2312" w:cs="仿宋_GB2312"/>
          <w:sz w:val="32"/>
          <w:szCs w:val="32"/>
        </w:rPr>
        <w:t>宗教建筑</w:t>
      </w:r>
      <w:r>
        <w:rPr>
          <w:rFonts w:hint="eastAsia" w:ascii="仿宋_GB2312" w:hAnsi="仿宋_GB2312" w:eastAsia="仿宋_GB2312" w:cs="仿宋_GB2312"/>
          <w:sz w:val="32"/>
          <w:szCs w:val="32"/>
          <w:lang w:eastAsia="zh-CN"/>
        </w:rPr>
        <w:t>，对全区宗教场所进行了财务审计，</w:t>
      </w:r>
      <w:r>
        <w:rPr>
          <w:rFonts w:hint="eastAsia" w:ascii="仿宋_GB2312" w:hAnsi="仿宋_GB2312" w:eastAsia="仿宋_GB2312" w:cs="仿宋_GB2312"/>
          <w:sz w:val="32"/>
          <w:szCs w:val="32"/>
          <w:lang w:val="en-US" w:eastAsia="zh-CN"/>
        </w:rPr>
        <w:t>极大促进了我区宗教领域依法管理的水平</w:t>
      </w:r>
      <w:r>
        <w:rPr>
          <w:rFonts w:hint="eastAsia" w:ascii="仿宋_GB2312" w:hAnsi="仿宋_GB2312" w:eastAsia="仿宋_GB2312" w:cs="仿宋_GB2312"/>
          <w:sz w:val="32"/>
          <w:szCs w:val="32"/>
        </w:rPr>
        <w:t>。</w:t>
      </w:r>
    </w:p>
    <w:p>
      <w:pPr>
        <w:keepNext w:val="0"/>
        <w:keepLines w:val="0"/>
        <w:pageBreakBefore w:val="0"/>
        <w:widowControl w:val="0"/>
        <w:numPr>
          <w:ilvl w:val="0"/>
          <w:numId w:val="0"/>
        </w:numPr>
        <w:tabs>
          <w:tab w:val="clear" w:pos="312"/>
        </w:tabs>
        <w:kinsoku/>
        <w:wordWrap/>
        <w:overflowPunct/>
        <w:topLinePunct w:val="0"/>
        <w:autoSpaceDE/>
        <w:autoSpaceDN/>
        <w:bidi w:val="0"/>
        <w:snapToGrid/>
        <w:spacing w:line="578" w:lineRule="exact"/>
        <w:ind w:right="0" w:rightChars="0" w:firstLine="643" w:firstLineChars="200"/>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b/>
          <w:bCs/>
          <w:sz w:val="32"/>
          <w:szCs w:val="32"/>
          <w:lang w:val="en-US" w:eastAsia="zh-CN"/>
        </w:rPr>
        <w:t>三是</w:t>
      </w:r>
      <w:r>
        <w:rPr>
          <w:rFonts w:hint="eastAsia" w:ascii="仿宋_GB2312" w:hAnsi="仿宋_GB2312" w:eastAsia="仿宋_GB2312" w:cs="仿宋_GB2312"/>
          <w:b/>
          <w:bCs/>
          <w:sz w:val="32"/>
          <w:szCs w:val="32"/>
        </w:rPr>
        <w:t>健全依法管理的长效机制</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健全完善</w:t>
      </w:r>
      <w:r>
        <w:rPr>
          <w:rFonts w:hint="eastAsia" w:ascii="仿宋_GB2312" w:hAnsi="仿宋_GB2312" w:eastAsia="仿宋_GB2312" w:cs="仿宋_GB2312"/>
          <w:b w:val="0"/>
          <w:bCs w:val="0"/>
          <w:sz w:val="32"/>
          <w:szCs w:val="32"/>
        </w:rPr>
        <w:t>区乡村三级网络管理责任制</w:t>
      </w:r>
      <w:r>
        <w:rPr>
          <w:rFonts w:hint="eastAsia" w:ascii="仿宋_GB2312" w:hAnsi="仿宋_GB2312" w:eastAsia="仿宋_GB2312" w:cs="仿宋_GB2312"/>
          <w:b w:val="0"/>
          <w:bCs w:val="0"/>
          <w:sz w:val="32"/>
          <w:szCs w:val="32"/>
          <w:lang w:eastAsia="zh-CN"/>
        </w:rPr>
        <w:t>，将</w:t>
      </w:r>
      <w:r>
        <w:rPr>
          <w:rFonts w:hint="eastAsia" w:ascii="仿宋_GB2312" w:hAnsi="仿宋_GB2312" w:eastAsia="仿宋_GB2312" w:cs="仿宋_GB2312"/>
          <w:sz w:val="32"/>
          <w:szCs w:val="32"/>
        </w:rPr>
        <w:t>重点工作纳入乡镇日常监管</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b w:val="0"/>
          <w:bCs/>
          <w:sz w:val="32"/>
          <w:szCs w:val="32"/>
        </w:rPr>
        <w:t>强化督导检查机制</w:t>
      </w:r>
      <w:r>
        <w:rPr>
          <w:rFonts w:hint="eastAsia" w:ascii="仿宋_GB2312" w:hAnsi="仿宋_GB2312" w:eastAsia="仿宋_GB2312" w:cs="仿宋_GB2312"/>
          <w:b w:val="0"/>
          <w:bCs/>
          <w:sz w:val="32"/>
          <w:szCs w:val="32"/>
          <w:lang w:eastAsia="zh-CN"/>
        </w:rPr>
        <w:t>，</w:t>
      </w:r>
      <w:r>
        <w:rPr>
          <w:rFonts w:hint="eastAsia" w:ascii="仿宋_GB2312" w:hAnsi="仿宋_GB2312" w:eastAsia="仿宋_GB2312" w:cs="仿宋_GB2312"/>
          <w:sz w:val="32"/>
          <w:szCs w:val="32"/>
        </w:rPr>
        <w:t>区委统战部牵头</w:t>
      </w:r>
      <w:r>
        <w:rPr>
          <w:rFonts w:hint="eastAsia" w:ascii="仿宋_GB2312" w:hAnsi="仿宋_GB2312" w:eastAsia="仿宋_GB2312" w:cs="仿宋_GB2312"/>
          <w:sz w:val="32"/>
          <w:szCs w:val="32"/>
          <w:lang w:val="en-US" w:eastAsia="zh-CN"/>
        </w:rPr>
        <w:t>相关</w:t>
      </w:r>
      <w:r>
        <w:rPr>
          <w:rFonts w:hint="eastAsia" w:ascii="仿宋_GB2312" w:hAnsi="仿宋_GB2312" w:eastAsia="仿宋_GB2312" w:cs="仿宋_GB2312"/>
          <w:sz w:val="32"/>
          <w:szCs w:val="32"/>
        </w:rPr>
        <w:t>部门，加大督导检查力度，</w:t>
      </w:r>
      <w:r>
        <w:rPr>
          <w:rFonts w:hint="eastAsia" w:ascii="仿宋_GB2312" w:hAnsi="仿宋_GB2312" w:eastAsia="仿宋_GB2312" w:cs="仿宋_GB2312"/>
          <w:sz w:val="32"/>
          <w:szCs w:val="32"/>
          <w:lang w:val="en-US" w:eastAsia="zh-CN"/>
        </w:rPr>
        <w:t>对发现的问题</w:t>
      </w:r>
      <w:r>
        <w:rPr>
          <w:rFonts w:hint="eastAsia" w:ascii="仿宋_GB2312" w:hAnsi="仿宋_GB2312" w:eastAsia="仿宋_GB2312" w:cs="仿宋_GB2312"/>
          <w:sz w:val="32"/>
          <w:szCs w:val="32"/>
        </w:rPr>
        <w:t>及时查处治理</w:t>
      </w:r>
      <w:r>
        <w:rPr>
          <w:rFonts w:hint="eastAsia" w:ascii="仿宋_GB2312" w:hAnsi="仿宋_GB2312" w:eastAsia="仿宋_GB2312" w:cs="仿宋_GB2312"/>
          <w:sz w:val="32"/>
          <w:szCs w:val="32"/>
          <w:lang w:eastAsia="zh-CN"/>
        </w:rPr>
        <w:t>。</w:t>
      </w:r>
    </w:p>
    <w:p>
      <w:pPr>
        <w:keepNext w:val="0"/>
        <w:keepLines w:val="0"/>
        <w:pageBreakBefore w:val="0"/>
        <w:widowControl w:val="0"/>
        <w:numPr>
          <w:ilvl w:val="0"/>
          <w:numId w:val="0"/>
        </w:numPr>
        <w:tabs>
          <w:tab w:val="clear" w:pos="312"/>
        </w:tabs>
        <w:kinsoku/>
        <w:wordWrap/>
        <w:overflowPunct/>
        <w:topLinePunct w:val="0"/>
        <w:autoSpaceDE/>
        <w:autoSpaceDN/>
        <w:bidi w:val="0"/>
        <w:snapToGrid/>
        <w:spacing w:line="578" w:lineRule="exact"/>
        <w:ind w:right="0" w:rightChars="0" w:firstLine="643" w:firstLineChars="200"/>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b/>
          <w:bCs/>
          <w:color w:val="000000"/>
          <w:sz w:val="32"/>
          <w:szCs w:val="32"/>
          <w:lang w:val="en-US" w:eastAsia="zh-CN"/>
        </w:rPr>
        <w:t>四是深入开展“双创四进”活动</w:t>
      </w:r>
      <w:r>
        <w:rPr>
          <w:rFonts w:hint="eastAsia" w:ascii="仿宋_GB2312" w:hAnsi="仿宋_GB2312" w:eastAsia="仿宋_GB2312" w:cs="仿宋_GB2312"/>
          <w:color w:val="000000"/>
          <w:sz w:val="32"/>
          <w:szCs w:val="32"/>
          <w:lang w:val="en-US" w:eastAsia="zh-CN"/>
        </w:rPr>
        <w:t>。组织开展创建活动专项培训，建立创建指导员队伍，推动和指导创建活动的开展；为每个场所统一制作安装了宣传</w:t>
      </w:r>
      <w:bookmarkStart w:id="0" w:name="_GoBack"/>
      <w:bookmarkEnd w:id="0"/>
      <w:r>
        <w:rPr>
          <w:rFonts w:hint="eastAsia" w:ascii="仿宋_GB2312" w:hAnsi="仿宋_GB2312" w:eastAsia="仿宋_GB2312" w:cs="仿宋_GB2312"/>
          <w:color w:val="000000"/>
          <w:sz w:val="32"/>
          <w:szCs w:val="32"/>
          <w:lang w:val="en-US" w:eastAsia="zh-CN"/>
        </w:rPr>
        <w:t>宪法、社会主义核心价值观、中华优秀传统文化和宗教事务条例的宣传牌；为每个宗教场所购买《中华人民共和国宪法》，开展“五星红旗飘起来”活动，在国庆等重大节日期间开展升国旗仪式。</w:t>
      </w:r>
    </w:p>
    <w:p>
      <w:pPr>
        <w:ind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部分涉密。</w:t>
      </w:r>
    </w:p>
    <w:p>
      <w:pPr>
        <w:rPr>
          <w:rFonts w:hint="eastAsia" w:ascii="黑体" w:hAnsi="黑体" w:eastAsia="黑体" w:cs="黑体"/>
          <w:b/>
          <w:bCs/>
          <w:sz w:val="32"/>
          <w:szCs w:val="32"/>
          <w:lang w:eastAsia="zh-CN"/>
        </w:rPr>
      </w:pPr>
      <w:r>
        <w:rPr>
          <w:rFonts w:hint="eastAsia" w:ascii="仿宋_GB2312" w:eastAsia="仿宋_GB2312"/>
          <w:b/>
          <w:bCs/>
          <w:sz w:val="32"/>
          <w:szCs w:val="32"/>
          <w:lang w:val="en-US" w:eastAsia="zh-CN"/>
        </w:rPr>
        <w:t xml:space="preserve">    </w:t>
      </w:r>
      <w:r>
        <w:rPr>
          <w:rFonts w:hint="eastAsia" w:ascii="黑体" w:hAnsi="黑体" w:eastAsia="黑体" w:cs="黑体"/>
          <w:b w:val="0"/>
          <w:bCs w:val="0"/>
          <w:sz w:val="32"/>
          <w:szCs w:val="32"/>
          <w:lang w:val="en-US" w:eastAsia="zh-CN"/>
        </w:rPr>
        <w:t>三、</w:t>
      </w:r>
      <w:r>
        <w:rPr>
          <w:rFonts w:hint="eastAsia" w:ascii="黑体" w:hAnsi="黑体" w:eastAsia="黑体" w:cs="黑体"/>
          <w:b w:val="0"/>
          <w:bCs w:val="0"/>
          <w:sz w:val="32"/>
          <w:szCs w:val="32"/>
          <w:lang w:eastAsia="zh-CN"/>
        </w:rPr>
        <w:t>项目执行及绩效实现情况</w:t>
      </w:r>
    </w:p>
    <w:p>
      <w:pPr>
        <w:rPr>
          <w:rFonts w:hint="eastAsia" w:ascii="楷体_GB2312" w:hAnsi="楷体_GB2312" w:eastAsia="楷体_GB2312" w:cs="楷体_GB2312"/>
          <w:b w:val="0"/>
          <w:bCs w:val="0"/>
          <w:sz w:val="32"/>
          <w:szCs w:val="32"/>
          <w:lang w:val="en-US" w:eastAsia="zh-CN"/>
        </w:rPr>
      </w:pPr>
      <w:r>
        <w:rPr>
          <w:rFonts w:hint="eastAsia" w:ascii="楷体_GB2312" w:hAnsi="楷体_GB2312" w:eastAsia="楷体_GB2312" w:cs="楷体_GB2312"/>
          <w:b w:val="0"/>
          <w:bCs w:val="0"/>
          <w:sz w:val="32"/>
          <w:szCs w:val="32"/>
          <w:lang w:val="en-US" w:eastAsia="zh-CN"/>
        </w:rPr>
        <w:t xml:space="preserve">   （一）项目投入</w:t>
      </w:r>
    </w:p>
    <w:p>
      <w:pPr>
        <w:ind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1.</w:t>
      </w:r>
      <w:r>
        <w:rPr>
          <w:rFonts w:hint="default" w:ascii="仿宋_GB2312" w:eastAsia="仿宋_GB2312"/>
          <w:b w:val="0"/>
          <w:bCs w:val="0"/>
          <w:sz w:val="32"/>
          <w:szCs w:val="32"/>
          <w:lang w:val="en-US" w:eastAsia="zh-CN"/>
        </w:rPr>
        <w:t>项目</w:t>
      </w:r>
      <w:r>
        <w:rPr>
          <w:rFonts w:hint="eastAsia" w:ascii="仿宋_GB2312" w:eastAsia="仿宋_GB2312"/>
          <w:b w:val="0"/>
          <w:bCs w:val="0"/>
          <w:sz w:val="32"/>
          <w:szCs w:val="32"/>
          <w:lang w:val="en-US" w:eastAsia="zh-CN"/>
        </w:rPr>
        <w:t>立项情况分析。</w:t>
      </w:r>
    </w:p>
    <w:p>
      <w:pPr>
        <w:spacing w:line="578" w:lineRule="exact"/>
        <w:ind w:firstLine="640" w:firstLineChars="200"/>
        <w:rPr>
          <w:rFonts w:ascii="仿宋_GB2312" w:eastAsia="仿宋_GB2312"/>
          <w:sz w:val="32"/>
          <w:szCs w:val="32"/>
        </w:rPr>
      </w:pPr>
      <w:r>
        <w:rPr>
          <w:rFonts w:ascii="仿宋_GB2312" w:eastAsia="仿宋_GB2312"/>
          <w:sz w:val="32"/>
          <w:szCs w:val="32"/>
        </w:rPr>
        <w:t>项目</w:t>
      </w:r>
      <w:r>
        <w:rPr>
          <w:rFonts w:hint="eastAsia" w:ascii="仿宋_GB2312" w:eastAsia="仿宋_GB2312"/>
          <w:sz w:val="32"/>
          <w:szCs w:val="32"/>
        </w:rPr>
        <w:t>立项情况分析。该项目</w:t>
      </w:r>
      <w:r>
        <w:rPr>
          <w:rFonts w:ascii="仿宋_GB2312" w:eastAsia="仿宋_GB2312"/>
          <w:sz w:val="32"/>
          <w:szCs w:val="32"/>
        </w:rPr>
        <w:t>立项规范</w:t>
      </w:r>
      <w:r>
        <w:rPr>
          <w:rFonts w:hint="eastAsia" w:ascii="仿宋_GB2312" w:eastAsia="仿宋_GB2312"/>
          <w:sz w:val="32"/>
          <w:szCs w:val="32"/>
        </w:rPr>
        <w:t>、绩效目标合理、绩效指标明确，经分析，项目投入分值为</w:t>
      </w:r>
      <w:r>
        <w:rPr>
          <w:rFonts w:hint="eastAsia" w:ascii="仿宋_GB2312" w:eastAsia="仿宋_GB2312"/>
          <w:sz w:val="32"/>
          <w:szCs w:val="32"/>
          <w:lang w:val="en-US" w:eastAsia="zh-CN"/>
        </w:rPr>
        <w:t>100</w:t>
      </w:r>
      <w:r>
        <w:rPr>
          <w:rFonts w:hint="eastAsia" w:ascii="仿宋_GB2312" w:eastAsia="仿宋_GB2312"/>
          <w:sz w:val="32"/>
          <w:szCs w:val="32"/>
        </w:rPr>
        <w:t>分。</w:t>
      </w:r>
    </w:p>
    <w:p>
      <w:pPr>
        <w:numPr>
          <w:ilvl w:val="0"/>
          <w:numId w:val="4"/>
        </w:numPr>
        <w:tabs>
          <w:tab w:val="left" w:pos="312"/>
        </w:tabs>
        <w:ind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资金落实情况分析。</w:t>
      </w:r>
    </w:p>
    <w:p>
      <w:pPr>
        <w:numPr>
          <w:ilvl w:val="0"/>
          <w:numId w:val="0"/>
        </w:numPr>
        <w:tabs>
          <w:tab w:val="clear" w:pos="312"/>
        </w:tabs>
        <w:rPr>
          <w:rFonts w:hint="default"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 xml:space="preserve">   </w:t>
      </w:r>
      <w:r>
        <w:rPr>
          <w:rFonts w:hint="eastAsia" w:ascii="仿宋_GB2312" w:eastAsia="仿宋_GB2312"/>
          <w:sz w:val="32"/>
          <w:szCs w:val="32"/>
        </w:rPr>
        <w:t>该项目为区财政资金，资金到位和到位及时等情况好，经分析，资金落实情况分值为</w:t>
      </w:r>
      <w:r>
        <w:rPr>
          <w:rFonts w:hint="eastAsia" w:ascii="仿宋_GB2312" w:eastAsia="仿宋_GB2312"/>
          <w:sz w:val="32"/>
          <w:szCs w:val="32"/>
          <w:lang w:val="en-US" w:eastAsia="zh-CN"/>
        </w:rPr>
        <w:t>100</w:t>
      </w:r>
      <w:r>
        <w:rPr>
          <w:rFonts w:hint="eastAsia" w:ascii="仿宋_GB2312" w:eastAsia="仿宋_GB2312"/>
          <w:sz w:val="32"/>
          <w:szCs w:val="32"/>
        </w:rPr>
        <w:t>分。</w:t>
      </w:r>
    </w:p>
    <w:p>
      <w:pPr>
        <w:rPr>
          <w:rFonts w:hint="eastAsia" w:ascii="楷体_GB2312" w:hAnsi="楷体_GB2312" w:eastAsia="楷体_GB2312" w:cs="楷体_GB2312"/>
          <w:b w:val="0"/>
          <w:bCs w:val="0"/>
          <w:sz w:val="32"/>
          <w:szCs w:val="32"/>
          <w:lang w:val="en-US" w:eastAsia="zh-CN"/>
        </w:rPr>
      </w:pPr>
      <w:r>
        <w:rPr>
          <w:rFonts w:hint="eastAsia" w:ascii="仿宋_GB2312" w:eastAsia="仿宋_GB2312"/>
          <w:b w:val="0"/>
          <w:bCs w:val="0"/>
          <w:sz w:val="32"/>
          <w:szCs w:val="32"/>
          <w:lang w:val="en-US" w:eastAsia="zh-CN"/>
        </w:rPr>
        <w:t xml:space="preserve">   </w:t>
      </w:r>
      <w:r>
        <w:rPr>
          <w:rFonts w:hint="eastAsia" w:ascii="楷体_GB2312" w:hAnsi="楷体_GB2312" w:eastAsia="楷体_GB2312" w:cs="楷体_GB2312"/>
          <w:b w:val="0"/>
          <w:bCs w:val="0"/>
          <w:sz w:val="32"/>
          <w:szCs w:val="32"/>
          <w:lang w:val="en-US" w:eastAsia="zh-CN"/>
        </w:rPr>
        <w:t>（二）项目实施过程</w:t>
      </w:r>
    </w:p>
    <w:p>
      <w:pPr>
        <w:spacing w:line="578" w:lineRule="exact"/>
        <w:ind w:firstLine="640" w:firstLineChars="200"/>
        <w:rPr>
          <w:rFonts w:ascii="仿宋_GB2312" w:eastAsia="仿宋_GB2312"/>
          <w:sz w:val="32"/>
          <w:szCs w:val="32"/>
        </w:rPr>
      </w:pPr>
      <w:r>
        <w:rPr>
          <w:rFonts w:hint="eastAsia" w:ascii="仿宋_GB2312" w:eastAsia="仿宋_GB2312"/>
          <w:b w:val="0"/>
          <w:bCs w:val="0"/>
          <w:sz w:val="32"/>
          <w:szCs w:val="32"/>
          <w:lang w:val="en-US" w:eastAsia="zh-CN"/>
        </w:rPr>
        <w:t>1.业务管理情况分析。</w:t>
      </w:r>
      <w:r>
        <w:rPr>
          <w:rFonts w:hint="eastAsia" w:ascii="仿宋_GB2312" w:eastAsia="仿宋_GB2312"/>
          <w:sz w:val="32"/>
          <w:szCs w:val="32"/>
        </w:rPr>
        <w:t>该项目管理制度健全、制度执行有效性、项目质量可控，经分析，项目实施过程分值为</w:t>
      </w:r>
      <w:r>
        <w:rPr>
          <w:rFonts w:hint="eastAsia" w:ascii="仿宋_GB2312" w:eastAsia="仿宋_GB2312"/>
          <w:sz w:val="32"/>
          <w:szCs w:val="32"/>
          <w:lang w:val="en-US" w:eastAsia="zh-CN"/>
        </w:rPr>
        <w:t>95</w:t>
      </w:r>
      <w:r>
        <w:rPr>
          <w:rFonts w:hint="eastAsia" w:ascii="仿宋_GB2312" w:eastAsia="仿宋_GB2312"/>
          <w:sz w:val="32"/>
          <w:szCs w:val="32"/>
        </w:rPr>
        <w:t>分。</w:t>
      </w:r>
    </w:p>
    <w:p>
      <w:pPr>
        <w:spacing w:line="578" w:lineRule="exact"/>
        <w:ind w:firstLine="640" w:firstLineChars="200"/>
        <w:rPr>
          <w:rFonts w:ascii="仿宋_GB2312" w:eastAsia="仿宋_GB2312"/>
          <w:sz w:val="32"/>
          <w:szCs w:val="32"/>
        </w:rPr>
      </w:pPr>
      <w:r>
        <w:rPr>
          <w:rFonts w:hint="eastAsia" w:ascii="仿宋_GB2312" w:eastAsia="仿宋_GB2312"/>
          <w:sz w:val="32"/>
          <w:szCs w:val="32"/>
        </w:rPr>
        <w:t>2.财务管理。该项目管理制度健全、资金使用合规、财务监控有效，经分析项目实施过程分值为</w:t>
      </w:r>
      <w:r>
        <w:rPr>
          <w:rFonts w:hint="eastAsia" w:ascii="仿宋_GB2312" w:eastAsia="仿宋_GB2312"/>
          <w:sz w:val="32"/>
          <w:szCs w:val="32"/>
          <w:lang w:val="en-US" w:eastAsia="zh-CN"/>
        </w:rPr>
        <w:t>95</w:t>
      </w:r>
      <w:r>
        <w:rPr>
          <w:rFonts w:hint="eastAsia" w:ascii="仿宋_GB2312" w:eastAsia="仿宋_GB2312"/>
          <w:sz w:val="32"/>
          <w:szCs w:val="32"/>
        </w:rPr>
        <w:t>分。</w:t>
      </w:r>
    </w:p>
    <w:p>
      <w:pPr>
        <w:numPr>
          <w:ilvl w:val="0"/>
          <w:numId w:val="0"/>
        </w:numPr>
        <w:tabs>
          <w:tab w:val="clear" w:pos="312"/>
        </w:tabs>
        <w:rPr>
          <w:rFonts w:hint="eastAsia" w:ascii="仿宋_GB2312" w:eastAsia="仿宋_GB2312"/>
          <w:b/>
          <w:bCs/>
          <w:sz w:val="32"/>
          <w:szCs w:val="32"/>
          <w:lang w:val="en-US" w:eastAsia="zh-CN"/>
        </w:rPr>
      </w:pPr>
      <w:r>
        <w:rPr>
          <w:rFonts w:hint="eastAsia" w:ascii="仿宋_GB2312" w:eastAsia="仿宋_GB2312"/>
          <w:b/>
          <w:bCs/>
          <w:sz w:val="32"/>
          <w:szCs w:val="32"/>
          <w:lang w:val="en-US" w:eastAsia="zh-CN"/>
        </w:rPr>
        <w:t xml:space="preserve">   </w:t>
      </w:r>
      <w:r>
        <w:rPr>
          <w:rFonts w:hint="eastAsia" w:ascii="楷体_GB2312" w:hAnsi="楷体_GB2312" w:eastAsia="楷体_GB2312" w:cs="楷体_GB2312"/>
          <w:b w:val="0"/>
          <w:bCs w:val="0"/>
          <w:sz w:val="32"/>
          <w:szCs w:val="32"/>
          <w:lang w:val="en-US" w:eastAsia="zh-CN"/>
        </w:rPr>
        <w:t>（三）项目产出</w:t>
      </w:r>
    </w:p>
    <w:p>
      <w:pPr>
        <w:numPr>
          <w:ilvl w:val="0"/>
          <w:numId w:val="0"/>
        </w:numPr>
        <w:tabs>
          <w:tab w:val="clear" w:pos="312"/>
        </w:tabs>
        <w:ind w:firstLine="640" w:firstLineChars="200"/>
        <w:rPr>
          <w:rFonts w:hint="eastAsia" w:ascii="仿宋" w:hAnsi="仿宋" w:eastAsia="仿宋"/>
          <w:sz w:val="32"/>
          <w:szCs w:val="32"/>
          <w:lang w:val="en-US" w:eastAsia="zh-CN"/>
        </w:rPr>
      </w:pPr>
      <w:r>
        <w:rPr>
          <w:rFonts w:hint="eastAsia" w:ascii="仿宋" w:hAnsi="仿宋" w:eastAsia="仿宋"/>
          <w:sz w:val="32"/>
          <w:szCs w:val="32"/>
          <w:lang w:eastAsia="zh-CN"/>
        </w:rPr>
        <w:t>该项目的实际完成率、完成及时率、质量达标率、成本节约率良好，经分析，项目产出分值为</w:t>
      </w:r>
      <w:r>
        <w:rPr>
          <w:rFonts w:hint="eastAsia" w:ascii="仿宋" w:hAnsi="仿宋" w:eastAsia="仿宋"/>
          <w:sz w:val="32"/>
          <w:szCs w:val="32"/>
          <w:lang w:val="en-US" w:eastAsia="zh-CN"/>
        </w:rPr>
        <w:t>95分。</w:t>
      </w:r>
    </w:p>
    <w:p>
      <w:pPr>
        <w:numPr>
          <w:ilvl w:val="0"/>
          <w:numId w:val="0"/>
        </w:numPr>
        <w:tabs>
          <w:tab w:val="clear" w:pos="312"/>
        </w:tabs>
        <w:rPr>
          <w:rFonts w:hint="eastAsia" w:ascii="楷体_GB2312" w:hAnsi="楷体_GB2312" w:eastAsia="楷体_GB2312" w:cs="楷体_GB2312"/>
          <w:b w:val="0"/>
          <w:bCs w:val="0"/>
          <w:sz w:val="32"/>
          <w:szCs w:val="32"/>
          <w:lang w:val="en-US" w:eastAsia="zh-CN"/>
        </w:rPr>
      </w:pPr>
      <w:r>
        <w:rPr>
          <w:rFonts w:hint="eastAsia" w:ascii="楷体_GB2312" w:hAnsi="楷体_GB2312" w:eastAsia="楷体_GB2312" w:cs="楷体_GB2312"/>
          <w:b/>
          <w:bCs/>
          <w:sz w:val="32"/>
          <w:szCs w:val="32"/>
          <w:lang w:val="en-US" w:eastAsia="zh-CN"/>
        </w:rPr>
        <w:t xml:space="preserve">   </w:t>
      </w:r>
      <w:r>
        <w:rPr>
          <w:rFonts w:hint="eastAsia" w:ascii="楷体_GB2312" w:hAnsi="楷体_GB2312" w:eastAsia="楷体_GB2312" w:cs="楷体_GB2312"/>
          <w:b w:val="0"/>
          <w:bCs w:val="0"/>
          <w:sz w:val="32"/>
          <w:szCs w:val="32"/>
          <w:lang w:val="en-US" w:eastAsia="zh-CN"/>
        </w:rPr>
        <w:t>（四）项目效果</w:t>
      </w:r>
    </w:p>
    <w:p>
      <w:pPr>
        <w:numPr>
          <w:ilvl w:val="0"/>
          <w:numId w:val="0"/>
        </w:numPr>
        <w:tabs>
          <w:tab w:val="clear" w:pos="312"/>
        </w:tabs>
        <w:ind w:firstLine="640" w:firstLineChars="200"/>
        <w:rPr>
          <w:rFonts w:hint="eastAsia" w:ascii="仿宋_GB2312" w:eastAsia="仿宋_GB2312"/>
          <w:sz w:val="32"/>
          <w:szCs w:val="32"/>
          <w:lang w:val="en-US" w:eastAsia="zh-CN"/>
        </w:rPr>
      </w:pPr>
      <w:r>
        <w:rPr>
          <w:rFonts w:hint="eastAsia" w:ascii="仿宋_GB2312" w:eastAsia="仿宋_GB2312"/>
          <w:sz w:val="32"/>
          <w:szCs w:val="32"/>
        </w:rPr>
        <w:t>该项目的经济效益、社会效益、生态效益好、可持续影响明显，社会公众满意度高，经分析，项目效果分值为</w:t>
      </w:r>
      <w:r>
        <w:rPr>
          <w:rFonts w:hint="eastAsia" w:ascii="仿宋_GB2312" w:eastAsia="仿宋_GB2312"/>
          <w:sz w:val="32"/>
          <w:szCs w:val="32"/>
          <w:lang w:val="en-US" w:eastAsia="zh-CN"/>
        </w:rPr>
        <w:t>95</w:t>
      </w:r>
      <w:r>
        <w:rPr>
          <w:rFonts w:hint="eastAsia" w:ascii="仿宋_GB2312" w:eastAsia="仿宋_GB2312"/>
          <w:sz w:val="32"/>
          <w:szCs w:val="32"/>
        </w:rPr>
        <w:t>分。</w:t>
      </w:r>
      <w:r>
        <w:rPr>
          <w:rFonts w:hint="eastAsia" w:ascii="仿宋_GB2312" w:eastAsia="仿宋_GB2312"/>
          <w:sz w:val="32"/>
          <w:szCs w:val="32"/>
          <w:lang w:val="en-US" w:eastAsia="zh-CN"/>
        </w:rPr>
        <w:t xml:space="preserve"> </w:t>
      </w:r>
    </w:p>
    <w:p>
      <w:pPr>
        <w:numPr>
          <w:ilvl w:val="0"/>
          <w:numId w:val="0"/>
        </w:numPr>
        <w:tabs>
          <w:tab w:val="clear" w:pos="312"/>
        </w:tabs>
        <w:ind w:firstLine="640" w:firstLineChars="200"/>
        <w:rPr>
          <w:rFonts w:hint="eastAsia" w:ascii="黑体" w:hAnsi="黑体" w:eastAsia="黑体"/>
          <w:b w:val="0"/>
          <w:bCs w:val="0"/>
          <w:sz w:val="32"/>
          <w:szCs w:val="32"/>
          <w:lang w:val="en-US" w:eastAsia="zh-CN"/>
        </w:rPr>
      </w:pPr>
      <w:r>
        <w:rPr>
          <w:rFonts w:hint="eastAsia" w:ascii="黑体" w:hAnsi="黑体" w:eastAsia="黑体"/>
          <w:b w:val="0"/>
          <w:bCs w:val="0"/>
          <w:sz w:val="32"/>
          <w:szCs w:val="32"/>
          <w:lang w:val="en-US" w:eastAsia="zh-CN"/>
        </w:rPr>
        <w:t>四、项目综合评价结论和评价等级</w:t>
      </w:r>
    </w:p>
    <w:p>
      <w:pPr>
        <w:numPr>
          <w:ilvl w:val="0"/>
          <w:numId w:val="0"/>
        </w:numPr>
        <w:tabs>
          <w:tab w:val="clear" w:pos="312"/>
        </w:tabs>
        <w:ind w:firstLine="640" w:firstLineChars="200"/>
        <w:rPr>
          <w:rFonts w:hint="eastAsia" w:ascii="仿宋_GB2312" w:eastAsia="仿宋_GB2312"/>
          <w:sz w:val="32"/>
          <w:szCs w:val="32"/>
        </w:rPr>
      </w:pPr>
      <w:r>
        <w:rPr>
          <w:rFonts w:hint="eastAsia" w:ascii="仿宋_GB2312" w:eastAsia="仿宋_GB2312"/>
          <w:sz w:val="32"/>
          <w:szCs w:val="32"/>
        </w:rPr>
        <w:t>根据项目执行情况和项目绩效情况，该项目综合绩效评价分为</w:t>
      </w:r>
      <w:r>
        <w:rPr>
          <w:rFonts w:hint="eastAsia" w:ascii="仿宋_GB2312" w:eastAsia="仿宋_GB2312"/>
          <w:sz w:val="32"/>
          <w:szCs w:val="32"/>
          <w:lang w:val="en-US" w:eastAsia="zh-CN"/>
        </w:rPr>
        <w:t>95</w:t>
      </w:r>
      <w:r>
        <w:rPr>
          <w:rFonts w:hint="eastAsia" w:ascii="仿宋_GB2312" w:eastAsia="仿宋_GB2312"/>
          <w:sz w:val="32"/>
          <w:szCs w:val="32"/>
        </w:rPr>
        <w:t>分，优秀。</w:t>
      </w:r>
    </w:p>
    <w:p>
      <w:pPr>
        <w:numPr>
          <w:ilvl w:val="0"/>
          <w:numId w:val="0"/>
        </w:numPr>
        <w:tabs>
          <w:tab w:val="clear" w:pos="312"/>
        </w:tabs>
        <w:ind w:firstLine="640" w:firstLineChars="200"/>
        <w:rPr>
          <w:rFonts w:hint="eastAsia" w:ascii="仿宋_GB2312" w:eastAsia="仿宋_GB2312"/>
          <w:b w:val="0"/>
          <w:bCs w:val="0"/>
          <w:sz w:val="32"/>
          <w:szCs w:val="32"/>
          <w:lang w:val="en-US" w:eastAsia="zh-CN"/>
        </w:rPr>
      </w:pPr>
      <w:r>
        <w:rPr>
          <w:rFonts w:hint="eastAsia" w:ascii="黑体" w:hAnsi="黑体" w:eastAsia="黑体"/>
          <w:b w:val="0"/>
          <w:bCs w:val="0"/>
          <w:sz w:val="32"/>
          <w:szCs w:val="32"/>
          <w:lang w:val="en-US" w:eastAsia="zh-CN"/>
        </w:rPr>
        <w:t>五、存在的问题及改进措施</w:t>
      </w:r>
    </w:p>
    <w:p>
      <w:pPr>
        <w:numPr>
          <w:ilvl w:val="0"/>
          <w:numId w:val="0"/>
        </w:numPr>
        <w:tabs>
          <w:tab w:val="clear" w:pos="312"/>
        </w:tabs>
        <w:rPr>
          <w:rFonts w:hint="eastAsia" w:ascii="楷体_GB2312" w:hAnsi="楷体_GB2312" w:eastAsia="楷体_GB2312"/>
          <w:b w:val="0"/>
          <w:bCs w:val="0"/>
          <w:sz w:val="32"/>
          <w:szCs w:val="32"/>
          <w:lang w:val="en-US" w:eastAsia="zh-CN"/>
        </w:rPr>
      </w:pPr>
      <w:r>
        <w:rPr>
          <w:rFonts w:hint="eastAsia" w:ascii="楷体_GB2312" w:hAnsi="楷体_GB2312" w:eastAsia="楷体_GB2312"/>
          <w:b/>
          <w:bCs/>
          <w:sz w:val="32"/>
          <w:szCs w:val="32"/>
          <w:lang w:val="en-US" w:eastAsia="zh-CN"/>
        </w:rPr>
        <w:t xml:space="preserve">   </w:t>
      </w:r>
      <w:r>
        <w:rPr>
          <w:rFonts w:hint="eastAsia" w:ascii="楷体_GB2312" w:hAnsi="楷体_GB2312" w:eastAsia="楷体_GB2312"/>
          <w:b w:val="0"/>
          <w:bCs w:val="0"/>
          <w:sz w:val="32"/>
          <w:szCs w:val="32"/>
          <w:lang w:val="en-US" w:eastAsia="zh-CN"/>
        </w:rPr>
        <w:t>（一）项目存在的主要问题</w:t>
      </w:r>
    </w:p>
    <w:p>
      <w:pPr>
        <w:numPr>
          <w:ilvl w:val="0"/>
          <w:numId w:val="0"/>
        </w:numPr>
        <w:tabs>
          <w:tab w:val="clear" w:pos="312"/>
        </w:tabs>
        <w:ind w:firstLine="640" w:firstLineChars="200"/>
        <w:rPr>
          <w:rFonts w:hint="default" w:ascii="楷体_GB2312" w:hAnsi="楷体_GB2312" w:eastAsia="楷体_GB2312"/>
          <w:b w:val="0"/>
          <w:bCs w:val="0"/>
          <w:sz w:val="32"/>
          <w:szCs w:val="32"/>
          <w:lang w:val="en-US" w:eastAsia="zh-CN"/>
        </w:rPr>
      </w:pPr>
      <w:r>
        <w:rPr>
          <w:rFonts w:hint="eastAsia" w:ascii="楷体_GB2312" w:hAnsi="楷体_GB2312" w:eastAsia="楷体_GB2312"/>
          <w:b w:val="0"/>
          <w:bCs w:val="0"/>
          <w:sz w:val="32"/>
          <w:szCs w:val="32"/>
          <w:lang w:val="en-US" w:eastAsia="zh-CN"/>
        </w:rPr>
        <w:t>工作开展进度慢。</w:t>
      </w:r>
    </w:p>
    <w:p>
      <w:pPr>
        <w:numPr>
          <w:ilvl w:val="0"/>
          <w:numId w:val="0"/>
        </w:numPr>
        <w:tabs>
          <w:tab w:val="clear" w:pos="312"/>
        </w:tabs>
        <w:ind w:left="481" w:leftChars="0"/>
        <w:rPr>
          <w:rFonts w:hint="eastAsia" w:ascii="楷体_GB2312" w:hAnsi="楷体_GB2312" w:eastAsia="楷体_GB2312"/>
          <w:b w:val="0"/>
          <w:bCs w:val="0"/>
          <w:sz w:val="32"/>
          <w:szCs w:val="32"/>
          <w:lang w:val="en-US" w:eastAsia="zh-CN"/>
        </w:rPr>
      </w:pPr>
      <w:r>
        <w:rPr>
          <w:rFonts w:hint="eastAsia" w:ascii="楷体_GB2312" w:hAnsi="楷体_GB2312" w:eastAsia="楷体_GB2312"/>
          <w:b w:val="0"/>
          <w:bCs w:val="0"/>
          <w:sz w:val="32"/>
          <w:szCs w:val="32"/>
          <w:lang w:val="en-US" w:eastAsia="zh-CN"/>
        </w:rPr>
        <w:t>（二）针对问题提出具体的改进措施或建议</w:t>
      </w:r>
    </w:p>
    <w:p>
      <w:pPr>
        <w:numPr>
          <w:ilvl w:val="0"/>
          <w:numId w:val="0"/>
        </w:numPr>
        <w:tabs>
          <w:tab w:val="clear" w:pos="312"/>
        </w:tabs>
        <w:ind w:left="481" w:leftChars="0"/>
        <w:rPr>
          <w:rFonts w:hint="eastAsia" w:ascii="楷体_GB2312" w:hAnsi="楷体_GB2312" w:eastAsia="楷体_GB2312"/>
          <w:b w:val="0"/>
          <w:bCs w:val="0"/>
          <w:sz w:val="32"/>
          <w:szCs w:val="32"/>
          <w:lang w:val="en-US" w:eastAsia="zh-CN"/>
        </w:rPr>
      </w:pPr>
      <w:r>
        <w:rPr>
          <w:rFonts w:hint="eastAsia" w:ascii="楷体_GB2312" w:hAnsi="楷体_GB2312" w:eastAsia="楷体_GB2312"/>
          <w:b w:val="0"/>
          <w:bCs w:val="0"/>
          <w:sz w:val="32"/>
          <w:szCs w:val="32"/>
          <w:lang w:val="en-US" w:eastAsia="zh-CN"/>
        </w:rPr>
        <w:t>提早做好计划，加快项目开展进度。</w:t>
      </w:r>
    </w:p>
    <w:p>
      <w:pPr>
        <w:numPr>
          <w:ilvl w:val="0"/>
          <w:numId w:val="5"/>
        </w:numPr>
        <w:adjustRightInd w:val="0"/>
        <w:snapToGrid w:val="0"/>
        <w:spacing w:line="360" w:lineRule="auto"/>
        <w:ind w:firstLine="640" w:firstLineChars="200"/>
        <w:rPr>
          <w:rFonts w:hint="eastAsia" w:ascii="黑体" w:eastAsia="黑体"/>
          <w:b w:val="0"/>
          <w:bCs w:val="0"/>
          <w:sz w:val="32"/>
          <w:szCs w:val="32"/>
        </w:rPr>
      </w:pPr>
      <w:r>
        <w:rPr>
          <w:rFonts w:hint="eastAsia" w:ascii="黑体" w:eastAsia="黑体"/>
          <w:b w:val="0"/>
          <w:bCs w:val="0"/>
          <w:sz w:val="32"/>
          <w:szCs w:val="32"/>
        </w:rPr>
        <w:t>评价工作组人员名单及签字</w:t>
      </w:r>
    </w:p>
    <w:p>
      <w:pPr>
        <w:numPr>
          <w:ilvl w:val="0"/>
          <w:numId w:val="0"/>
        </w:numPr>
        <w:tabs>
          <w:tab w:val="clear" w:pos="312"/>
        </w:tabs>
        <w:adjustRightInd w:val="0"/>
        <w:snapToGrid w:val="0"/>
        <w:spacing w:line="360" w:lineRule="auto"/>
        <w:ind w:firstLine="640" w:firstLineChars="200"/>
        <w:rPr>
          <w:rFonts w:hint="eastAsia" w:ascii="黑体" w:eastAsia="黑体"/>
          <w:b w:val="0"/>
          <w:bCs w:val="0"/>
          <w:sz w:val="32"/>
          <w:szCs w:val="32"/>
          <w:lang w:val="en-US" w:eastAsia="zh-CN"/>
        </w:rPr>
      </w:pPr>
      <w:r>
        <w:rPr>
          <w:rFonts w:hint="eastAsia" w:ascii="黑体" w:eastAsia="黑体"/>
          <w:b w:val="0"/>
          <w:bCs w:val="0"/>
          <w:sz w:val="32"/>
          <w:szCs w:val="32"/>
          <w:lang w:val="en-US" w:eastAsia="zh-CN"/>
        </w:rPr>
        <w:t>统战部常务副部长：梁宝昆</w:t>
      </w:r>
    </w:p>
    <w:p>
      <w:pPr>
        <w:numPr>
          <w:ilvl w:val="0"/>
          <w:numId w:val="0"/>
        </w:numPr>
        <w:tabs>
          <w:tab w:val="clear" w:pos="312"/>
        </w:tabs>
        <w:adjustRightInd w:val="0"/>
        <w:snapToGrid w:val="0"/>
        <w:spacing w:line="360" w:lineRule="auto"/>
        <w:rPr>
          <w:rFonts w:hint="eastAsia" w:ascii="黑体" w:eastAsia="黑体"/>
          <w:b w:val="0"/>
          <w:bCs w:val="0"/>
          <w:sz w:val="32"/>
          <w:szCs w:val="32"/>
          <w:lang w:val="en-US" w:eastAsia="zh-CN"/>
        </w:rPr>
      </w:pPr>
      <w:r>
        <w:rPr>
          <w:rFonts w:hint="eastAsia" w:ascii="黑体" w:eastAsia="黑体"/>
          <w:b w:val="0"/>
          <w:bCs w:val="0"/>
          <w:sz w:val="32"/>
          <w:szCs w:val="32"/>
          <w:lang w:val="en-US" w:eastAsia="zh-CN"/>
        </w:rPr>
        <w:t xml:space="preserve">   统战部办公室秘书：李建江</w:t>
      </w:r>
    </w:p>
    <w:p>
      <w:pPr>
        <w:numPr>
          <w:ilvl w:val="0"/>
          <w:numId w:val="0"/>
        </w:numPr>
        <w:tabs>
          <w:tab w:val="clear" w:pos="312"/>
        </w:tabs>
        <w:adjustRightInd w:val="0"/>
        <w:snapToGrid w:val="0"/>
        <w:spacing w:line="360" w:lineRule="auto"/>
        <w:rPr>
          <w:rFonts w:hint="default" w:ascii="黑体" w:eastAsia="黑体"/>
          <w:b w:val="0"/>
          <w:bCs w:val="0"/>
          <w:sz w:val="32"/>
          <w:szCs w:val="32"/>
          <w:lang w:val="en-US" w:eastAsia="zh-CN"/>
        </w:rPr>
      </w:pPr>
      <w:r>
        <w:rPr>
          <w:rFonts w:hint="eastAsia" w:ascii="黑体" w:eastAsia="黑体"/>
          <w:b w:val="0"/>
          <w:bCs w:val="0"/>
          <w:sz w:val="32"/>
          <w:szCs w:val="32"/>
          <w:lang w:val="en-US" w:eastAsia="zh-CN"/>
        </w:rPr>
        <w:t xml:space="preserve">   统战部会计：路晓静</w:t>
      </w:r>
    </w:p>
    <w:p>
      <w:pPr>
        <w:rPr>
          <w:rFonts w:hint="eastAsia" w:ascii="仿宋_GB2312" w:eastAsia="仿宋_GB2312"/>
          <w:sz w:val="32"/>
          <w:szCs w:val="32"/>
          <w:lang w:val="en-US" w:eastAsia="zh-CN"/>
        </w:rPr>
      </w:pPr>
    </w:p>
    <w:p>
      <w:pPr>
        <w:rPr>
          <w:rFonts w:hint="eastAsia" w:ascii="仿宋_GB2312"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r>
        <w:rPr>
          <w:rFonts w:hint="eastAsia" w:ascii="仿宋_GB2312" w:hAnsi="宋体" w:eastAsia="仿宋_GB2312"/>
          <w:sz w:val="32"/>
          <w:szCs w:val="32"/>
          <w:lang w:val="en-US" w:eastAsia="zh-CN"/>
        </w:rPr>
        <w:t>附件：</w:t>
      </w:r>
      <w:r>
        <w:rPr>
          <w:rFonts w:hint="default" w:ascii="仿宋_GB2312" w:hAnsi="宋体" w:eastAsia="仿宋_GB2312"/>
          <w:sz w:val="32"/>
          <w:szCs w:val="32"/>
          <w:lang w:val="en-US" w:eastAsia="zh-CN"/>
        </w:rPr>
        <w:t>项目支出绩效评价共性指标体系框架</w:t>
      </w: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right="0" w:rightChars="0"/>
        <w:jc w:val="both"/>
        <w:textAlignment w:val="auto"/>
        <w:outlineLvl w:val="9"/>
        <w:rPr>
          <w:rFonts w:hint="eastAsia" w:ascii="仿宋_GB2312" w:hAnsi="宋体" w:eastAsia="仿宋_GB2312"/>
          <w:sz w:val="32"/>
          <w:szCs w:val="32"/>
          <w:lang w:val="en-US" w:eastAsia="zh-CN"/>
        </w:rPr>
      </w:pPr>
      <w:r>
        <w:rPr>
          <w:rFonts w:hint="eastAsia" w:ascii="黑体" w:hAnsi="黑体" w:eastAsia="黑体" w:cs="黑体"/>
          <w:sz w:val="32"/>
          <w:szCs w:val="32"/>
          <w:lang w:val="en-US" w:eastAsia="zh-CN"/>
        </w:rPr>
        <w:t>附件</w:t>
      </w: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right="0" w:rightChars="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3" w:firstLineChars="200"/>
        <w:jc w:val="both"/>
        <w:textAlignment w:val="auto"/>
        <w:outlineLvl w:val="9"/>
        <w:rPr>
          <w:rFonts w:hint="eastAsia" w:ascii="宋体" w:hAnsi="宋体" w:eastAsia="宋体"/>
          <w:b/>
          <w:i w:val="0"/>
          <w:snapToGrid/>
          <w:color w:val="000000"/>
          <w:sz w:val="32"/>
          <w:u w:val="none"/>
          <w:shd w:val="clear" w:color="auto" w:fill="FFFFFF"/>
          <w:lang w:val="en-US" w:eastAsia="zh-CN"/>
        </w:rPr>
      </w:pPr>
      <w:r>
        <w:rPr>
          <w:rFonts w:hint="eastAsia" w:ascii="宋体" w:hAnsi="宋体"/>
          <w:b/>
          <w:i w:val="0"/>
          <w:snapToGrid/>
          <w:color w:val="000000"/>
          <w:sz w:val="32"/>
          <w:u w:val="none"/>
          <w:shd w:val="clear" w:color="auto" w:fill="FFFFFF"/>
          <w:lang w:val="en-US" w:eastAsia="zh-CN"/>
        </w:rPr>
        <w:t xml:space="preserve">      </w:t>
      </w:r>
      <w:r>
        <w:rPr>
          <w:rFonts w:hint="default" w:ascii="宋体" w:hAnsi="宋体" w:eastAsia="宋体"/>
          <w:b/>
          <w:i w:val="0"/>
          <w:snapToGrid/>
          <w:color w:val="000000"/>
          <w:sz w:val="32"/>
          <w:u w:val="none"/>
          <w:shd w:val="clear" w:color="auto" w:fill="FFFFFF"/>
          <w:lang w:eastAsia="zh-CN"/>
        </w:rPr>
        <w:t>项目支出绩效评价共性指标体系框架</w:t>
      </w:r>
    </w:p>
    <w:tbl>
      <w:tblPr>
        <w:tblStyle w:val="7"/>
        <w:tblW w:w="8646"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742"/>
        <w:gridCol w:w="778"/>
        <w:gridCol w:w="818"/>
        <w:gridCol w:w="2414"/>
        <w:gridCol w:w="3894"/>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55" w:hRule="atLeast"/>
          <w:tblHeader/>
        </w:trPr>
        <w:tc>
          <w:tcPr>
            <w:tcW w:w="742"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i w:val="0"/>
                <w:snapToGrid/>
                <w:color w:val="000000"/>
                <w:sz w:val="24"/>
                <w:szCs w:val="28"/>
                <w:u w:val="none"/>
                <w:shd w:val="clear" w:color="auto" w:fill="FFFFFF"/>
                <w:lang w:eastAsia="zh-CN"/>
              </w:rPr>
            </w:pPr>
            <w:r>
              <w:rPr>
                <w:rFonts w:hint="default" w:ascii="楷体_GB2312" w:hAnsi="楷体_GB2312" w:eastAsia="楷体_GB2312"/>
                <w:b/>
                <w:i w:val="0"/>
                <w:snapToGrid/>
                <w:color w:val="000000"/>
                <w:sz w:val="24"/>
                <w:szCs w:val="28"/>
                <w:u w:val="none"/>
                <w:shd w:val="clear" w:color="auto" w:fill="FFFFFF"/>
                <w:lang w:eastAsia="zh-CN"/>
              </w:rPr>
              <w:t>一级</w:t>
            </w:r>
            <w:r>
              <w:rPr>
                <w:rFonts w:hint="default" w:ascii="楷体_GB2312" w:hAnsi="楷体_GB2312" w:eastAsia="楷体_GB2312"/>
                <w:b/>
                <w:i w:val="0"/>
                <w:snapToGrid/>
                <w:color w:val="000000"/>
                <w:sz w:val="24"/>
                <w:szCs w:val="28"/>
                <w:u w:val="none"/>
                <w:shd w:val="clear" w:color="auto" w:fill="FFFFFF"/>
                <w:lang w:eastAsia="zh-CN"/>
              </w:rPr>
              <w:br w:type="textWrapping"/>
            </w:r>
            <w:r>
              <w:rPr>
                <w:rFonts w:hint="default" w:ascii="楷体_GB2312" w:hAnsi="楷体_GB2312" w:eastAsia="楷体_GB2312"/>
                <w:b/>
                <w:i w:val="0"/>
                <w:snapToGrid/>
                <w:color w:val="000000"/>
                <w:sz w:val="24"/>
                <w:szCs w:val="28"/>
                <w:u w:val="none"/>
                <w:shd w:val="clear" w:color="auto" w:fill="FFFFFF"/>
                <w:lang w:eastAsia="zh-CN"/>
              </w:rPr>
              <w:t>指标</w:t>
            </w:r>
          </w:p>
        </w:tc>
        <w:tc>
          <w:tcPr>
            <w:tcW w:w="77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i w:val="0"/>
                <w:snapToGrid/>
                <w:color w:val="000000"/>
                <w:sz w:val="24"/>
                <w:szCs w:val="28"/>
                <w:u w:val="none"/>
                <w:shd w:val="clear" w:color="auto" w:fill="FFFFFF"/>
                <w:lang w:eastAsia="zh-CN"/>
              </w:rPr>
            </w:pPr>
            <w:r>
              <w:rPr>
                <w:rFonts w:hint="default" w:ascii="楷体_GB2312" w:hAnsi="楷体_GB2312" w:eastAsia="楷体_GB2312"/>
                <w:b/>
                <w:i w:val="0"/>
                <w:snapToGrid/>
                <w:color w:val="000000"/>
                <w:sz w:val="24"/>
                <w:szCs w:val="28"/>
                <w:u w:val="none"/>
                <w:shd w:val="clear" w:color="auto" w:fill="FFFFFF"/>
                <w:lang w:eastAsia="zh-CN"/>
              </w:rPr>
              <w:t>二级</w:t>
            </w:r>
            <w:r>
              <w:rPr>
                <w:rFonts w:hint="default" w:ascii="楷体_GB2312" w:hAnsi="楷体_GB2312" w:eastAsia="楷体_GB2312"/>
                <w:b/>
                <w:i w:val="0"/>
                <w:snapToGrid/>
                <w:color w:val="000000"/>
                <w:sz w:val="24"/>
                <w:szCs w:val="28"/>
                <w:u w:val="none"/>
                <w:shd w:val="clear" w:color="auto" w:fill="FFFFFF"/>
                <w:lang w:eastAsia="zh-CN"/>
              </w:rPr>
              <w:br w:type="textWrapping"/>
            </w:r>
            <w:r>
              <w:rPr>
                <w:rFonts w:hint="default" w:ascii="楷体_GB2312" w:hAnsi="楷体_GB2312" w:eastAsia="楷体_GB2312"/>
                <w:b/>
                <w:i w:val="0"/>
                <w:snapToGrid/>
                <w:color w:val="000000"/>
                <w:sz w:val="24"/>
                <w:szCs w:val="28"/>
                <w:u w:val="none"/>
                <w:shd w:val="clear" w:color="auto" w:fill="FFFFFF"/>
                <w:lang w:eastAsia="zh-CN"/>
              </w:rPr>
              <w:t>指标</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i w:val="0"/>
                <w:snapToGrid/>
                <w:color w:val="000000"/>
                <w:sz w:val="24"/>
                <w:szCs w:val="28"/>
                <w:u w:val="none"/>
                <w:shd w:val="clear" w:color="auto" w:fill="FFFFFF"/>
                <w:lang w:eastAsia="zh-CN"/>
              </w:rPr>
            </w:pPr>
            <w:r>
              <w:rPr>
                <w:rFonts w:hint="default" w:ascii="楷体_GB2312" w:hAnsi="楷体_GB2312" w:eastAsia="楷体_GB2312"/>
                <w:b/>
                <w:i w:val="0"/>
                <w:snapToGrid/>
                <w:color w:val="000000"/>
                <w:sz w:val="24"/>
                <w:szCs w:val="28"/>
                <w:u w:val="none"/>
                <w:shd w:val="clear" w:color="auto" w:fill="FFFFFF"/>
                <w:lang w:eastAsia="zh-CN"/>
              </w:rPr>
              <w:t>三级指标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i w:val="0"/>
                <w:snapToGrid/>
                <w:color w:val="000000"/>
                <w:sz w:val="24"/>
                <w:szCs w:val="28"/>
                <w:u w:val="none"/>
                <w:shd w:val="clear" w:color="auto" w:fill="FFFFFF"/>
                <w:lang w:eastAsia="zh-CN"/>
              </w:rPr>
            </w:pPr>
            <w:r>
              <w:rPr>
                <w:rFonts w:hint="default" w:ascii="楷体_GB2312" w:hAnsi="楷体_GB2312" w:eastAsia="楷体_GB2312"/>
                <w:b/>
                <w:i w:val="0"/>
                <w:snapToGrid/>
                <w:color w:val="000000"/>
                <w:sz w:val="24"/>
                <w:szCs w:val="28"/>
                <w:u w:val="none"/>
                <w:shd w:val="clear" w:color="auto" w:fill="FFFFFF"/>
                <w:lang w:eastAsia="zh-CN"/>
              </w:rPr>
              <w:t>指标解释</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i w:val="0"/>
                <w:snapToGrid/>
                <w:color w:val="000000"/>
                <w:sz w:val="24"/>
                <w:szCs w:val="28"/>
                <w:u w:val="none"/>
                <w:shd w:val="clear" w:color="auto" w:fill="FFFFFF"/>
                <w:lang w:eastAsia="zh-CN"/>
              </w:rPr>
            </w:pPr>
            <w:r>
              <w:rPr>
                <w:rFonts w:hint="default" w:ascii="楷体_GB2312" w:hAnsi="楷体_GB2312" w:eastAsia="楷体_GB2312"/>
                <w:b/>
                <w:i w:val="0"/>
                <w:snapToGrid/>
                <w:color w:val="000000"/>
                <w:sz w:val="24"/>
                <w:szCs w:val="28"/>
                <w:u w:val="none"/>
                <w:shd w:val="clear" w:color="auto" w:fill="FFFFFF"/>
                <w:lang w:eastAsia="zh-CN"/>
              </w:rPr>
              <w:t>指标说明</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380" w:hRule="atLeast"/>
        </w:trPr>
        <w:tc>
          <w:tcPr>
            <w:tcW w:w="742"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投   入</w:t>
            </w:r>
          </w:p>
        </w:tc>
        <w:tc>
          <w:tcPr>
            <w:tcW w:w="778"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立项</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项目立项规范性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项目的申请、设立过程是否符合相关要求，用以反映和考核项目立项的规范情况。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①项目是否按照规定的程序申请设立；</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②所提交的文件、材料是否符合相关要求；</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③事前是否已经过必要的可行性研究、专家论证、风险评估、集体决策等。</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085" w:hRule="atLeast"/>
        </w:trPr>
        <w:tc>
          <w:tcPr>
            <w:tcW w:w="742"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绩效目标合理性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项目所设定的绩效目标是否依据充分，是否符合客观实际，用以反映和考核项目绩效目标与项目实施的相符情况。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①是否符合国家相关法律法规、国民经济发展规划和党委政府决策；</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②是否与项目实施单位或委托单位职责密切相关；</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③项目是否为促进事业发展所必需；</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④项目预期产出效益和效果是否符合正常的业绩水平。</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950" w:hRule="atLeast"/>
        </w:trPr>
        <w:tc>
          <w:tcPr>
            <w:tcW w:w="742"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绩效指标明确性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依据绩效目标设定的绩效指标是否清晰、细化、可衡量等，用以反映和考核项目绩效目标的明细化情况。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①是否将项目绩效目标细化分解为具体的绩效指标；</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②是否通过清晰、可衡量的指标值予以体现；</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③是否与项目年度任务数或计划数相对应；</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④是否与预算确定的项目投资额或资金量相匹配。</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575" w:hRule="atLeast"/>
        </w:trPr>
        <w:tc>
          <w:tcPr>
            <w:tcW w:w="742"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778"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资金</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落实</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资金到位率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实际到位资金与计划投入资金的比率，用以反映和考核资金落实情况对项目实施的总体保障程度。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资金到位率=（实际到位资金/计划投入资金）×100%。</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实际到位资金：一定时期（本年度或项目期）内实际落实到具体项目的资金。</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计划投入资金：一定时期（本年度或项目期）内计划投入到具体项目的资金。</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737" w:hRule="atLeast"/>
        </w:trPr>
        <w:tc>
          <w:tcPr>
            <w:tcW w:w="742" w:type="dxa"/>
            <w:vMerge w:val="continue"/>
            <w:tcBorders>
              <w:top w:val="single" w:color="000000"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到位及时率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及时到位资金与应到位资金的比率，用以反映和考核项目资金落实的及时性程度。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到位及时率=（及时到位资金/应到位资金）×100%。</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及时到位资金：截至规定时点实际落实到具体项目的资金。</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应到位资金：按照合同或项目进度要求截至规定时点应落实到具体项目的资金。</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695" w:hRule="atLeast"/>
        </w:trPr>
        <w:tc>
          <w:tcPr>
            <w:tcW w:w="742" w:type="dxa"/>
            <w:vMerge w:val="restart"/>
            <w:tcBorders>
              <w:top w:val="single" w:color="auto" w:sz="4" w:space="0"/>
              <w:left w:val="single" w:color="auto" w:sz="4" w:space="0"/>
              <w:bottom w:val="single" w:color="auto" w:sz="4" w:space="0"/>
              <w:right w:val="single" w:color="auto"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过   程</w:t>
            </w:r>
          </w:p>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p>
        </w:tc>
        <w:tc>
          <w:tcPr>
            <w:tcW w:w="778" w:type="dxa"/>
            <w:vMerge w:val="restart"/>
            <w:tcBorders>
              <w:top w:val="single" w:color="000000" w:sz="4" w:space="0"/>
              <w:left w:val="single" w:color="auto"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业务</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管理</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管理制度健全性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项目实施单位的业务管理制度是否健全，用以反映和考核业务管理制度对项目顺利实施的保障情况。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①是否已制定或具有相应的业务管理制度；</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②业务管理制度是否合法、合规、完整。</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370" w:hRule="atLeast"/>
        </w:trPr>
        <w:tc>
          <w:tcPr>
            <w:tcW w:w="742" w:type="dxa"/>
            <w:vMerge w:val="continue"/>
            <w:tcBorders>
              <w:top w:val="single" w:color="auto" w:sz="4" w:space="0"/>
              <w:left w:val="single" w:color="auto" w:sz="4" w:space="0"/>
              <w:bottom w:val="single" w:color="auto" w:sz="4" w:space="0"/>
              <w:right w:val="single" w:color="auto" w:sz="4" w:space="0"/>
            </w:tcBorders>
            <w:shd w:val="solid" w:color="FFFFFF" w:fill="auto"/>
            <w:vAlign w:val="center"/>
          </w:tcPr>
          <w:p>
            <w:pPr>
              <w:rPr>
                <w:rFonts w:hint="default"/>
                <w:sz w:val="22"/>
              </w:rPr>
            </w:pPr>
          </w:p>
        </w:tc>
        <w:tc>
          <w:tcPr>
            <w:tcW w:w="778" w:type="dxa"/>
            <w:vMerge w:val="continue"/>
            <w:tcBorders>
              <w:top w:val="single" w:color="000000" w:sz="4" w:space="0"/>
              <w:left w:val="single" w:color="auto"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制度执行有效性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项目实施是否符合相关业务管理规定，用以反映和考核业务管理制度的有效执行情况。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①是否遵守相关法律法规和业务管理规定；</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②项目调整及支出调整手续是否完备；</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③项目合同书、验收报告、技术鉴定等资料是否齐全并及时归档；</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④项目实施的人员条件、场地设备、信息支撑等是否落实到位。</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980" w:hRule="atLeast"/>
        </w:trPr>
        <w:tc>
          <w:tcPr>
            <w:tcW w:w="742" w:type="dxa"/>
            <w:vMerge w:val="continue"/>
            <w:tcBorders>
              <w:top w:val="single" w:color="auto" w:sz="4" w:space="0"/>
              <w:left w:val="single" w:color="auto" w:sz="4" w:space="0"/>
              <w:bottom w:val="single" w:color="auto" w:sz="4" w:space="0"/>
              <w:right w:val="single" w:color="auto" w:sz="4" w:space="0"/>
            </w:tcBorders>
            <w:shd w:val="solid" w:color="FFFFFF" w:fill="auto"/>
            <w:vAlign w:val="center"/>
          </w:tcPr>
          <w:p>
            <w:pPr>
              <w:rPr>
                <w:rFonts w:hint="default"/>
                <w:sz w:val="22"/>
              </w:rPr>
            </w:pPr>
          </w:p>
        </w:tc>
        <w:tc>
          <w:tcPr>
            <w:tcW w:w="778" w:type="dxa"/>
            <w:vMerge w:val="continue"/>
            <w:tcBorders>
              <w:top w:val="single" w:color="000000" w:sz="4" w:space="0"/>
              <w:left w:val="single" w:color="auto"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项目质量可控性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项目实施单位是否为达到项目质量要求而采取了必需的措施,用以反映和考核项目实施单位对项目质量的控制情况。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①是否已制定或具有相应的项目质量要求或标准；</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②是否采取了相应的项目质量检查、验收等必需的控制措施或手段。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095" w:hRule="atLeast"/>
        </w:trPr>
        <w:tc>
          <w:tcPr>
            <w:tcW w:w="742" w:type="dxa"/>
            <w:vMerge w:val="continue"/>
            <w:tcBorders>
              <w:top w:val="single" w:color="auto" w:sz="4" w:space="0"/>
              <w:left w:val="single" w:color="auto" w:sz="4" w:space="0"/>
              <w:bottom w:val="single" w:color="auto" w:sz="4" w:space="0"/>
              <w:right w:val="single" w:color="auto"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p>
        </w:tc>
        <w:tc>
          <w:tcPr>
            <w:tcW w:w="778" w:type="dxa"/>
            <w:vMerge w:val="restart"/>
            <w:tcBorders>
              <w:top w:val="single" w:color="000000" w:sz="4" w:space="0"/>
              <w:left w:val="single" w:color="auto"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财务</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管理</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管理制度健全性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项目实施单位的财务制度是否健全，用以反映和考核财务管理制度对资金规范、安全运行的保障情况。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①是否已制定或具有相应的项目资金管理办法；</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②项目资金管理办法是否符合相关财务会计制度的规定。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680" w:hRule="atLeast"/>
        </w:trPr>
        <w:tc>
          <w:tcPr>
            <w:tcW w:w="742" w:type="dxa"/>
            <w:vMerge w:val="continue"/>
            <w:tcBorders>
              <w:top w:val="single" w:color="auto" w:sz="4" w:space="0"/>
              <w:left w:val="single" w:color="auto" w:sz="4" w:space="0"/>
              <w:bottom w:val="single" w:color="auto" w:sz="4" w:space="0"/>
              <w:right w:val="single" w:color="auto" w:sz="4" w:space="0"/>
            </w:tcBorders>
            <w:shd w:val="solid" w:color="FFFFFF" w:fill="auto"/>
            <w:vAlign w:val="center"/>
          </w:tcPr>
          <w:p>
            <w:pPr>
              <w:rPr>
                <w:rFonts w:hint="default"/>
                <w:sz w:val="22"/>
              </w:rPr>
            </w:pPr>
          </w:p>
        </w:tc>
        <w:tc>
          <w:tcPr>
            <w:tcW w:w="778" w:type="dxa"/>
            <w:vMerge w:val="continue"/>
            <w:tcBorders>
              <w:top w:val="single" w:color="000000" w:sz="4" w:space="0"/>
              <w:left w:val="single" w:color="auto"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资金使用合规性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项目资金使用是否符合相关的财务管理制度规定，用以反映和考核项目资金的规范运行情况。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①是否符合国家财经法规和财务管理制度以及有关专项资金管理办法的规定；</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②资金的拨付是否有完整的审批程序和手续；</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③项目的重大开支是否经过评估认证；</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④是否符合项目预算批复或合同规定的用途；</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⑤是否存在截留、挤占、挪用、虚列支出等情况。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095" w:hRule="atLeast"/>
        </w:trPr>
        <w:tc>
          <w:tcPr>
            <w:tcW w:w="742" w:type="dxa"/>
            <w:vMerge w:val="continue"/>
            <w:tcBorders>
              <w:top w:val="single" w:color="auto" w:sz="4" w:space="0"/>
              <w:left w:val="single" w:color="auto" w:sz="4" w:space="0"/>
              <w:bottom w:val="single" w:color="auto" w:sz="4" w:space="0"/>
              <w:right w:val="single" w:color="auto" w:sz="4" w:space="0"/>
            </w:tcBorders>
            <w:shd w:val="solid" w:color="FFFFFF" w:fill="auto"/>
            <w:vAlign w:val="center"/>
          </w:tcPr>
          <w:p>
            <w:pPr>
              <w:rPr>
                <w:rFonts w:hint="default"/>
                <w:sz w:val="22"/>
              </w:rPr>
            </w:pPr>
          </w:p>
        </w:tc>
        <w:tc>
          <w:tcPr>
            <w:tcW w:w="778" w:type="dxa"/>
            <w:vMerge w:val="continue"/>
            <w:tcBorders>
              <w:top w:val="single" w:color="000000" w:sz="4" w:space="0"/>
              <w:left w:val="single" w:color="auto"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财务监控有效性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项目实施单位是否为保障资金的安全、规范运行而采取了必要的监控措施，用以反映和考核项目实施单位对资金运行的控制情况。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①是否已制定或具有相应的监控机制；</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②是否采取了相应的财务检查等必要的监控措施或手段。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114" w:hRule="atLeast"/>
        </w:trPr>
        <w:tc>
          <w:tcPr>
            <w:tcW w:w="742" w:type="dxa"/>
            <w:vMerge w:val="restart"/>
            <w:tcBorders>
              <w:top w:val="single" w:color="auto" w:sz="4" w:space="0"/>
              <w:left w:val="single" w:color="000000" w:sz="4" w:space="0"/>
              <w:bottom w:val="single" w:color="auto"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产   出</w:t>
            </w:r>
          </w:p>
        </w:tc>
        <w:tc>
          <w:tcPr>
            <w:tcW w:w="778"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产出</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实际完成率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项目实施的实际产出数与计划产出数的比率，用以反映和考核项目产出数量目标的实现程度。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实际完成率=（实际产出数/计划产出数）×100%。</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实际产出数：一定时期（本年度或项目期）内项目实际产出的产品或提供的服务数量。</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计划产出数：项目绩效目标确定的在一定时期（本年度或项目期）内计划产出的产品或提供的服务数量。</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755"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完成及时率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项目实际提前完成时间与计划完成时间的比率，用以反映和考核项目产出时效目标的实现程度。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完成及时率=[（计划完成时间-实际完成时间）/计划完成时间]×100%。</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实际完成时间：项目实施单位完成该项目实际所耗用的时间。</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计划完成时间：按照项目实施计划或相关规定完成该项目所需的时间。</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219"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质量达标率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项目完成的质量达标产出数与实际产出数的比率，用以反映和考核项目产出质量目标的实现程度。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质量达标率=（质量达标产出数/实际产出数）×100%。</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质量达标产出数：一定时期（本年度或项目期）内实际达到既定质量标准的产品或服务数量。</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既定质量标准是指项目实施单位设立绩效目标时依据计划标准、行业标准、历史标准或其他标准而设定的绩效指标值。</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996"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成本节约率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完成项目计划工作目标的实际节约成本与计划成本的比率，用以反映和考核项目的成本节约程度。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成本节约率=[（计划成本-实际成本）/计划成本]×100%。</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实际成本：项目实施单位如期、保质、保量完成既定工作目标实际所耗费的支出。</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计划成本：项目实施单位为完成工作目标计划安排的支出，一般以项目预算为参考。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821" w:hRule="atLeast"/>
        </w:trPr>
        <w:tc>
          <w:tcPr>
            <w:tcW w:w="742" w:type="dxa"/>
            <w:vMerge w:val="restart"/>
            <w:tcBorders>
              <w:top w:val="single" w:color="auto" w:sz="4" w:space="0"/>
              <w:left w:val="single" w:color="000000" w:sz="4" w:space="0"/>
              <w:bottom w:val="single" w:color="auto"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效   果</w:t>
            </w:r>
          </w:p>
        </w:tc>
        <w:tc>
          <w:tcPr>
            <w:tcW w:w="778"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效益</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经济效益</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项目实施对经济发展所带来的直接或间接影响情况。</w:t>
            </w:r>
          </w:p>
        </w:tc>
        <w:tc>
          <w:tcPr>
            <w:tcW w:w="3894"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此四项指标为设置项目支出绩效评价指标时必须考虑的共性要素，可根据项目实际并结合绩效目标设立情况有选择的进行设置，并将其细化为相应的个性化指标。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684"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社会效益</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项目实施对社会发展所带来的直接或间接影响情况。</w:t>
            </w:r>
          </w:p>
        </w:tc>
        <w:tc>
          <w:tcPr>
            <w:tcW w:w="3894"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kinsoku/>
              <w:autoSpaceDE/>
              <w:autoSpaceDN w:val="0"/>
              <w:textAlignment w:val="auto"/>
              <w:rPr>
                <w:rFonts w:hint="default"/>
                <w:snapToGrid/>
                <w:sz w:val="22"/>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335"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生态效益</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项目实施对生态环境所带来的直接或间接影响情况。</w:t>
            </w:r>
          </w:p>
        </w:tc>
        <w:tc>
          <w:tcPr>
            <w:tcW w:w="3894"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kinsoku/>
              <w:autoSpaceDE/>
              <w:autoSpaceDN w:val="0"/>
              <w:textAlignment w:val="auto"/>
              <w:rPr>
                <w:rFonts w:hint="default"/>
                <w:snapToGrid/>
                <w:sz w:val="22"/>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294"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可持续影响</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项目后续运行及成效发挥的可持续影响情况。</w:t>
            </w:r>
          </w:p>
        </w:tc>
        <w:tc>
          <w:tcPr>
            <w:tcW w:w="3894"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kinsoku/>
              <w:autoSpaceDE/>
              <w:autoSpaceDN w:val="0"/>
              <w:textAlignment w:val="auto"/>
              <w:rPr>
                <w:rFonts w:hint="default"/>
                <w:snapToGrid/>
                <w:sz w:val="22"/>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554"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社会公众或服务对象满意度</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社会公众或服务对象对项目实施效果的满意程度。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社会公众或服务对象是指因该项目实施而受到影响的部门（单位）、群体或个人。一般采取社会调查的方式。</w:t>
            </w:r>
          </w:p>
        </w:tc>
      </w:tr>
    </w:tbl>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right="0" w:rightChars="0"/>
        <w:jc w:val="both"/>
        <w:textAlignment w:val="auto"/>
        <w:outlineLvl w:val="9"/>
        <w:rPr>
          <w:rFonts w:hint="eastAsia" w:ascii="仿宋_GB2312" w:hAnsi="宋体" w:eastAsia="仿宋_GB2312"/>
          <w:sz w:val="32"/>
          <w:szCs w:val="32"/>
          <w:lang w:val="en-US" w:eastAsia="zh-CN"/>
        </w:rPr>
      </w:pPr>
    </w:p>
    <w:p>
      <w:pPr/>
    </w:p>
    <w:sectPr>
      <w:headerReference r:id="rId3" w:type="first"/>
      <w:footerReference r:id="rId6" w:type="first"/>
      <w:footerReference r:id="rId4" w:type="default"/>
      <w:footerReference r:id="rId5" w:type="even"/>
      <w:pgSz w:w="11906" w:h="16838"/>
      <w:pgMar w:top="1361" w:right="1644" w:bottom="1361" w:left="1644" w:header="851" w:footer="992" w:gutter="0"/>
      <w:pgNumType w:fmt="decimal"/>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modern"/>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003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modern"/>
    <w:pitch w:val="default"/>
    <w:sig w:usb0="E00002FF" w:usb1="400004FF" w:usb2="00000000" w:usb3="00000000" w:csb0="2000019F" w:csb1="00000000"/>
  </w:font>
  <w:font w:name="Calibri">
    <w:panose1 w:val="020F0502020204030204"/>
    <w:charset w:val="00"/>
    <w:family w:val="decorative"/>
    <w:pitch w:val="default"/>
    <w:sig w:usb0="E00002FF" w:usb1="4000ACFF" w:usb2="00000001" w:usb3="00000000" w:csb0="2000019F" w:csb1="00000000"/>
  </w:font>
  <w:font w:name="Arial">
    <w:panose1 w:val="020B0604020202020204"/>
    <w:charset w:val="01"/>
    <w:family w:val="decorative"/>
    <w:pitch w:val="default"/>
    <w:sig w:usb0="E0002AFF" w:usb1="C0007843" w:usb2="00000009" w:usb3="00000000" w:csb0="400001FF" w:csb1="FFFF0000"/>
  </w:font>
  <w:font w:name="黑体">
    <w:panose1 w:val="02010600030101010101"/>
    <w:charset w:val="86"/>
    <w:family w:val="auto"/>
    <w:pitch w:val="default"/>
    <w:sig w:usb0="800002BF" w:usb1="38CF7CFA" w:usb2="00000016" w:usb3="00000000" w:csb0="00040001" w:csb1="00000000"/>
  </w:font>
  <w:font w:name="Courier New">
    <w:panose1 w:val="02070309020205020404"/>
    <w:charset w:val="01"/>
    <w:family w:val="swiss"/>
    <w:pitch w:val="default"/>
    <w:sig w:usb0="E0002AFF" w:usb1="C0007843" w:usb2="00000009" w:usb3="00000000" w:csb0="400001FF" w:csb1="FFFF0000"/>
  </w:font>
  <w:font w:name="Symbol">
    <w:panose1 w:val="05050102010706020507"/>
    <w:charset w:val="02"/>
    <w:family w:val="modern"/>
    <w:pitch w:val="default"/>
    <w:sig w:usb0="00000000" w:usb1="00000000" w:usb2="00000000" w:usb3="00000000" w:csb0="80000000" w:csb1="00000000"/>
  </w:font>
  <w:font w:name="华文楷体">
    <w:altName w:val="宋体"/>
    <w:panose1 w:val="02010600040101010101"/>
    <w:charset w:val="86"/>
    <w:family w:val="auto"/>
    <w:pitch w:val="default"/>
    <w:sig w:usb0="00000000" w:usb1="00000000" w:usb2="00000010" w:usb3="00000000" w:csb0="0004009F" w:csb1="00000000"/>
  </w:font>
  <w:font w:name="仿宋">
    <w:panose1 w:val="02010609060101010101"/>
    <w:charset w:val="86"/>
    <w:family w:val="auto"/>
    <w:pitch w:val="default"/>
    <w:sig w:usb0="800002BF" w:usb1="38CF7CFA" w:usb2="00000016" w:usb3="00000000" w:csb0="00040001" w:csb1="00000000"/>
  </w:font>
  <w:font w:name="仿宋_GB2312">
    <w:panose1 w:val="02010609030101010101"/>
    <w:charset w:val="86"/>
    <w:family w:val="swiss"/>
    <w:pitch w:val="default"/>
    <w:sig w:usb0="00000001" w:usb1="080E0000" w:usb2="00000000" w:usb3="00000000" w:csb0="00040000" w:csb1="00000000"/>
  </w:font>
  <w:font w:name="楷体_GB2312">
    <w:panose1 w:val="02010609030101010101"/>
    <w:charset w:val="86"/>
    <w:family w:val="auto"/>
    <w:pitch w:val="default"/>
    <w:sig w:usb0="00000001" w:usb1="080E0000" w:usb2="00000000" w:usb3="00000000" w:csb0="00040000" w:csb1="0000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framePr w:wrap="around" w:vAnchor="text" w:hAnchor="margin" w:xAlign="right" w:y="1"/>
      <w:rPr>
        <w:rStyle w:val="6"/>
      </w:rPr>
    </w:pPr>
    <w:r>
      <w:fldChar w:fldCharType="begin"/>
    </w:r>
    <w:r>
      <w:rPr>
        <w:rStyle w:val="6"/>
      </w:rPr>
      <w:instrText xml:space="preserve">PAGE  </w:instrText>
    </w:r>
    <w:r>
      <w:fldChar w:fldCharType="separate"/>
    </w:r>
    <w:r>
      <w:rPr>
        <w:rStyle w:val="6"/>
      </w:rPr>
      <w:t>4</w:t>
    </w:r>
    <w:r>
      <w:fldChar w:fldCharType="end"/>
    </w:r>
  </w:p>
  <w:p>
    <w:pPr>
      <w:pStyle w:val="2"/>
      <w:ind w:right="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1993675999">
    <w:nsid w:val="76D514DF"/>
    <w:multiLevelType w:val="singleLevel"/>
    <w:tmpl w:val="76D514DF"/>
    <w:lvl w:ilvl="0" w:tentative="1">
      <w:start w:val="2"/>
      <w:numFmt w:val="decimal"/>
      <w:lvlText w:val="%1."/>
      <w:lvlJc w:val="left"/>
      <w:pPr>
        <w:tabs>
          <w:tab w:val="left" w:pos="312"/>
        </w:tabs>
      </w:pPr>
    </w:lvl>
  </w:abstractNum>
  <w:abstractNum w:abstractNumId="186484270">
    <w:nsid w:val="0B1D862E"/>
    <w:multiLevelType w:val="singleLevel"/>
    <w:tmpl w:val="0B1D862E"/>
    <w:lvl w:ilvl="0" w:tentative="1">
      <w:start w:val="6"/>
      <w:numFmt w:val="chineseCounting"/>
      <w:suff w:val="nothing"/>
      <w:lvlText w:val="%1、"/>
      <w:lvlJc w:val="left"/>
      <w:rPr>
        <w:rFonts w:hint="eastAsia"/>
      </w:rPr>
    </w:lvl>
  </w:abstractNum>
  <w:abstractNum w:abstractNumId="3209082222">
    <w:nsid w:val="BF46B56E"/>
    <w:multiLevelType w:val="singleLevel"/>
    <w:tmpl w:val="BF46B56E"/>
    <w:lvl w:ilvl="0" w:tentative="1">
      <w:start w:val="2"/>
      <w:numFmt w:val="decimal"/>
      <w:lvlText w:val="%1."/>
      <w:lvlJc w:val="left"/>
      <w:pPr>
        <w:tabs>
          <w:tab w:val="left" w:pos="312"/>
        </w:tabs>
        <w:ind w:left="800" w:leftChars="0" w:firstLine="0" w:firstLineChars="0"/>
      </w:pPr>
    </w:lvl>
  </w:abstractNum>
  <w:abstractNum w:abstractNumId="817987187">
    <w:nsid w:val="30C17E73"/>
    <w:multiLevelType w:val="singleLevel"/>
    <w:tmpl w:val="30C17E73"/>
    <w:lvl w:ilvl="0" w:tentative="1">
      <w:start w:val="2"/>
      <w:numFmt w:val="chineseCounting"/>
      <w:suff w:val="nothing"/>
      <w:lvlText w:val="（%1）"/>
      <w:lvlJc w:val="left"/>
      <w:rPr>
        <w:rFonts w:hint="eastAsia"/>
      </w:rPr>
    </w:lvl>
  </w:abstractNum>
  <w:abstractNum w:abstractNumId="2638241465">
    <w:nsid w:val="9D405EB9"/>
    <w:multiLevelType w:val="singleLevel"/>
    <w:tmpl w:val="9D405EB9"/>
    <w:lvl w:ilvl="0" w:tentative="1">
      <w:start w:val="2"/>
      <w:numFmt w:val="chineseCounting"/>
      <w:suff w:val="nothing"/>
      <w:lvlText w:val="（%1）"/>
      <w:lvlJc w:val="left"/>
      <w:pPr>
        <w:ind w:left="481" w:leftChars="0" w:firstLine="0" w:firstLineChars="0"/>
      </w:pPr>
      <w:rPr>
        <w:rFonts w:hint="eastAsia"/>
      </w:rPr>
    </w:lvl>
  </w:abstractNum>
  <w:num w:numId="1">
    <w:abstractNumId w:val="3209082222"/>
  </w:num>
  <w:num w:numId="2">
    <w:abstractNumId w:val="2638241465"/>
  </w:num>
  <w:num w:numId="3">
    <w:abstractNumId w:val="817987187"/>
  </w:num>
  <w:num w:numId="4">
    <w:abstractNumId w:val="1993675999"/>
  </w:num>
  <w:num w:numId="5">
    <w:abstractNumId w:val="18648427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oNotDisplayPageBoundaries w:val="1"/>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2A2941B7"/>
    <w:rsid w:val="1AD112CF"/>
    <w:rsid w:val="22872AAD"/>
    <w:rsid w:val="25EB172A"/>
    <w:rsid w:val="2A2941B7"/>
    <w:rsid w:val="39A87CD9"/>
    <w:rsid w:val="3D7D7FD2"/>
    <w:rsid w:val="3DEF6709"/>
    <w:rsid w:val="4C3D051E"/>
    <w:rsid w:val="54D7064C"/>
    <w:rsid w:val="57590859"/>
  </w:rsids>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eastAsia="宋体" w:asciiTheme="minorHAnsi" w:hAnsiTheme="minorHAnsi" w:cstheme="minorBidi"/>
      <w:kern w:val="2"/>
      <w:sz w:val="21"/>
      <w:szCs w:val="24"/>
      <w:lang w:val="en-US" w:eastAsia="zh-CN" w:bidi="ar-SA"/>
    </w:rPr>
  </w:style>
  <w:style w:type="character" w:default="1" w:styleId="4">
    <w:name w:val="Default Paragraph Font"/>
    <w:link w:val="5"/>
    <w:semiHidden/>
    <w:qFormat/>
    <w:uiPriority w:val="0"/>
  </w:style>
  <w:style w:type="table" w:default="1" w:styleId="7">
    <w:name w:val="Normal Table"/>
    <w:semiHidden/>
    <w:qFormat/>
    <w:uiPriority w:val="0"/>
    <w:tblPr>
      <w:tblLayout w:type="fixed"/>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szCs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rFonts w:ascii="Times New Roman" w:hAnsi="Times New Roman"/>
      <w:sz w:val="18"/>
    </w:rPr>
  </w:style>
  <w:style w:type="paragraph" w:customStyle="1" w:styleId="5">
    <w:name w:val="默认段落字体 Para Char Char Char Char Char Char Char"/>
    <w:basedOn w:val="1"/>
    <w:link w:val="4"/>
    <w:qFormat/>
    <w:uiPriority w:val="0"/>
  </w:style>
  <w:style w:type="character" w:styleId="6">
    <w:name w:val="page number"/>
    <w:basedOn w:val="4"/>
    <w:qFormat/>
    <w:uiPriority w:val="0"/>
  </w:style>
</w:styles>
</file>

<file path=word/_rels/document.xml.rels><?xml version="1.0" encoding="UTF-8" standalone="yes"?>
<Relationships xmlns="http://schemas.openxmlformats.org/package/2006/relationships"><Relationship Id="rId9" Type="http://schemas.openxmlformats.org/officeDocument/2006/relationships/numbering" Target="numbering.xml"/><Relationship Id="rId8" Type="http://schemas.openxmlformats.org/officeDocument/2006/relationships/customXml" Target="../customXml/item1.xml"/><Relationship Id="rId7" Type="http://schemas.openxmlformats.org/officeDocument/2006/relationships/theme" Target="theme/theme1.xml"/><Relationship Id="rId6" Type="http://schemas.openxmlformats.org/officeDocument/2006/relationships/footer" Target="footer3.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Office_10.8.0.5562_F1E327BC-269C-435d-A152-05C5408002CA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2020-01-02T08:14:00Z</dcterms:created>
  <dc:creator>838</dc:creator>
  <cp:lastModifiedBy>Administrator</cp:lastModifiedBy>
  <dcterms:modified xsi:type="dcterms:W3CDTF">2024-07-04T08:51:32Z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2052-10.8.0.5562</vt:lpwstr>
  </property>
</Properties>
</file>