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石家庄市鹿泉区住房和城乡建设局</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pPr>
        <w:pStyle w:val="7"/>
      </w:pP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我单位对</w:t>
      </w:r>
      <w:r>
        <w:rPr>
          <w:rFonts w:hint="eastAsia" w:ascii="仿宋" w:hAnsi="仿宋" w:eastAsia="仿宋"/>
          <w:sz w:val="32"/>
          <w:szCs w:val="32"/>
          <w:lang w:val="en-US" w:eastAsia="zh-CN"/>
        </w:rPr>
        <w:t>2023年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pageBreakBefore w:val="0"/>
        <w:widowControl w:val="0"/>
        <w:kinsoku/>
        <w:wordWrap/>
        <w:overflowPunct/>
        <w:topLinePunct w:val="0"/>
        <w:autoSpaceDE/>
        <w:autoSpaceDN/>
        <w:bidi w:val="0"/>
        <w:adjustRightInd w:val="0"/>
        <w:snapToGrid w:val="0"/>
        <w:spacing w:line="540" w:lineRule="exact"/>
        <w:ind w:left="0" w:leftChars="0" w:right="0" w:rightChars="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p>
    <w:p>
      <w:pPr>
        <w:pageBreakBefore w:val="0"/>
        <w:widowControl w:val="0"/>
        <w:kinsoku/>
        <w:wordWrap/>
        <w:overflowPunct/>
        <w:topLinePunct w:val="0"/>
        <w:autoSpaceDE/>
        <w:autoSpaceDN/>
        <w:bidi w:val="0"/>
        <w:spacing w:line="540" w:lineRule="exact"/>
        <w:ind w:right="0" w:rightChars="0" w:firstLine="480" w:firstLineChars="15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ageBreakBefore w:val="0"/>
        <w:widowControl w:val="0"/>
        <w:kinsoku/>
        <w:wordWrap/>
        <w:overflowPunct/>
        <w:topLinePunct w:val="0"/>
        <w:autoSpaceDE/>
        <w:autoSpaceDN/>
        <w:bidi w:val="0"/>
        <w:spacing w:line="540" w:lineRule="exact"/>
        <w:ind w:right="0" w:rightChars="0" w:firstLine="640" w:firstLineChars="200"/>
        <w:rPr>
          <w:rFonts w:ascii="仿宋" w:hAnsi="仿宋" w:eastAsia="仿宋" w:cs="仿宋_GB2312"/>
          <w:bCs/>
          <w:color w:val="000000"/>
          <w:sz w:val="32"/>
          <w:szCs w:val="32"/>
        </w:rPr>
      </w:pPr>
      <w:r>
        <w:rPr>
          <w:rFonts w:hint="eastAsia" w:ascii="仿宋" w:hAnsi="仿宋" w:eastAsia="仿宋" w:cs="仿宋_GB2312"/>
          <w:bCs/>
          <w:color w:val="000000"/>
          <w:sz w:val="32"/>
          <w:szCs w:val="32"/>
        </w:rPr>
        <w:t>（二）贯彻落实党中央、国务院和省、市、区关于城市管理相关工作的方针政策和法律法规。拟订城市管理中长期发展规划和年度计划并组织实施。</w:t>
      </w:r>
    </w:p>
    <w:p>
      <w:pPr>
        <w:pageBreakBefore w:val="0"/>
        <w:widowControl w:val="0"/>
        <w:kinsoku/>
        <w:wordWrap/>
        <w:overflowPunct/>
        <w:topLinePunct w:val="0"/>
        <w:autoSpaceDE/>
        <w:autoSpaceDN/>
        <w:bidi w:val="0"/>
        <w:spacing w:line="540" w:lineRule="exact"/>
        <w:ind w:right="0" w:rightChars="0" w:firstLine="473" w:firstLineChars="148"/>
        <w:rPr>
          <w:rFonts w:hint="eastAsia" w:ascii="仿宋" w:hAnsi="仿宋" w:eastAsia="仿宋" w:cs="仿宋"/>
          <w:bCs/>
          <w:color w:val="000000"/>
          <w:sz w:val="32"/>
          <w:szCs w:val="32"/>
        </w:rPr>
      </w:pPr>
      <w:r>
        <w:rPr>
          <w:rFonts w:hint="eastAsia" w:ascii="仿宋" w:hAnsi="仿宋" w:eastAsia="仿宋" w:cs="仿宋_GB2312"/>
          <w:bCs/>
          <w:color w:val="000000"/>
          <w:sz w:val="32"/>
          <w:szCs w:val="32"/>
        </w:rP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(四) 负责推进住房制度改革。贯彻落实住房政策，指导住房建设，推动住房制度改革；拟订住房建设发展规划并组织实施。</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(五) 负责全区房地产市场的监督管理。贯彻落实房地产市场调控政策并监督执行；落实上级房地产业行业发展规划、产业政策和房地产开发、房屋交易、房屋租赁、房地产估价与经纪管理的规章制度并监督实施。</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(六)负责建筑市场的监督管理。落实建筑市场发展规划和管理制度并监督实施；负责建筑劳务市场管理；负责建筑业企业的监督管理；</w:t>
      </w:r>
      <w:r>
        <w:rPr>
          <w:rFonts w:hint="eastAsia" w:ascii="仿宋" w:hAnsi="仿宋" w:eastAsia="仿宋" w:cs="仿宋"/>
          <w:bCs/>
          <w:color w:val="000000"/>
          <w:sz w:val="32"/>
          <w:szCs w:val="32"/>
        </w:rPr>
        <w:t>负责建设工程消防、人防设计相关工作的监督管理。</w:t>
      </w:r>
      <w:r>
        <w:rPr>
          <w:rFonts w:hint="eastAsia" w:ascii="仿宋" w:hAnsi="仿宋" w:eastAsia="仿宋" w:cs="仿宋_GB2312"/>
          <w:bCs/>
          <w:color w:val="000000"/>
          <w:sz w:val="32"/>
          <w:szCs w:val="32"/>
        </w:rPr>
        <w:t>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(八)推进新型城镇化（国家新型城镇化综合试点）建设工作。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(十四)负责全区污水处理及污水处理行业管理工作。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(十五)负责全区燃气行业管理工作。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(十六)负责城市建设档案监督管理工作。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(十七)负责直管公有住房的资产、售房款和售后维修资金的管理工作。会同有关部门做好支油、支铁建设协调工作。会同有关部门，做好城市建设行业涉及本部门的相关专业规划的编制和实施工作。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(十八)负责住房城乡建设行业信息采集、整理、统计、分析、发布等工作。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(十九)负责城区防汛工作。研究部署城区防汛工作，开展城区防汛宣传，提高全社会的防洪减灾意识，会同有关部门做好城区自然灾害应急处置工作。</w:t>
      </w:r>
    </w:p>
    <w:p>
      <w:pPr>
        <w:pageBreakBefore w:val="0"/>
        <w:widowControl w:val="0"/>
        <w:kinsoku/>
        <w:wordWrap/>
        <w:overflowPunct/>
        <w:topLinePunct w:val="0"/>
        <w:autoSpaceDE/>
        <w:autoSpaceDN/>
        <w:bidi w:val="0"/>
        <w:spacing w:line="540" w:lineRule="exact"/>
        <w:ind w:right="0" w:rightChars="0" w:firstLine="640" w:firstLineChars="200"/>
        <w:rPr>
          <w:rFonts w:hint="eastAsia" w:ascii="仿宋" w:hAnsi="仿宋" w:eastAsia="仿宋" w:cs="仿宋_GB2312"/>
          <w:bCs/>
          <w:color w:val="000000"/>
          <w:sz w:val="32"/>
          <w:szCs w:val="32"/>
        </w:rPr>
      </w:pPr>
      <w:r>
        <w:rPr>
          <w:rFonts w:hint="eastAsia" w:ascii="仿宋" w:hAnsi="仿宋" w:eastAsia="仿宋" w:cs="仿宋_GB2312"/>
          <w:bCs/>
          <w:color w:val="000000"/>
          <w:sz w:val="32"/>
          <w:szCs w:val="32"/>
        </w:rPr>
        <w:t>(二十)实施范围内法律法规规章规定的行政处罚权有关的行政强制措施。</w:t>
      </w:r>
    </w:p>
    <w:p>
      <w:pPr>
        <w:keepNext/>
        <w:keepLines/>
        <w:pageBreakBefore w:val="0"/>
        <w:widowControl w:val="0"/>
        <w:kinsoku/>
        <w:wordWrap/>
        <w:overflowPunct/>
        <w:topLinePunct w:val="0"/>
        <w:autoSpaceDE/>
        <w:autoSpaceDN/>
        <w:bidi w:val="0"/>
        <w:spacing w:line="540" w:lineRule="exact"/>
        <w:ind w:right="0" w:rightChars="0" w:firstLine="640" w:firstLineChars="200"/>
        <w:jc w:val="left"/>
        <w:outlineLvl w:val="0"/>
        <w:rPr>
          <w:rFonts w:hint="eastAsia" w:ascii="仿宋" w:hAnsi="仿宋" w:eastAsia="仿宋"/>
          <w:sz w:val="32"/>
          <w:szCs w:val="32"/>
          <w:lang w:eastAsia="zh-CN"/>
        </w:rPr>
      </w:pPr>
      <w:r>
        <w:rPr>
          <w:rFonts w:hint="eastAsia" w:ascii="仿宋" w:hAnsi="仿宋" w:eastAsia="仿宋" w:cs="仿宋_GB2312"/>
          <w:bCs/>
          <w:color w:val="000000"/>
          <w:sz w:val="32"/>
          <w:szCs w:val="32"/>
        </w:rPr>
        <w:t>(二十一)完成区委、区政府交办的其他任务。</w:t>
      </w:r>
    </w:p>
    <w:p>
      <w:pPr>
        <w:pageBreakBefore w:val="0"/>
        <w:widowControl w:val="0"/>
        <w:numPr>
          <w:ilvl w:val="0"/>
          <w:numId w:val="0"/>
        </w:numPr>
        <w:kinsoku/>
        <w:wordWrap/>
        <w:overflowPunct/>
        <w:topLinePunct w:val="0"/>
        <w:autoSpaceDE/>
        <w:autoSpaceDN/>
        <w:bidi w:val="0"/>
        <w:adjustRightInd w:val="0"/>
        <w:snapToGrid w:val="0"/>
        <w:spacing w:line="540" w:lineRule="exact"/>
        <w:ind w:leftChars="200" w:right="0" w:rightChars="0"/>
        <w:textAlignment w:val="auto"/>
        <w:outlineLvl w:val="9"/>
        <w:rPr>
          <w:rFonts w:ascii="仿宋" w:hAnsi="仿宋" w:eastAsia="仿宋" w:cs="Times New Roman"/>
          <w:b w:val="0"/>
          <w:bCs w:val="0"/>
          <w:kern w:val="2"/>
          <w:sz w:val="32"/>
          <w:szCs w:val="32"/>
        </w:rPr>
      </w:pPr>
      <w:r>
        <w:rPr>
          <w:rFonts w:hint="eastAsia" w:ascii="仿宋" w:hAnsi="仿宋" w:eastAsia="仿宋"/>
          <w:sz w:val="32"/>
          <w:szCs w:val="32"/>
          <w:lang w:val="en-US" w:eastAsia="zh-CN"/>
        </w:rPr>
        <w:t>2、</w:t>
      </w:r>
      <w:r>
        <w:rPr>
          <w:rFonts w:hint="eastAsia" w:ascii="仿宋" w:hAnsi="仿宋" w:eastAsia="仿宋"/>
          <w:sz w:val="32"/>
          <w:szCs w:val="32"/>
          <w:lang w:eastAsia="zh-CN"/>
        </w:rPr>
        <w:t>组织机构及人员</w:t>
      </w:r>
    </w:p>
    <w:p>
      <w:pPr>
        <w:pageBreakBefore w:val="0"/>
        <w:widowControl w:val="0"/>
        <w:numPr>
          <w:ilvl w:val="0"/>
          <w:numId w:val="0"/>
        </w:numPr>
        <w:kinsoku/>
        <w:wordWrap/>
        <w:overflowPunct/>
        <w:topLinePunct w:val="0"/>
        <w:autoSpaceDE/>
        <w:autoSpaceDN/>
        <w:bidi w:val="0"/>
        <w:adjustRightInd w:val="0"/>
        <w:snapToGrid w:val="0"/>
        <w:spacing w:line="540" w:lineRule="exact"/>
        <w:ind w:leftChars="200" w:right="0" w:rightChars="0" w:firstLine="640" w:firstLineChars="200"/>
        <w:textAlignment w:val="auto"/>
        <w:outlineLvl w:val="9"/>
        <w:rPr>
          <w:rFonts w:hint="eastAsia"/>
          <w:lang w:eastAsia="zh-CN"/>
        </w:rPr>
      </w:pPr>
      <w:r>
        <w:rPr>
          <w:rFonts w:hint="eastAsia" w:ascii="仿宋" w:hAnsi="仿宋" w:eastAsia="仿宋" w:cs="仿宋"/>
          <w:b w:val="0"/>
          <w:bCs w:val="0"/>
          <w:kern w:val="2"/>
          <w:sz w:val="32"/>
          <w:szCs w:val="32"/>
        </w:rPr>
        <w:t>石家庄市鹿泉区</w:t>
      </w:r>
      <w:r>
        <w:rPr>
          <w:rFonts w:hint="eastAsia" w:ascii="仿宋" w:hAnsi="仿宋" w:eastAsia="仿宋" w:cs="仿宋"/>
          <w:b w:val="0"/>
          <w:bCs w:val="0"/>
          <w:kern w:val="2"/>
          <w:sz w:val="32"/>
          <w:szCs w:val="32"/>
          <w:lang w:eastAsia="zh-CN"/>
        </w:rPr>
        <w:t>住房和城乡建设局</w:t>
      </w:r>
      <w:r>
        <w:rPr>
          <w:rFonts w:hint="eastAsia" w:ascii="仿宋" w:hAnsi="仿宋" w:eastAsia="仿宋" w:cs="仿宋"/>
          <w:b w:val="0"/>
          <w:bCs w:val="0"/>
          <w:kern w:val="2"/>
          <w:sz w:val="32"/>
          <w:szCs w:val="32"/>
        </w:rPr>
        <w:t>为财政全额拨款一级预算单位，下属</w:t>
      </w:r>
      <w:r>
        <w:rPr>
          <w:rFonts w:hint="eastAsia" w:ascii="仿宋" w:hAnsi="仿宋" w:eastAsia="仿宋" w:cs="仿宋"/>
          <w:b w:val="0"/>
          <w:bCs w:val="0"/>
          <w:kern w:val="2"/>
          <w:sz w:val="32"/>
          <w:szCs w:val="32"/>
          <w:lang w:val="en-US" w:eastAsia="zh-CN"/>
        </w:rPr>
        <w:t>6</w:t>
      </w:r>
      <w:r>
        <w:rPr>
          <w:rFonts w:hint="eastAsia" w:ascii="仿宋" w:hAnsi="仿宋" w:eastAsia="仿宋" w:cs="仿宋"/>
          <w:b w:val="0"/>
          <w:bCs w:val="0"/>
          <w:kern w:val="2"/>
          <w:sz w:val="32"/>
          <w:szCs w:val="32"/>
        </w:rPr>
        <w:t>个二级预算单位，分别为：</w:t>
      </w:r>
      <w:r>
        <w:rPr>
          <w:rFonts w:hint="eastAsia" w:ascii="仿宋" w:hAnsi="仿宋" w:eastAsia="仿宋" w:cs="仿宋"/>
          <w:sz w:val="32"/>
          <w:szCs w:val="32"/>
        </w:rPr>
        <w:t>石家庄市鹿泉区房屋征收中心</w:t>
      </w:r>
      <w:r>
        <w:rPr>
          <w:rFonts w:hint="eastAsia" w:ascii="仿宋" w:hAnsi="仿宋" w:eastAsia="仿宋" w:cs="仿宋"/>
          <w:b w:val="0"/>
          <w:bCs w:val="0"/>
          <w:kern w:val="2"/>
          <w:sz w:val="32"/>
          <w:szCs w:val="32"/>
        </w:rPr>
        <w:t>、</w:t>
      </w:r>
      <w:r>
        <w:rPr>
          <w:rFonts w:hint="eastAsia" w:ascii="仿宋" w:hAnsi="仿宋" w:eastAsia="仿宋" w:cs="仿宋"/>
          <w:sz w:val="32"/>
          <w:szCs w:val="32"/>
        </w:rPr>
        <w:t>石家庄市鹿泉区城市建设服务中心</w:t>
      </w:r>
      <w:r>
        <w:rPr>
          <w:rFonts w:hint="eastAsia" w:ascii="仿宋" w:hAnsi="仿宋" w:eastAsia="仿宋" w:cs="仿宋"/>
          <w:b w:val="0"/>
          <w:bCs w:val="0"/>
          <w:kern w:val="2"/>
          <w:sz w:val="32"/>
          <w:szCs w:val="32"/>
          <w:lang w:eastAsia="zh-CN"/>
        </w:rPr>
        <w:t>、</w:t>
      </w:r>
      <w:r>
        <w:rPr>
          <w:rFonts w:hint="eastAsia" w:ascii="仿宋" w:hAnsi="仿宋" w:eastAsia="仿宋" w:cs="仿宋"/>
          <w:sz w:val="32"/>
          <w:szCs w:val="32"/>
        </w:rPr>
        <w:t>石家庄市鹿泉区建筑和房地产市场稽查大队</w:t>
      </w:r>
      <w:r>
        <w:rPr>
          <w:rFonts w:hint="eastAsia" w:ascii="仿宋" w:hAnsi="仿宋" w:eastAsia="仿宋" w:cs="仿宋"/>
          <w:b w:val="0"/>
          <w:bCs w:val="0"/>
          <w:kern w:val="2"/>
          <w:sz w:val="32"/>
          <w:szCs w:val="32"/>
          <w:lang w:eastAsia="zh-CN"/>
        </w:rPr>
        <w:t>、</w:t>
      </w:r>
      <w:r>
        <w:rPr>
          <w:rFonts w:hint="eastAsia" w:ascii="仿宋" w:hAnsi="仿宋" w:eastAsia="仿宋" w:cs="仿宋"/>
          <w:sz w:val="32"/>
          <w:szCs w:val="32"/>
        </w:rPr>
        <w:t>石家庄市鹿泉区建筑业</w:t>
      </w:r>
      <w:r>
        <w:rPr>
          <w:rFonts w:hint="eastAsia" w:ascii="仿宋" w:hAnsi="仿宋" w:eastAsia="仿宋" w:cs="仿宋"/>
          <w:sz w:val="32"/>
          <w:szCs w:val="32"/>
          <w:lang w:eastAsia="zh-CN"/>
        </w:rPr>
        <w:t>服务中心</w:t>
      </w:r>
      <w:r>
        <w:rPr>
          <w:rFonts w:hint="eastAsia" w:ascii="仿宋" w:hAnsi="仿宋" w:eastAsia="仿宋" w:cs="仿宋"/>
          <w:b w:val="0"/>
          <w:bCs w:val="0"/>
          <w:kern w:val="2"/>
          <w:sz w:val="32"/>
          <w:szCs w:val="32"/>
          <w:lang w:eastAsia="zh-CN"/>
        </w:rPr>
        <w:t>、</w:t>
      </w:r>
      <w:r>
        <w:rPr>
          <w:rFonts w:hint="eastAsia" w:ascii="仿宋" w:hAnsi="仿宋" w:eastAsia="仿宋" w:cs="仿宋"/>
          <w:color w:val="3D3D3D"/>
          <w:kern w:val="0"/>
          <w:sz w:val="32"/>
          <w:szCs w:val="32"/>
          <w:lang w:eastAsia="zh-CN"/>
        </w:rPr>
        <w:t>石家庄市</w:t>
      </w:r>
      <w:r>
        <w:rPr>
          <w:rFonts w:hint="eastAsia" w:ascii="仿宋" w:hAnsi="仿宋" w:eastAsia="仿宋" w:cs="仿宋"/>
          <w:color w:val="3D3D3D"/>
          <w:kern w:val="0"/>
          <w:sz w:val="32"/>
          <w:szCs w:val="32"/>
        </w:rPr>
        <w:t>鹿泉区廉租住房和经济适用住房管理中心</w:t>
      </w:r>
      <w:r>
        <w:rPr>
          <w:rFonts w:hint="eastAsia" w:ascii="仿宋" w:hAnsi="仿宋" w:eastAsia="仿宋" w:cs="仿宋"/>
          <w:color w:val="3D3D3D"/>
          <w:kern w:val="0"/>
          <w:sz w:val="32"/>
          <w:szCs w:val="32"/>
          <w:lang w:eastAsia="zh-CN"/>
        </w:rPr>
        <w:t>、石家庄市</w:t>
      </w:r>
      <w:r>
        <w:rPr>
          <w:rFonts w:hint="eastAsia" w:ascii="仿宋" w:hAnsi="仿宋" w:eastAsia="仿宋" w:cs="仿宋"/>
          <w:color w:val="3D3D3D"/>
          <w:kern w:val="0"/>
          <w:sz w:val="32"/>
          <w:szCs w:val="32"/>
        </w:rPr>
        <w:t>鹿泉区住房保障和房地产</w:t>
      </w:r>
      <w:r>
        <w:rPr>
          <w:rFonts w:hint="eastAsia" w:ascii="仿宋" w:hAnsi="仿宋" w:eastAsia="仿宋" w:cs="仿宋"/>
          <w:color w:val="3D3D3D"/>
          <w:kern w:val="0"/>
          <w:sz w:val="32"/>
          <w:szCs w:val="32"/>
          <w:lang w:eastAsia="zh-CN"/>
        </w:rPr>
        <w:t>服务中心</w:t>
      </w:r>
      <w:r>
        <w:rPr>
          <w:rFonts w:hint="eastAsia" w:ascii="仿宋" w:hAnsi="仿宋" w:eastAsia="仿宋" w:cs="仿宋"/>
          <w:sz w:val="32"/>
          <w:szCs w:val="32"/>
        </w:rPr>
        <w:t>。</w:t>
      </w:r>
      <w:r>
        <w:rPr>
          <w:rFonts w:hint="eastAsia" w:ascii="仿宋" w:hAnsi="仿宋" w:eastAsia="仿宋" w:cs="仿宋"/>
          <w:sz w:val="32"/>
          <w:szCs w:val="32"/>
          <w:lang w:eastAsia="zh-CN"/>
        </w:rPr>
        <w:t>我部门</w:t>
      </w:r>
      <w:r>
        <w:rPr>
          <w:rFonts w:hint="eastAsia" w:ascii="仿宋" w:hAnsi="仿宋" w:eastAsia="仿宋" w:cs="Times New Roman"/>
          <w:sz w:val="32"/>
          <w:szCs w:val="32"/>
          <w:highlight w:val="none"/>
        </w:rPr>
        <w:t>行政编制</w:t>
      </w:r>
      <w:r>
        <w:rPr>
          <w:rFonts w:hint="eastAsia" w:ascii="仿宋" w:hAnsi="仿宋" w:eastAsia="仿宋" w:cs="Times New Roman"/>
          <w:sz w:val="32"/>
          <w:szCs w:val="32"/>
          <w:highlight w:val="none"/>
          <w:lang w:val="en-US" w:eastAsia="zh-CN"/>
        </w:rPr>
        <w:t>16</w:t>
      </w:r>
      <w:r>
        <w:rPr>
          <w:rFonts w:hint="eastAsia" w:ascii="仿宋" w:hAnsi="仿宋" w:eastAsia="仿宋" w:cs="Times New Roman"/>
          <w:sz w:val="32"/>
          <w:szCs w:val="32"/>
          <w:highlight w:val="none"/>
        </w:rPr>
        <w:t>人、行政在职1</w:t>
      </w:r>
      <w:r>
        <w:rPr>
          <w:rFonts w:hint="eastAsia" w:ascii="仿宋" w:hAnsi="仿宋" w:eastAsia="仿宋" w:cs="Times New Roman"/>
          <w:sz w:val="32"/>
          <w:szCs w:val="32"/>
          <w:highlight w:val="none"/>
          <w:lang w:val="en-US" w:eastAsia="zh-CN"/>
        </w:rPr>
        <w:t>4</w:t>
      </w:r>
      <w:r>
        <w:rPr>
          <w:rFonts w:hint="eastAsia" w:ascii="仿宋" w:hAnsi="仿宋" w:eastAsia="仿宋" w:cs="Times New Roman"/>
          <w:sz w:val="32"/>
          <w:szCs w:val="32"/>
          <w:highlight w:val="none"/>
        </w:rPr>
        <w:t>人、事业编制</w:t>
      </w:r>
      <w:r>
        <w:rPr>
          <w:rFonts w:hint="eastAsia" w:ascii="仿宋" w:hAnsi="仿宋" w:eastAsia="仿宋" w:cs="Times New Roman"/>
          <w:sz w:val="32"/>
          <w:szCs w:val="32"/>
          <w:highlight w:val="none"/>
          <w:lang w:val="en-US" w:eastAsia="zh-CN"/>
        </w:rPr>
        <w:t>133</w:t>
      </w:r>
      <w:r>
        <w:rPr>
          <w:rFonts w:hint="eastAsia" w:ascii="仿宋" w:hAnsi="仿宋" w:eastAsia="仿宋" w:cs="Times New Roman"/>
          <w:sz w:val="32"/>
          <w:szCs w:val="32"/>
          <w:highlight w:val="none"/>
        </w:rPr>
        <w:t>人、事业在职</w:t>
      </w:r>
      <w:r>
        <w:rPr>
          <w:rFonts w:hint="eastAsia" w:ascii="仿宋" w:hAnsi="仿宋" w:eastAsia="仿宋" w:cs="Times New Roman"/>
          <w:sz w:val="32"/>
          <w:szCs w:val="32"/>
          <w:highlight w:val="none"/>
          <w:lang w:val="en-US" w:eastAsia="zh-CN"/>
        </w:rPr>
        <w:t>131</w:t>
      </w:r>
      <w:r>
        <w:rPr>
          <w:rFonts w:hint="eastAsia" w:ascii="仿宋" w:hAnsi="仿宋" w:eastAsia="仿宋" w:cs="Times New Roman"/>
          <w:sz w:val="32"/>
          <w:szCs w:val="32"/>
          <w:highlight w:val="none"/>
        </w:rPr>
        <w:t>人。</w:t>
      </w:r>
    </w:p>
    <w:p>
      <w:pPr>
        <w:pageBreakBefore w:val="0"/>
        <w:widowControl w:val="0"/>
        <w:numPr>
          <w:ilvl w:val="0"/>
          <w:numId w:val="1"/>
        </w:numPr>
        <w:kinsoku/>
        <w:wordWrap/>
        <w:overflowPunct/>
        <w:topLinePunct w:val="0"/>
        <w:autoSpaceDE/>
        <w:autoSpaceDN/>
        <w:bidi w:val="0"/>
        <w:adjustRightInd w:val="0"/>
        <w:snapToGrid w:val="0"/>
        <w:spacing w:line="540" w:lineRule="exact"/>
        <w:ind w:left="0" w:leftChars="0" w:right="0" w:rightChars="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rPr>
      </w:pP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年度财政拨款本年收入</w:t>
      </w:r>
      <w:r>
        <w:rPr>
          <w:rFonts w:hint="eastAsia" w:ascii="仿宋_GB2312" w:hAnsi="Times New Roman" w:eastAsia="仿宋_GB2312" w:cs="仿宋_GB2312"/>
          <w:sz w:val="32"/>
          <w:szCs w:val="32"/>
          <w:lang w:val="en-US" w:eastAsia="zh-CN"/>
        </w:rPr>
        <w:t>46507.95</w:t>
      </w:r>
      <w:r>
        <w:rPr>
          <w:rFonts w:hint="eastAsia" w:ascii="仿宋" w:hAnsi="仿宋" w:eastAsia="仿宋" w:cs="仿宋"/>
          <w:sz w:val="32"/>
          <w:szCs w:val="32"/>
        </w:rPr>
        <w:t>万元，完成年初预算的</w:t>
      </w:r>
      <w:r>
        <w:rPr>
          <w:rFonts w:hint="eastAsia" w:ascii="仿宋_GB2312" w:hAnsi="Times New Roman" w:eastAsia="仿宋_GB2312" w:cs="仿宋_GB2312"/>
          <w:sz w:val="32"/>
          <w:szCs w:val="32"/>
          <w:lang w:val="en-US" w:eastAsia="zh-CN"/>
        </w:rPr>
        <w:t>105.49</w:t>
      </w:r>
      <w:r>
        <w:rPr>
          <w:rFonts w:ascii="仿宋_GB2312" w:hAnsi="Times New Roman" w:eastAsia="仿宋_GB2312" w:cs="仿宋_GB2312"/>
          <w:sz w:val="32"/>
          <w:szCs w:val="32"/>
        </w:rPr>
        <w:t>%</w:t>
      </w:r>
      <w:r>
        <w:rPr>
          <w:rFonts w:hint="eastAsia" w:ascii="仿宋" w:hAnsi="仿宋" w:eastAsia="仿宋" w:cs="仿宋"/>
          <w:sz w:val="32"/>
          <w:szCs w:val="32"/>
        </w:rPr>
        <w:t>,比年初预算增加</w:t>
      </w:r>
      <w:r>
        <w:rPr>
          <w:rFonts w:hint="eastAsia" w:ascii="仿宋_GB2312" w:hAnsi="Times New Roman" w:eastAsia="仿宋_GB2312" w:cs="仿宋_GB2312"/>
          <w:sz w:val="32"/>
          <w:szCs w:val="32"/>
          <w:lang w:val="en-US" w:eastAsia="zh-CN"/>
        </w:rPr>
        <w:t>2420.95</w:t>
      </w:r>
      <w:r>
        <w:rPr>
          <w:rFonts w:hint="eastAsia" w:ascii="仿宋" w:hAnsi="仿宋" w:eastAsia="仿宋" w:cs="仿宋"/>
          <w:sz w:val="32"/>
          <w:szCs w:val="32"/>
        </w:rPr>
        <w:t>万元，</w:t>
      </w:r>
      <w:r>
        <w:rPr>
          <w:rFonts w:hint="eastAsia" w:ascii="仿宋_GB2312" w:hAnsi="Times New Roman" w:eastAsia="仿宋_GB2312" w:cs="仿宋_GB2312"/>
          <w:sz w:val="32"/>
          <w:szCs w:val="32"/>
        </w:rPr>
        <w:t>决算数大于预算数主要原因是</w:t>
      </w:r>
      <w:r>
        <w:rPr>
          <w:rFonts w:hint="eastAsia" w:ascii="仿宋_GB2312" w:hAnsi="Times New Roman" w:eastAsia="仿宋_GB2312" w:cs="Wingdings"/>
          <w:sz w:val="32"/>
          <w:szCs w:val="32"/>
        </w:rPr>
        <w:t>项目资金投入较</w:t>
      </w:r>
      <w:r>
        <w:rPr>
          <w:rFonts w:hint="eastAsia" w:ascii="仿宋_GB2312" w:hAnsi="Times New Roman" w:eastAsia="仿宋_GB2312" w:cs="Wingdings"/>
          <w:sz w:val="32"/>
          <w:szCs w:val="32"/>
          <w:lang w:eastAsia="zh-CN"/>
        </w:rPr>
        <w:t>大</w:t>
      </w:r>
      <w:r>
        <w:rPr>
          <w:rFonts w:hint="eastAsia" w:ascii="仿宋" w:hAnsi="仿宋" w:eastAsia="仿宋" w:cs="仿宋"/>
          <w:sz w:val="32"/>
          <w:szCs w:val="32"/>
        </w:rPr>
        <w:t>；</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47754.3</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108.3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3667.3</w:t>
      </w:r>
      <w:r>
        <w:rPr>
          <w:rFonts w:hint="eastAsia" w:ascii="仿宋_GB2312" w:hAnsi="Times New Roman" w:eastAsia="仿宋_GB2312" w:cs="仿宋_GB2312"/>
          <w:sz w:val="32"/>
          <w:szCs w:val="32"/>
        </w:rPr>
        <w:t>万元，决算数大于预算数主要原因是主要是</w:t>
      </w:r>
      <w:r>
        <w:rPr>
          <w:rFonts w:hint="eastAsia" w:ascii="仿宋_GB2312" w:hAnsi="Times New Roman" w:eastAsia="仿宋_GB2312" w:cs="Wingdings"/>
          <w:sz w:val="32"/>
          <w:szCs w:val="32"/>
        </w:rPr>
        <w:t>项目资金投入较</w:t>
      </w:r>
      <w:r>
        <w:rPr>
          <w:rFonts w:hint="eastAsia" w:ascii="仿宋_GB2312" w:hAnsi="Times New Roman" w:eastAsia="仿宋_GB2312" w:cs="Wingdings"/>
          <w:sz w:val="32"/>
          <w:szCs w:val="32"/>
          <w:lang w:eastAsia="zh-CN"/>
        </w:rPr>
        <w:t>大</w:t>
      </w:r>
      <w:r>
        <w:rPr>
          <w:rFonts w:hint="eastAsia" w:ascii="仿宋_GB2312" w:hAnsi="Times New Roman" w:eastAsia="仿宋_GB2312" w:cs="仿宋_GB2312"/>
          <w:sz w:val="32"/>
          <w:szCs w:val="32"/>
        </w:rPr>
        <w:t>。</w:t>
      </w:r>
      <w:r>
        <w:rPr>
          <w:rFonts w:hint="eastAsia" w:ascii="仿宋" w:hAnsi="仿宋" w:eastAsia="仿宋" w:cs="仿宋"/>
          <w:sz w:val="32"/>
          <w:szCs w:val="32"/>
        </w:rPr>
        <w:t>具体情况如下：</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106.95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eastAsia="zh-CN"/>
        </w:rPr>
        <w:t>增加</w:t>
      </w:r>
      <w:r>
        <w:rPr>
          <w:rFonts w:hint="eastAsia" w:ascii="仿宋_GB2312" w:hAnsi="Times New Roman" w:eastAsia="仿宋_GB2312" w:cs="仿宋_GB2312"/>
          <w:sz w:val="32"/>
          <w:szCs w:val="32"/>
          <w:lang w:val="en-US" w:eastAsia="zh-CN"/>
        </w:rPr>
        <w:t>3063.67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一般预算财政拨款</w:t>
      </w:r>
      <w:r>
        <w:rPr>
          <w:rFonts w:hint="eastAsia" w:ascii="仿宋_GB2312" w:hAnsi="Times New Roman" w:eastAsia="仿宋_GB2312" w:cs="Wingdings"/>
          <w:sz w:val="32"/>
          <w:szCs w:val="32"/>
        </w:rPr>
        <w:t>项目资金</w:t>
      </w:r>
      <w:r>
        <w:rPr>
          <w:rFonts w:hint="eastAsia" w:ascii="仿宋_GB2312" w:hAnsi="Times New Roman" w:eastAsia="仿宋_GB2312" w:cs="Wingdings"/>
          <w:sz w:val="32"/>
          <w:szCs w:val="32"/>
          <w:lang w:eastAsia="zh-CN"/>
        </w:rPr>
        <w:t>增加</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98.49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eastAsia="zh-CN"/>
        </w:rPr>
        <w:t>减少</w:t>
      </w:r>
      <w:r>
        <w:rPr>
          <w:rFonts w:hint="eastAsia" w:ascii="仿宋_GB2312" w:hAnsi="Times New Roman" w:eastAsia="仿宋_GB2312" w:cs="仿宋_GB2312"/>
          <w:sz w:val="32"/>
          <w:szCs w:val="32"/>
          <w:lang w:val="en-US" w:eastAsia="zh-CN"/>
        </w:rPr>
        <w:t>560.7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一般预算财政拨款</w:t>
      </w:r>
      <w:r>
        <w:rPr>
          <w:rFonts w:hint="eastAsia" w:ascii="仿宋_GB2312" w:hAnsi="Times New Roman" w:eastAsia="仿宋_GB2312" w:cs="Wingdings"/>
          <w:sz w:val="32"/>
          <w:szCs w:val="32"/>
        </w:rPr>
        <w:t>项目资金</w:t>
      </w:r>
      <w:r>
        <w:rPr>
          <w:rFonts w:hint="eastAsia" w:ascii="仿宋_GB2312" w:hAnsi="Times New Roman" w:eastAsia="仿宋_GB2312" w:cs="Wingdings"/>
          <w:sz w:val="32"/>
          <w:szCs w:val="32"/>
          <w:lang w:eastAsia="zh-CN"/>
        </w:rPr>
        <w:t>减少</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rPr>
          <w:rFonts w:hint="eastAsia"/>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95.85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w:t>
      </w:r>
      <w:r>
        <w:rPr>
          <w:rFonts w:hint="eastAsia" w:ascii="仿宋_GB2312" w:hAnsi="Times New Roman" w:eastAsia="仿宋_GB2312" w:cs="仿宋_GB2312"/>
          <w:sz w:val="32"/>
          <w:szCs w:val="32"/>
          <w:lang w:eastAsia="zh-CN"/>
        </w:rPr>
        <w:t>减少</w:t>
      </w:r>
      <w:r>
        <w:rPr>
          <w:rFonts w:hint="eastAsia" w:ascii="仿宋_GB2312" w:hAnsi="Times New Roman" w:eastAsia="仿宋_GB2312" w:cs="仿宋_GB2312"/>
          <w:sz w:val="32"/>
          <w:szCs w:val="32"/>
          <w:lang w:val="en-US" w:eastAsia="zh-CN"/>
        </w:rPr>
        <w:t>642.73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调整部门预算</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168.2</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5975.97</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rPr>
        <w:t>项目资金投入较</w:t>
      </w:r>
      <w:r>
        <w:rPr>
          <w:rFonts w:hint="eastAsia" w:ascii="仿宋_GB2312" w:hAnsi="Times New Roman" w:eastAsia="仿宋_GB2312" w:cs="Wingdings"/>
          <w:sz w:val="32"/>
          <w:szCs w:val="32"/>
          <w:lang w:eastAsia="zh-CN"/>
        </w:rPr>
        <w:t>大</w:t>
      </w:r>
      <w:r>
        <w:rPr>
          <w:rFonts w:hint="eastAsia" w:ascii="仿宋_GB2312" w:hAnsi="Times New Roman" w:eastAsia="仿宋_GB2312" w:cs="仿宋_GB2312"/>
          <w:sz w:val="32"/>
          <w:szCs w:val="32"/>
        </w:rPr>
        <w:t>。</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3" w:firstLineChars="200"/>
        <w:jc w:val="both"/>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总目标：细化预算编制工作，认真做好预算编制；加强财务管理，严格财务审核；抓好“三公经费”控制管理，确保各项业务工作任务圆满完成。</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预决算公开：2023年按照上级要求，我部门在政府网站进行了预决算公开。</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资产管理：我部门进一步加强资产的管理，制定了《资产管理内控制度》等制度，明确了具体责任人，完善了固定资产档案，严格报批、销审等手续，做好资产登记工作，单位无任何资产流失现象。</w:t>
      </w:r>
    </w:p>
    <w:p>
      <w:pPr>
        <w:pageBreakBefore w:val="0"/>
        <w:widowControl w:val="0"/>
        <w:kinsoku/>
        <w:wordWrap/>
        <w:overflowPunct/>
        <w:topLinePunct w:val="0"/>
        <w:autoSpaceDE/>
        <w:autoSpaceDN/>
        <w:bidi w:val="0"/>
        <w:adjustRightInd w:val="0"/>
        <w:snapToGrid w:val="0"/>
        <w:spacing w:line="540" w:lineRule="exact"/>
        <w:ind w:right="0" w:rightChars="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三公经费控制情况：我部门贯彻落实上级有关精神，严格控制“三公经费”支出，取得了良好的效果。具体情况如下：</w:t>
      </w:r>
      <w:r>
        <w:rPr>
          <w:rFonts w:hint="eastAsia" w:ascii="仿宋" w:hAnsi="仿宋" w:eastAsia="仿宋" w:cs="仿宋"/>
          <w:sz w:val="32"/>
          <w:szCs w:val="32"/>
        </w:rPr>
        <w:t>本部门202</w:t>
      </w:r>
      <w:r>
        <w:rPr>
          <w:rFonts w:hint="eastAsia" w:ascii="仿宋" w:hAnsi="仿宋" w:eastAsia="仿宋" w:cs="仿宋"/>
          <w:sz w:val="32"/>
          <w:szCs w:val="32"/>
          <w:lang w:val="en-US" w:eastAsia="zh-CN"/>
        </w:rPr>
        <w:t>3</w:t>
      </w:r>
      <w:r>
        <w:rPr>
          <w:rFonts w:hint="eastAsia" w:ascii="仿宋" w:hAnsi="仿宋" w:eastAsia="仿宋" w:cs="仿宋"/>
          <w:sz w:val="32"/>
          <w:szCs w:val="32"/>
        </w:rPr>
        <w:t>年度“三公”经费财政拨款支出预算为</w:t>
      </w:r>
      <w:r>
        <w:rPr>
          <w:rFonts w:hint="eastAsia" w:ascii="仿宋_GB2312" w:hAnsi="Times New Roman" w:eastAsia="仿宋_GB2312" w:cs="仿宋_GB2312"/>
          <w:sz w:val="32"/>
          <w:szCs w:val="32"/>
          <w:lang w:val="en-US" w:eastAsia="zh-CN"/>
        </w:rPr>
        <w:t>18.9</w:t>
      </w:r>
      <w:r>
        <w:rPr>
          <w:rFonts w:hint="eastAsia" w:ascii="仿宋" w:hAnsi="仿宋" w:eastAsia="仿宋" w:cs="仿宋"/>
          <w:sz w:val="32"/>
          <w:szCs w:val="32"/>
        </w:rPr>
        <w:t>万元，支出决算为</w:t>
      </w:r>
      <w:r>
        <w:rPr>
          <w:rFonts w:hint="eastAsia" w:ascii="仿宋_GB2312" w:hAnsi="Times New Roman" w:eastAsia="仿宋_GB2312" w:cs="仿宋_GB2312"/>
          <w:sz w:val="32"/>
          <w:szCs w:val="32"/>
          <w:lang w:val="en-US" w:eastAsia="zh-CN"/>
        </w:rPr>
        <w:t>16.09</w:t>
      </w:r>
      <w:r>
        <w:rPr>
          <w:rFonts w:hint="eastAsia" w:ascii="仿宋" w:hAnsi="仿宋" w:eastAsia="仿宋" w:cs="仿宋"/>
          <w:sz w:val="32"/>
          <w:szCs w:val="32"/>
        </w:rPr>
        <w:t>万元，</w:t>
      </w:r>
      <w:r>
        <w:rPr>
          <w:rFonts w:hint="eastAsia" w:ascii="仿宋_GB2312" w:hAnsi="Times New Roman" w:eastAsia="仿宋_GB2312" w:cs="仿宋_GB2312"/>
          <w:sz w:val="32"/>
          <w:szCs w:val="32"/>
        </w:rPr>
        <w:t>完成预算的</w:t>
      </w:r>
      <w:r>
        <w:rPr>
          <w:rFonts w:hint="eastAsia" w:ascii="仿宋_GB2312" w:hAnsi="Times New Roman" w:eastAsia="仿宋_GB2312" w:cs="仿宋_GB2312"/>
          <w:sz w:val="32"/>
          <w:szCs w:val="32"/>
          <w:lang w:val="en-US" w:eastAsia="zh-CN"/>
        </w:rPr>
        <w:t>85.13</w:t>
      </w:r>
      <w:r>
        <w:rPr>
          <w:rFonts w:ascii="仿宋_GB2312" w:hAnsi="Times New Roman" w:eastAsia="仿宋_GB2312" w:cs="仿宋_GB2312"/>
          <w:sz w:val="32"/>
          <w:szCs w:val="32"/>
        </w:rPr>
        <w:t>%</w:t>
      </w:r>
      <w:r>
        <w:rPr>
          <w:rFonts w:hint="eastAsia" w:ascii="仿宋" w:hAnsi="仿宋" w:eastAsia="仿宋" w:cs="仿宋"/>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2.81</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14.86</w:t>
      </w:r>
      <w:r>
        <w:rPr>
          <w:rFonts w:ascii="仿宋_GB2312" w:hAnsi="Times New Roman" w:eastAsia="仿宋_GB2312" w:cs="仿宋_GB2312"/>
          <w:sz w:val="32"/>
          <w:szCs w:val="32"/>
        </w:rPr>
        <w:t>%</w:t>
      </w:r>
      <w:r>
        <w:rPr>
          <w:rFonts w:hint="eastAsia" w:ascii="仿宋" w:hAnsi="仿宋" w:eastAsia="仿宋" w:cs="仿宋"/>
          <w:sz w:val="32"/>
          <w:szCs w:val="32"/>
        </w:rPr>
        <w:t>，主要是</w:t>
      </w:r>
      <w:r>
        <w:rPr>
          <w:rFonts w:hint="eastAsia" w:ascii="仿宋" w:hAnsi="仿宋" w:eastAsia="仿宋" w:cs="仿宋"/>
          <w:sz w:val="32"/>
          <w:szCs w:val="32"/>
          <w:lang w:val="en-US" w:eastAsia="zh-CN"/>
        </w:rPr>
        <w:t>厉行节约从严控制公务用车</w:t>
      </w:r>
      <w:r>
        <w:rPr>
          <w:rFonts w:hint="eastAsia" w:ascii="仿宋" w:hAnsi="仿宋" w:eastAsia="仿宋" w:cs="仿宋"/>
          <w:sz w:val="32"/>
          <w:szCs w:val="32"/>
        </w:rPr>
        <w:t>；</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年度决算减少</w:t>
      </w:r>
      <w:r>
        <w:rPr>
          <w:rFonts w:hint="eastAsia" w:ascii="仿宋_GB2312" w:hAnsi="Times New Roman" w:eastAsia="仿宋_GB2312" w:cs="仿宋_GB2312"/>
          <w:sz w:val="32"/>
          <w:szCs w:val="32"/>
          <w:lang w:val="en-US" w:eastAsia="zh-CN"/>
        </w:rPr>
        <w:t>1.39</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8.6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rPr>
        <w:t>厉行节约，</w:t>
      </w:r>
      <w:r>
        <w:rPr>
          <w:rFonts w:hint="eastAsia" w:ascii="仿宋_GB2312" w:eastAsia="仿宋_GB2312" w:cs="DengXian-Regular"/>
          <w:sz w:val="32"/>
          <w:szCs w:val="32"/>
        </w:rPr>
        <w:t>从严控制“三公”经费开支</w:t>
      </w:r>
      <w:r>
        <w:rPr>
          <w:rFonts w:hint="eastAsia" w:ascii="仿宋_GB2312" w:hAnsi="Times New Roman" w:eastAsia="仿宋_GB2312" w:cs="仿宋_GB2312"/>
          <w:sz w:val="32"/>
          <w:szCs w:val="32"/>
        </w:rPr>
        <w:t>。</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内部管理制度建设：健全单位财务管理制度，制订内部控制管理制度，加强合理使用和管理；制定内部监督检查制度，强化内部制度执行的监督管理。</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项目绩效总目标完成情况：2023年我部门完成各项工作任务。</w:t>
      </w:r>
    </w:p>
    <w:p>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预算法》及省、市、区绩效管理工作的有关规定，通过开展部门整体支出绩效评价，促进部门整体预算绩效管理工作水平的提升，强化部门支出责任，规范资金管理行为，提高财政资金使用效益，保障部门更好地履行职责。</w:t>
      </w:r>
    </w:p>
    <w:p>
      <w:pPr>
        <w:pStyle w:val="7"/>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2024年绩效自评工作的通知》相关要求，对2023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2023年区级预算项目进行自查自评，形成绩效评价报告。</w:t>
      </w:r>
    </w:p>
    <w:p>
      <w:pPr>
        <w:pageBreakBefore w:val="0"/>
        <w:widowControl w:val="0"/>
        <w:numPr>
          <w:ilvl w:val="0"/>
          <w:numId w:val="2"/>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绩效自评方法和过程主要如下：</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核实数据：对2023年度部门整体支出数据的准确性、真实性进行核实，将2022年度和2023年度部门整体支出情况进行分析比较；</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查阅资料：查阅2023年度预算安排、预算追加、资金管理、经费支出、资产管理等相关文件资料和财务凭证；</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归纳汇总：对收集的评价材料结合本单位情况进行综合分析、归纳汇总；</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根据评价材料结合各项评价指标进行分析评价；</w:t>
      </w:r>
    </w:p>
    <w:p>
      <w:pPr>
        <w:pStyle w:val="7"/>
        <w:keepNext w:val="0"/>
        <w:keepLines w:val="0"/>
        <w:pageBreakBefore w:val="0"/>
        <w:widowControl w:val="0"/>
        <w:numPr>
          <w:ilvl w:val="0"/>
          <w:numId w:val="3"/>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rPr>
      </w:pPr>
      <w:r>
        <w:rPr>
          <w:rFonts w:hint="eastAsia" w:ascii="仿宋" w:hAnsi="仿宋" w:eastAsia="仿宋" w:cs="仿宋"/>
          <w:sz w:val="32"/>
          <w:szCs w:val="32"/>
          <w:lang w:val="en-US" w:eastAsia="zh-CN"/>
        </w:rPr>
        <w:t>形成部门整体支出绩效自评报告。</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pageBreakBefore w:val="0"/>
        <w:widowControl w:val="0"/>
        <w:numPr>
          <w:ilvl w:val="0"/>
          <w:numId w:val="4"/>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pStyle w:val="12"/>
        <w:keepNext w:val="0"/>
        <w:keepLines w:val="0"/>
        <w:pageBreakBefore w:val="0"/>
        <w:widowControl w:val="0"/>
        <w:kinsoku/>
        <w:wordWrap/>
        <w:overflowPunct/>
        <w:topLinePunct w:val="0"/>
        <w:autoSpaceDE/>
        <w:autoSpaceDN/>
        <w:bidi w:val="0"/>
        <w:adjustRightInd/>
        <w:snapToGrid/>
        <w:spacing w:before="0" w:after="0" w:line="540" w:lineRule="exact"/>
        <w:ind w:left="0" w:leftChars="0" w:right="0" w:rightChars="0" w:firstLine="560" w:firstLineChars="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坚持以习近平新时代中国特色社会主义思想为指导,全面贯彻党的二十大精神,立足新发展阶段、贯彻新发展理念,聚焦城乡建设现代化，充分发挥城市建设主力军作用,强力推进基础设施建设取得新突破、住房品质提升改善取得新进展、住建领域安全管理水平取得新成效,住房行业监管水平取得新提升、全局干部职工履职能力再上新台阶，为建设现代化经济强区、魅力鹿泉、生态宜居宜业宜游新城区的贡献最大力量。</w:t>
      </w:r>
    </w:p>
    <w:p>
      <w:pPr>
        <w:pageBreakBefore w:val="0"/>
        <w:widowControl w:val="0"/>
        <w:kinsoku/>
        <w:wordWrap/>
        <w:overflowPunct/>
        <w:topLinePunct w:val="0"/>
        <w:autoSpaceDE/>
        <w:autoSpaceDN/>
        <w:bidi w:val="0"/>
        <w:spacing w:line="540" w:lineRule="exact"/>
        <w:ind w:left="0" w:leftChars="0" w:right="0" w:rightChars="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住建领域持续保持安全稳定。围绕建筑工地、燃气设施、城镇农村房屋、物业小区、局属工程施工等方面安全生产，持续加大监管和执法力度，进一步压实各方主体责任。强化对乡镇的督导指导，压实属地责任。定期开展应急演练、安全生产观摩会等活动，不断提升行业安全生产管理水平，确保不出安全事故。</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市政基础设施建设不断加快。编制鹿泉区城市地下综合管廊专项规划，完成洨河区域污水管网工程，启动鹿泉区再生水回用项目、鹿泉区污水管网提升改造工程。强化对污水厂的监管。</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民生工程建设力度持续加强。继续推进城中村改造、棚户区改造和老旧小区综合改造整治。完成4个城中村改造,42个老旧小区改造,2870套棚户区改造开工任务。完成城镇既有住宅和单位燃气用户加装自动切断功能安全装置工作。</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城乡建设水平进一步提升。牵头做好全国新型城镇化建设示范区创建。完成4个绿色社区创建任务。深入开展县城提质升级“八大行动”,推动县城建设工作省、市前列。扎实推进农村危房改造和农房品质提升,农村低收入家庭住房安全保障率达到100%。抓好历史建筑普查工作。</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住房制度改革继续深化。抓好保障房分配和管理,按时完成年度计划。大力发展保障性租赁住房,筹集保障性租赁住房1288套(间)。建设转化人才公寓488套。加大房地产市场监督管理力度,抓好"烂尾楼”整治,保持房地产市场健康平稳发展。抓好培育和发展住房租赁市场试点工作,全面完成年度任务。</w:t>
      </w:r>
    </w:p>
    <w:p>
      <w:pPr>
        <w:keepNext w:val="0"/>
        <w:keepLines w:val="0"/>
        <w:pageBreakBefore w:val="0"/>
        <w:widowControl w:val="0"/>
        <w:kinsoku/>
        <w:wordWrap/>
        <w:overflowPunct/>
        <w:topLinePunct w:val="0"/>
        <w:autoSpaceDE/>
        <w:autoSpaceDN/>
        <w:bidi w:val="0"/>
        <w:adjustRightInd/>
        <w:snapToGrid/>
        <w:spacing w:line="500" w:lineRule="exact"/>
        <w:ind w:left="0" w:leftChars="0" w:right="0" w:rightChars="0" w:firstLine="640" w:firstLineChars="200"/>
        <w:jc w:val="left"/>
        <w:textAlignment w:val="auto"/>
        <w:outlineLvl w:val="9"/>
        <w:rPr>
          <w:rFonts w:hint="eastAsia" w:ascii="仿宋" w:hAnsi="仿宋" w:eastAsia="仿宋" w:cs="仿宋"/>
          <w:sz w:val="32"/>
          <w:szCs w:val="32"/>
        </w:rPr>
      </w:pPr>
      <w:r>
        <w:rPr>
          <w:rFonts w:hint="eastAsia" w:ascii="仿宋" w:hAnsi="仿宋" w:eastAsia="仿宋" w:cs="仿宋"/>
          <w:sz w:val="32"/>
          <w:szCs w:val="32"/>
        </w:rPr>
        <w:t>建筑业转型发展迈出新步伐。建筑市场管理得到加强,建筑企业规模效益不断提高。绿建节能工作进一步发展,绿色建筑范围不断扩大，全市城镇新建绿色建筑占比92%以上。新建装配式建筑占比30%以上,新开工被动式超低能耗建筑1万平方米,全市建筑业高质量发展和转型升级取得新成效。全区建筑业高质量发展和转型升级取得新成效。</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仿宋" w:hAnsi="仿宋" w:eastAsia="仿宋"/>
          <w:sz w:val="32"/>
          <w:szCs w:val="32"/>
        </w:rPr>
      </w:pPr>
      <w:bookmarkStart w:id="0" w:name="_GoBack"/>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bookmarkEnd w:id="0"/>
    <w:p>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7"/>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pPr>
        <w:pageBreakBefore w:val="0"/>
        <w:widowControl w:val="0"/>
        <w:numPr>
          <w:ilvl w:val="0"/>
          <w:numId w:val="4"/>
        </w:numPr>
        <w:kinsoku/>
        <w:wordWrap/>
        <w:overflowPunct/>
        <w:topLinePunct w:val="0"/>
        <w:autoSpaceDE/>
        <w:autoSpaceDN/>
        <w:bidi w:val="0"/>
        <w:spacing w:line="540" w:lineRule="exact"/>
        <w:ind w:left="0" w:leftChars="0" w:right="0" w:rightChars="0" w:firstLine="643" w:firstLineChars="200"/>
        <w:textAlignment w:val="auto"/>
        <w:outlineLvl w:val="9"/>
        <w:rPr>
          <w:b/>
          <w:bCs/>
        </w:rPr>
      </w:pPr>
      <w:r>
        <w:rPr>
          <w:rFonts w:hint="eastAsia" w:ascii="仿宋" w:hAnsi="仿宋" w:eastAsia="仿宋"/>
          <w:b/>
          <w:bCs/>
          <w:sz w:val="32"/>
          <w:szCs w:val="32"/>
        </w:rPr>
        <w:t>针对问题提出具体的改进措施或建议</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一是加强领导，精心组织，逐步推开，实现编制预算绩效目标全覆盖。</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二是完善相关制度，推进制度落实。</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三是细化预算编制工作，认真做好预算编制。</w:t>
      </w:r>
    </w:p>
    <w:p>
      <w:pPr>
        <w:pStyle w:val="7"/>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四是加强财务管理，严格财务审核。</w:t>
      </w:r>
    </w:p>
    <w:p>
      <w:pPr>
        <w:pStyle w:val="7"/>
        <w:pageBreakBefore w:val="0"/>
        <w:widowControl w:val="0"/>
        <w:kinsoku/>
        <w:wordWrap/>
        <w:overflowPunct/>
        <w:topLinePunct w:val="0"/>
        <w:autoSpaceDE/>
        <w:autoSpaceDN/>
        <w:bidi w:val="0"/>
        <w:spacing w:line="540" w:lineRule="exact"/>
        <w:ind w:right="0" w:rightChars="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五是加强项目开展进度的跟踪，开展项目事前、事中、事后绩效跟踪评价。</w:t>
      </w:r>
    </w:p>
    <w:p>
      <w:pPr>
        <w:pageBreakBefore w:val="0"/>
        <w:widowControl w:val="0"/>
        <w:kinsoku/>
        <w:wordWrap/>
        <w:overflowPunct/>
        <w:topLinePunct w:val="0"/>
        <w:autoSpaceDE/>
        <w:autoSpaceDN/>
        <w:bidi w:val="0"/>
        <w:adjustRightInd w:val="0"/>
        <w:snapToGrid w:val="0"/>
        <w:spacing w:line="312"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评价工作组人员名单</w:t>
      </w:r>
    </w:p>
    <w:tbl>
      <w:tblPr>
        <w:tblStyle w:val="9"/>
        <w:tblW w:w="69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7"/>
        <w:gridCol w:w="2280"/>
        <w:gridCol w:w="29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姓  名</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工作单位</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b/>
                <w:bCs/>
                <w:sz w:val="21"/>
                <w:szCs w:val="21"/>
                <w:vertAlign w:val="baseline"/>
                <w:lang w:val="en-US" w:eastAsia="zh-CN"/>
              </w:rPr>
            </w:pPr>
            <w:r>
              <w:rPr>
                <w:rFonts w:hint="eastAsia"/>
                <w:b/>
                <w:bCs/>
                <w:sz w:val="21"/>
                <w:szCs w:val="21"/>
                <w:vertAlign w:val="baseline"/>
                <w:lang w:val="en-US" w:eastAsia="zh-CN"/>
              </w:rPr>
              <w:t>职    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贾立中</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鹿泉区住建局</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党组成员、副局长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范雅鹏</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鹿泉区住建局</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办公室负责人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37"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魏柳</w:t>
            </w:r>
          </w:p>
        </w:tc>
        <w:tc>
          <w:tcPr>
            <w:tcW w:w="2280"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鹿泉区住建局</w:t>
            </w:r>
          </w:p>
        </w:tc>
        <w:tc>
          <w:tcPr>
            <w:tcW w:w="2911" w:type="dxa"/>
            <w:vAlign w:val="center"/>
          </w:tcPr>
          <w:p>
            <w:pPr>
              <w:pStyle w:val="7"/>
              <w:pageBreakBefore w:val="0"/>
              <w:kinsoku/>
              <w:wordWrap/>
              <w:overflowPunct/>
              <w:topLinePunct w:val="0"/>
              <w:autoSpaceDE/>
              <w:autoSpaceDN/>
              <w:bidi w:val="0"/>
              <w:spacing w:line="312" w:lineRule="auto"/>
              <w:jc w:val="center"/>
              <w:rPr>
                <w:rFonts w:hint="default"/>
                <w:sz w:val="21"/>
                <w:szCs w:val="21"/>
                <w:vertAlign w:val="baseline"/>
                <w:lang w:val="en-US" w:eastAsia="zh-CN"/>
              </w:rPr>
            </w:pPr>
            <w:r>
              <w:rPr>
                <w:rFonts w:hint="eastAsia"/>
                <w:sz w:val="21"/>
                <w:szCs w:val="21"/>
                <w:vertAlign w:val="baseline"/>
                <w:lang w:val="en-US" w:eastAsia="zh-CN"/>
              </w:rPr>
              <w:t>财务负责人</w:t>
            </w:r>
          </w:p>
        </w:tc>
      </w:tr>
    </w:tbl>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rPr>
          <w:rFonts w:hint="default"/>
          <w:lang w:val="en-US" w:eastAsia="zh-CN"/>
        </w:rPr>
      </w:pPr>
    </w:p>
    <w:p>
      <w:pPr>
        <w:pStyle w:val="7"/>
        <w:pageBreakBefore w:val="0"/>
        <w:kinsoku/>
        <w:wordWrap/>
        <w:overflowPunct/>
        <w:topLinePunct w:val="0"/>
        <w:autoSpaceDE/>
        <w:autoSpaceDN/>
        <w:bidi w:val="0"/>
        <w:spacing w:line="312" w:lineRule="auto"/>
        <w:ind w:left="0" w:leftChars="0" w:firstLine="0" w:firstLineChars="0"/>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石家庄市鹿泉区住房和城乡建设局</w:t>
      </w:r>
    </w:p>
    <w:p>
      <w:pPr>
        <w:pStyle w:val="7"/>
        <w:pageBreakBefore w:val="0"/>
        <w:kinsoku/>
        <w:wordWrap/>
        <w:overflowPunct/>
        <w:topLinePunct w:val="0"/>
        <w:autoSpaceDE/>
        <w:autoSpaceDN/>
        <w:bidi w:val="0"/>
        <w:spacing w:line="312" w:lineRule="auto"/>
        <w:ind w:firstLine="5120" w:firstLineChars="16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2024年4月18日</w:t>
      </w: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abstractNum w:abstractNumId="3">
    <w:nsid w:val="6513A7A9"/>
    <w:multiLevelType w:val="singleLevel"/>
    <w:tmpl w:val="6513A7A9"/>
    <w:lvl w:ilvl="0" w:tentative="0">
      <w:start w:val="2"/>
      <w:numFmt w:val="chineseCounting"/>
      <w:suff w:val="nothing"/>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1D4A5D"/>
    <w:rsid w:val="01B104CA"/>
    <w:rsid w:val="02106AB0"/>
    <w:rsid w:val="02B43A28"/>
    <w:rsid w:val="046F331E"/>
    <w:rsid w:val="069710C0"/>
    <w:rsid w:val="069E2016"/>
    <w:rsid w:val="07956271"/>
    <w:rsid w:val="07DC6200"/>
    <w:rsid w:val="08FA03A2"/>
    <w:rsid w:val="09721397"/>
    <w:rsid w:val="0A9337E1"/>
    <w:rsid w:val="0B1F7727"/>
    <w:rsid w:val="0B6027CF"/>
    <w:rsid w:val="0BB63BED"/>
    <w:rsid w:val="0CC252AE"/>
    <w:rsid w:val="0CD701CE"/>
    <w:rsid w:val="0DC566A4"/>
    <w:rsid w:val="0E3E7E52"/>
    <w:rsid w:val="0EB97A43"/>
    <w:rsid w:val="0EBD2122"/>
    <w:rsid w:val="0F214EAE"/>
    <w:rsid w:val="0F81208B"/>
    <w:rsid w:val="0F972FD4"/>
    <w:rsid w:val="11743155"/>
    <w:rsid w:val="11B71E6A"/>
    <w:rsid w:val="15441FB8"/>
    <w:rsid w:val="19827DE5"/>
    <w:rsid w:val="1AAF0063"/>
    <w:rsid w:val="1BE140DE"/>
    <w:rsid w:val="1F50120C"/>
    <w:rsid w:val="1F7B4F90"/>
    <w:rsid w:val="200A2C3F"/>
    <w:rsid w:val="23A726AE"/>
    <w:rsid w:val="23E5754F"/>
    <w:rsid w:val="241A2996"/>
    <w:rsid w:val="248C197D"/>
    <w:rsid w:val="24EC727F"/>
    <w:rsid w:val="252959AF"/>
    <w:rsid w:val="2691041D"/>
    <w:rsid w:val="277A6671"/>
    <w:rsid w:val="28570F5B"/>
    <w:rsid w:val="28BA495B"/>
    <w:rsid w:val="292D35B7"/>
    <w:rsid w:val="2A594280"/>
    <w:rsid w:val="2B5C33F8"/>
    <w:rsid w:val="2CB20427"/>
    <w:rsid w:val="2EE9170B"/>
    <w:rsid w:val="2EED2C23"/>
    <w:rsid w:val="322500BE"/>
    <w:rsid w:val="3322376F"/>
    <w:rsid w:val="33381316"/>
    <w:rsid w:val="33576B0C"/>
    <w:rsid w:val="337E354B"/>
    <w:rsid w:val="33EB6CFF"/>
    <w:rsid w:val="35A12947"/>
    <w:rsid w:val="37387040"/>
    <w:rsid w:val="38764839"/>
    <w:rsid w:val="38DD19FC"/>
    <w:rsid w:val="39781CB1"/>
    <w:rsid w:val="3A9D5983"/>
    <w:rsid w:val="3B625C0A"/>
    <w:rsid w:val="3CEE1963"/>
    <w:rsid w:val="3E0E3EE9"/>
    <w:rsid w:val="3E553521"/>
    <w:rsid w:val="3F14027E"/>
    <w:rsid w:val="40D174F0"/>
    <w:rsid w:val="41535F05"/>
    <w:rsid w:val="421959CF"/>
    <w:rsid w:val="43347FAD"/>
    <w:rsid w:val="44EA7FAB"/>
    <w:rsid w:val="45C16CD5"/>
    <w:rsid w:val="4BAF6637"/>
    <w:rsid w:val="4BE17E5A"/>
    <w:rsid w:val="4C9C27FE"/>
    <w:rsid w:val="4D4250C6"/>
    <w:rsid w:val="4E536B02"/>
    <w:rsid w:val="4EEC1008"/>
    <w:rsid w:val="512260B4"/>
    <w:rsid w:val="5131421D"/>
    <w:rsid w:val="51C24EF7"/>
    <w:rsid w:val="52BD6ACB"/>
    <w:rsid w:val="544549FF"/>
    <w:rsid w:val="55537534"/>
    <w:rsid w:val="561A74F1"/>
    <w:rsid w:val="56702A94"/>
    <w:rsid w:val="597244E8"/>
    <w:rsid w:val="59D867D7"/>
    <w:rsid w:val="5A982E30"/>
    <w:rsid w:val="5BC67511"/>
    <w:rsid w:val="5CE069F4"/>
    <w:rsid w:val="5EB71C30"/>
    <w:rsid w:val="5FB93280"/>
    <w:rsid w:val="62117346"/>
    <w:rsid w:val="643F417C"/>
    <w:rsid w:val="661A0CF1"/>
    <w:rsid w:val="66AF0CE5"/>
    <w:rsid w:val="6837462A"/>
    <w:rsid w:val="68812F06"/>
    <w:rsid w:val="6AC537CF"/>
    <w:rsid w:val="6AEE7642"/>
    <w:rsid w:val="6D3C6EDF"/>
    <w:rsid w:val="6E5B14A6"/>
    <w:rsid w:val="711B255E"/>
    <w:rsid w:val="719E1EEB"/>
    <w:rsid w:val="7317199D"/>
    <w:rsid w:val="736D4B41"/>
    <w:rsid w:val="753D05FB"/>
    <w:rsid w:val="7B791412"/>
    <w:rsid w:val="7BB51E06"/>
    <w:rsid w:val="7C387F7C"/>
    <w:rsid w:val="7E6E70FD"/>
    <w:rsid w:val="7E987F66"/>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4">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qFormat/>
    <w:uiPriority w:val="0"/>
    <w:pPr>
      <w:ind w:firstLine="420"/>
    </w:pPr>
    <w:rPr>
      <w:rFonts w:ascii="Times New Roman" w:hAnsi="Times New Roman" w:eastAsia="宋体" w:cs="Times New Roman"/>
    </w:rPr>
  </w:style>
  <w:style w:type="table" w:styleId="9">
    <w:name w:val="Table Grid"/>
    <w:basedOn w:val="8"/>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_Style 1"/>
    <w:qFormat/>
    <w:uiPriority w:val="99"/>
    <w:pPr>
      <w:widowControl w:val="0"/>
      <w:jc w:val="both"/>
    </w:pPr>
    <w:rPr>
      <w:rFonts w:ascii="宋体" w:hAnsi="Times New Roman" w:eastAsia="宋体" w:cs="Times New Roman"/>
      <w:kern w:val="2"/>
      <w:sz w:val="32"/>
      <w:szCs w:val="22"/>
      <w:lang w:val="en-US" w:eastAsia="zh-CN" w:bidi="ar-SA"/>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20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2024-04-18T05:42:59Z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A90DC20E494749D797C230FC46E301FF</vt:lpwstr>
  </property>
</Properties>
</file>