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中共石家庄市鹿泉区委组织部2023年度                 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石家庄市鹿泉区人民政府《关于全面实施预算绩效管理的实施意见》（鹿发﹝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中共石家庄市鹿泉区委组织部</w:t>
      </w:r>
      <w:r>
        <w:rPr>
          <w:rFonts w:hint="eastAsia" w:ascii="仿宋" w:hAnsi="仿宋" w:eastAsia="仿宋"/>
          <w:sz w:val="32"/>
          <w:szCs w:val="32"/>
          <w:lang w:eastAsia="zh-CN"/>
        </w:rPr>
        <w:t>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2023年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default" w:ascii="仿宋" w:hAnsi="仿宋" w:eastAsia="仿宋" w:cs="楷体_GB2312"/>
          <w:b/>
          <w:bCs/>
          <w:sz w:val="32"/>
          <w:szCs w:val="32"/>
          <w:lang w:val="en-US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>职责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（一）承担区委党的建设（基层组织建设）工作领导小组办公室工作职责。围绕党的重大理论和实践问题调查研究，提出加 强全区党的建设的建议；负责党的建设制度改革的宏观指导，研 究党的组织工作、干部工作、人才工作的贯彻落实措施，制定或参与制定全区性重要政策和制度；负责“区委基层组织建设联席会议”牵头抓总工作。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（二）负责党员队伍建设、组织员队伍建设以及党员发展、 教育、管理工作，负责党的组织制度、党内生活制度建设；组织协调全区党代表大会、党代表会议、人民代表大会的选举工作，负责全区党代表大会代表的日常管理和服务工作；负责党组织建设特别是党的基层组织建设的调查研究，负责谋划指导和组织推动全区抓党建促脱贫攻坚工作；承担区委非公有制经济组织和社会组织工作委员会职责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（三）负责乡局级领导班子和干部队伍建设的宏观管理。研 究提出领导班子和领导干部队伍建设规划以及干部管理体制的 建议，指导领导班子思想作风建设；负责提出各乡（镇、区）和区直各部门以及其他列入区委管理的领导班子调整、配备的建议； 负责区委管理干部的考察、综合分析研判，办理职务任免、工资、待遇、退休审批手续；综合管理优秀年轻干部队伍，统筹选育管用工作，组织协调女干部、少数民族干部和党外干部培养选拔工作；负责各乡（镇、区）和区直部门股级干部的选任（备案审批）和日常监督管理工作；负责全区干部档案管理工作；负责省派选调生、大学生村官的培养、使用和管理；承办有关干部的调配、交流安置事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（四）负责全区干部教育、培训工作；拟订干部教育培训工 作规划，组织实施区委管理干部和一定层次其他干部的培训；负 责组织系统干部监督工作，组织开展选人用人和执行干部监督制 度规定情况的监督检查，处理反映选人用人问题及领导干部相关 问题的举报；负责全区干部考核工作，组织实施对区委管理领导 班子和领导干部的考核工作，负责全区机关目标绩效管理，组织 实施区级机关职能绩效目标考核；承担区委干部考核委员会日常工作。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（五）负责公务员、参照公务员法管理事业单位工作人员录 用调配、考核奖惩、培训和工资福利等工作；研究拟订公务员管 理办法并组织实施；指导全区公务员、参照公务员法管理事业单</w:t>
      </w:r>
    </w:p>
    <w:p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位工作人员队伍建设。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（六）负责全区人才工作和人才队伍建设的牵头抓总、统筹 协调、推进落实；负责做好省管优秀专家、市管拔尖人才等重点 人才推荐申报、联系服务工作；负责区管拔尖人才的选拔管理；</w:t>
      </w:r>
    </w:p>
    <w:p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承担区委人才工作领导小组办公室日常工作。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（七）负责组织系统新闻宣传、信息化建设和组织史征编工作。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（八）负责全区组织工作的检查督促，及时向区委反映重要情况并提出建议。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（九）统一管理区委机构编制委员会办公室，归口管理区委老干部局。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（十）完成区委交办的其他任务。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部门收支预决算情况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本部门2023年度财政拨款本年收入10225.04万元，完成年初预算的140.27%,比年初预算增加2935.25万元；本年支出10225.04万元，完成年初预算的140.27%,比年初预算增加2935.25万元。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坚持以习近平新时代中国特色社会主义思想为指导，</w:t>
      </w:r>
      <w:bookmarkStart w:id="0" w:name="_GoBack"/>
      <w:bookmarkEnd w:id="0"/>
      <w:r>
        <w:rPr>
          <w:rFonts w:hint="eastAsia" w:ascii="仿宋" w:hAnsi="仿宋" w:eastAsia="仿宋"/>
          <w:sz w:val="32"/>
          <w:szCs w:val="32"/>
          <w:lang w:eastAsia="zh-CN"/>
        </w:rPr>
        <w:t>深入学习贯彻党的二十大精神，积极践行新时代党的组织路线，认真学习贯彻落实全国、省、市组织工作会议精神。聚焦领导班子和干部队伍建设，“选、育、管、用”并举，提供坚强组织保障。选优配强各级领导班子，激发干部队伍活力。聚焦人才强区战略目标，优化人才服务，助力区域高质量发展。立足休闲服务、电子信息、绿色食品、智能制造“1+3”现代产业发展新格局，大力实施人才强区战略，深化人才发展体制机制改革，聚天下八方英才用之。聚焦提升党建引领基层治理水平，坚持强基固本，助推乡村振兴发展。坚持以党建引领乡村振兴，不断推动组织优势转化为发展优势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  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 xml:space="preserve"> 1、制度建设评价。将事前评估、目标管理、运行监控、绩效评价、结果应用等各项改革措施，有效融入预算管理的全过程，研究完善预算绩效管理有关制度办法和财务管理规定。建立统筹协调、分工协作、密切配合、合力推进的工作机制，围绕年度总体绩效目标和分项绩效目标，明确责任主体，实施进度要求，确保如期完成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2、支出管理评价。强化财政预算执行刚性，编细编实预算，对预算的事前、事中、事后进行全过程控制，进一步提高财政资金使用效益。加强支出结构优化，及时支付资金，确保按照时间节点完成支出任务。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3、运行监控评价。按要求开展绩效运行监控，依据确定的绩效目标，采取项目跟踪、数据核查和汇总分析等方式，动态了解和掌握项目绩效目标实现程度、资金支出进度和项目实施进度，对评价中发现的问题及时整改，确保绩效目标按期保质完成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4、资金管理评价。规范财政资金使用效益，完善内部控制管理制度，坚持依法理财，注重资金支出绩效，最大限额的发挥财政资金效益。在完善财务管理制度的基础上，科学配置单位资产，严格审批程序，加强固定资产登记、使用和报废处置管理，做到支出合理，物尽其用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5、宣传引导评价。加强预算绩效管理专业知识培训，提高预算绩效管理工作人员的业务素质，不断优化财务人员知识结构，促进财务人员严格履职，当好领导参谋。加大宣传力度，强化预算绩效管理意识，培育绩效管理文化，促进预算绩效管理水平进一步提升。</w:t>
      </w:r>
    </w:p>
    <w:p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在区委的坚强领导下，我部始终坚持以习近平新时代中国特色社会主义思想为指导，认真学习贯彻习近平总书记考察河北时的重要讲话和重要指示精神，全面贯彻落实党的二十大精神，忠实践行新时代党的建设总要求和新时代党的组织路线，基层组织建设、干部工作、人才工作均得到了市领导的一致认可，人才工作、新闻宣传工作前三季度考核在全市23个县市区排名第一。市委《调查研究》第1期（《深化政校院企合作 提升精准服务效能 鹿泉区依托科技特派团助力主导产业创新发展》）刊发我区经验做法，省委常委、市委书记张超超做出重要批示。石井乡岸下村打造成为全市基层党建观摩点，省委常委、市委书记张超超给与充分肯定，并作为全省和美乡村建设推进会观摩点位之一迎接全省166位县（区）委书记现场观摩；石井乡岸下村、白鹿泉乡水峪村、李村镇前东毗村合作社获评市级党支部领办合作社“示范社”。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/>
          <w:sz w:val="32"/>
          <w:szCs w:val="32"/>
        </w:rPr>
        <w:t>年我单位绩效自评项目共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个，其中评价等级为“优”</w:t>
      </w:r>
    </w:p>
    <w:p>
      <w:pPr>
        <w:widowControl w:val="0"/>
        <w:wordWrap/>
        <w:spacing w:line="560" w:lineRule="exact"/>
        <w:ind w:right="0"/>
        <w:textAlignment w:val="auto"/>
        <w:outlineLvl w:val="9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/>
          <w:sz w:val="32"/>
          <w:szCs w:val="32"/>
        </w:rPr>
        <w:t>个，评优率为 100%，详见下表。</w:t>
      </w:r>
    </w:p>
    <w:p>
      <w:pPr>
        <w:spacing w:before="101" w:line="222" w:lineRule="auto"/>
        <w:ind w:left="2622"/>
        <w:rPr>
          <w:rFonts w:ascii="仿宋" w:hAnsi="仿宋" w:eastAsia="仿宋" w:cs="仿宋"/>
          <w:sz w:val="31"/>
          <w:szCs w:val="31"/>
        </w:rPr>
      </w:pPr>
      <w:r>
        <w:rPr>
          <w:rFonts w:ascii="仿宋" w:hAnsi="仿宋" w:eastAsia="仿宋" w:cs="仿宋"/>
          <w:spacing w:val="9"/>
          <w:sz w:val="31"/>
          <w:szCs w:val="31"/>
          <w14:textOutline w14:w="5793" w14:cap="sq" w14:cmpd="sng">
            <w14:solidFill>
              <w14:srgbClr w14:val="000000"/>
            </w14:solidFill>
            <w14:prstDash w14:val="solid"/>
            <w14:bevel/>
          </w14:textOutline>
        </w:rPr>
        <w:t>组织部绩效自评结果统计表</w:t>
      </w:r>
    </w:p>
    <w:p>
      <w:pPr>
        <w:spacing w:line="198" w:lineRule="exact"/>
      </w:pPr>
    </w:p>
    <w:tbl>
      <w:tblPr>
        <w:tblStyle w:val="8"/>
        <w:tblW w:w="906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46"/>
        <w:gridCol w:w="3929"/>
        <w:gridCol w:w="1333"/>
        <w:gridCol w:w="1950"/>
        <w:gridCol w:w="1306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69" w:hRule="atLeast"/>
        </w:trPr>
        <w:tc>
          <w:tcPr>
            <w:tcW w:w="546" w:type="dxa"/>
            <w:textDirection w:val="tbRlV"/>
            <w:vAlign w:val="top"/>
          </w:tcPr>
          <w:p>
            <w:pPr>
              <w:spacing w:before="149" w:line="202" w:lineRule="auto"/>
              <w:ind w:left="308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38"/>
                <w:sz w:val="24"/>
                <w:szCs w:val="24"/>
              </w:rPr>
              <w:t>序号</w:t>
            </w:r>
          </w:p>
        </w:tc>
        <w:tc>
          <w:tcPr>
            <w:tcW w:w="3929" w:type="dxa"/>
            <w:vAlign w:val="top"/>
          </w:tcPr>
          <w:p>
            <w:pPr>
              <w:spacing w:line="383" w:lineRule="auto"/>
              <w:rPr>
                <w:rFonts w:ascii="Arial"/>
                <w:sz w:val="21"/>
              </w:rPr>
            </w:pPr>
          </w:p>
          <w:p>
            <w:pPr>
              <w:spacing w:before="78" w:line="221" w:lineRule="auto"/>
              <w:ind w:left="149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项目名称</w:t>
            </w:r>
          </w:p>
        </w:tc>
        <w:tc>
          <w:tcPr>
            <w:tcW w:w="1333" w:type="dxa"/>
            <w:vAlign w:val="top"/>
          </w:tcPr>
          <w:p>
            <w:pPr>
              <w:spacing w:before="309" w:line="230" w:lineRule="auto"/>
              <w:ind w:left="445" w:right="182" w:hanging="24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项目实施</w:t>
            </w:r>
            <w:r>
              <w:rPr>
                <w:rFonts w:ascii="仿宋" w:hAnsi="仿宋" w:eastAsia="仿宋" w:cs="仿宋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仿宋" w:hAnsi="仿宋" w:eastAsia="仿宋" w:cs="仿宋"/>
                <w:spacing w:val="-11"/>
                <w:sz w:val="24"/>
                <w:szCs w:val="24"/>
              </w:rPr>
              <w:t>单位</w:t>
            </w:r>
          </w:p>
        </w:tc>
        <w:tc>
          <w:tcPr>
            <w:tcW w:w="1950" w:type="dxa"/>
            <w:vAlign w:val="top"/>
          </w:tcPr>
          <w:p>
            <w:pPr>
              <w:spacing w:line="384" w:lineRule="auto"/>
              <w:rPr>
                <w:rFonts w:ascii="Arial"/>
                <w:sz w:val="21"/>
              </w:rPr>
            </w:pPr>
          </w:p>
          <w:p>
            <w:pPr>
              <w:spacing w:before="78" w:line="222" w:lineRule="auto"/>
              <w:ind w:left="5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6"/>
                <w:sz w:val="24"/>
                <w:szCs w:val="24"/>
              </w:rPr>
              <w:t>自评得分</w:t>
            </w:r>
          </w:p>
        </w:tc>
        <w:tc>
          <w:tcPr>
            <w:tcW w:w="1306" w:type="dxa"/>
            <w:vAlign w:val="top"/>
          </w:tcPr>
          <w:p>
            <w:pPr>
              <w:spacing w:before="262" w:line="581" w:lineRule="exact"/>
              <w:ind w:left="1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20"/>
                <w:position w:val="26"/>
                <w:sz w:val="24"/>
                <w:szCs w:val="24"/>
              </w:rPr>
              <w:t>自评结果</w:t>
            </w:r>
          </w:p>
          <w:p>
            <w:pPr>
              <w:spacing w:line="223" w:lineRule="auto"/>
              <w:ind w:left="122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4"/>
                <w:sz w:val="24"/>
                <w:szCs w:val="24"/>
              </w:rPr>
              <w:t>应用意见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6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人才绿卡AB卡房租补助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restart"/>
            <w:vAlign w:val="top"/>
          </w:tcPr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spacing w:line="241" w:lineRule="auto"/>
              <w:rPr>
                <w:rFonts w:ascii="Arial"/>
                <w:sz w:val="21"/>
              </w:rPr>
            </w:pPr>
          </w:p>
          <w:p>
            <w:pPr>
              <w:pStyle w:val="9"/>
              <w:spacing w:line="228" w:lineRule="auto"/>
              <w:ind w:left="113"/>
              <w:rPr>
                <w:sz w:val="19"/>
                <w:szCs w:val="19"/>
              </w:rPr>
            </w:pPr>
            <w:r>
              <w:rPr>
                <w:rFonts w:hint="eastAsia"/>
                <w:spacing w:val="25"/>
                <w:sz w:val="19"/>
                <w:szCs w:val="19"/>
              </w:rPr>
              <w:t>进一步加强财政资金管理，切实提高资金使用效率，创造更好公共效益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2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default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人才绿卡A卡生活补贴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2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3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人才绿卡C卡房租补助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1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区管拔尖人才工作津贴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5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干部档案数字化建设工程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6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干部人事档案库房建设项目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7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干部信息管理专项经费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2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8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村干部好青年基础职务补贴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9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村党组织书记、村委会主任养老保险奖励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10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村级组织办公经费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11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村党组织活动经费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12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服务群众专项经费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13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离任村干部生活补贴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14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宗教重点村党建工作经费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15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乡村振兴重点村驻村工作队经费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16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会议接待费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6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17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专项公用经费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18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村改居经费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19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社区工作经费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20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社区工作者工资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21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非公企业和社会组织党建工作经费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22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党员培训教育经费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23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培训费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7" w:hRule="atLeast"/>
        </w:trPr>
        <w:tc>
          <w:tcPr>
            <w:tcW w:w="546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24</w:t>
            </w:r>
          </w:p>
        </w:tc>
        <w:tc>
          <w:tcPr>
            <w:tcW w:w="392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/>
                <w:spacing w:val="-1"/>
                <w:sz w:val="20"/>
                <w:szCs w:val="20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考核专项办公经费</w:t>
            </w:r>
          </w:p>
        </w:tc>
        <w:tc>
          <w:tcPr>
            <w:tcW w:w="1333" w:type="dxa"/>
            <w:vAlign w:val="top"/>
          </w:tcPr>
          <w:p>
            <w:pPr>
              <w:pStyle w:val="9"/>
              <w:spacing w:before="69" w:line="219" w:lineRule="auto"/>
              <w:ind w:left="110"/>
              <w:rPr>
                <w:rFonts w:hint="eastAsia"/>
                <w:spacing w:val="-1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</w:rPr>
              <w:t>区委组织部</w:t>
            </w:r>
          </w:p>
        </w:tc>
        <w:tc>
          <w:tcPr>
            <w:tcW w:w="195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spacing w:val="-1"/>
                <w:kern w:val="2"/>
                <w:sz w:val="20"/>
                <w:szCs w:val="20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85分以上优秀等级</w:t>
            </w:r>
          </w:p>
        </w:tc>
        <w:tc>
          <w:tcPr>
            <w:tcW w:w="1306" w:type="dxa"/>
            <w:vMerge w:val="continue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下一步</w:t>
      </w:r>
      <w:r>
        <w:rPr>
          <w:rFonts w:hint="eastAsia" w:ascii="黑体" w:hAnsi="黑体" w:eastAsia="黑体"/>
          <w:sz w:val="32"/>
          <w:szCs w:val="32"/>
        </w:rPr>
        <w:t>改进措施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一、</w:t>
      </w:r>
      <w:r>
        <w:rPr>
          <w:rFonts w:hint="eastAsia" w:ascii="仿宋" w:hAnsi="仿宋" w:eastAsia="仿宋"/>
          <w:sz w:val="32"/>
          <w:szCs w:val="32"/>
          <w:lang w:eastAsia="zh-CN"/>
        </w:rPr>
        <w:t>落实主体责任。明确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项目支出</w:t>
      </w:r>
      <w:r>
        <w:rPr>
          <w:rFonts w:hint="eastAsia" w:ascii="仿宋" w:hAnsi="仿宋" w:eastAsia="仿宋"/>
          <w:sz w:val="32"/>
          <w:szCs w:val="32"/>
          <w:lang w:eastAsia="zh-CN"/>
        </w:rPr>
        <w:t>运行的主体，定期对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项目支出信息</w:t>
      </w:r>
      <w:r>
        <w:rPr>
          <w:rFonts w:hint="eastAsia" w:ascii="仿宋" w:hAnsi="仿宋" w:eastAsia="仿宋"/>
          <w:sz w:val="32"/>
          <w:szCs w:val="32"/>
          <w:lang w:eastAsia="zh-CN"/>
        </w:rPr>
        <w:t>进行收集、汇总、分析等。各股室负责人加强监督，及时审核、汇总、报告本股室项目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支出运行</w:t>
      </w:r>
      <w:r>
        <w:rPr>
          <w:rFonts w:hint="eastAsia" w:ascii="仿宋" w:hAnsi="仿宋" w:eastAsia="仿宋"/>
          <w:sz w:val="32"/>
          <w:szCs w:val="32"/>
          <w:lang w:eastAsia="zh-CN"/>
        </w:rPr>
        <w:t>情况。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二、</w:t>
      </w:r>
      <w:r>
        <w:rPr>
          <w:rFonts w:hint="eastAsia" w:ascii="仿宋" w:hAnsi="仿宋" w:eastAsia="仿宋" w:cs="仿宋"/>
          <w:sz w:val="32"/>
          <w:szCs w:val="32"/>
        </w:rPr>
        <w:t>重视结果应用。对于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绩效自评</w:t>
      </w:r>
      <w:r>
        <w:rPr>
          <w:rFonts w:hint="eastAsia" w:ascii="仿宋" w:hAnsi="仿宋" w:eastAsia="仿宋" w:cs="仿宋"/>
          <w:sz w:val="32"/>
          <w:szCs w:val="32"/>
        </w:rPr>
        <w:t>中发现的问题及时采取有效措施予以纠正，促进绩效目标如期实现。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部办公室</w:t>
      </w:r>
      <w:r>
        <w:rPr>
          <w:rFonts w:hint="eastAsia" w:ascii="仿宋" w:hAnsi="仿宋" w:eastAsia="仿宋" w:cs="仿宋"/>
          <w:sz w:val="32"/>
          <w:szCs w:val="32"/>
        </w:rPr>
        <w:t>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股室运行</w:t>
      </w:r>
      <w:r>
        <w:rPr>
          <w:rFonts w:hint="eastAsia" w:ascii="仿宋" w:hAnsi="仿宋" w:eastAsia="仿宋" w:cs="仿宋"/>
          <w:sz w:val="32"/>
          <w:szCs w:val="32"/>
        </w:rPr>
        <w:t>的基础上开展重点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绩效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管理</w:t>
      </w:r>
      <w:r>
        <w:rPr>
          <w:rFonts w:hint="eastAsia" w:ascii="仿宋" w:hAnsi="仿宋" w:eastAsia="仿宋" w:cs="仿宋"/>
          <w:sz w:val="32"/>
          <w:szCs w:val="32"/>
        </w:rPr>
        <w:t>，通过调整、暂缓或停止预算拨款等措施及时纠偏，同时把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运行</w:t>
      </w:r>
      <w:r>
        <w:rPr>
          <w:rFonts w:hint="eastAsia" w:ascii="仿宋" w:hAnsi="仿宋" w:eastAsia="仿宋" w:cs="仿宋"/>
          <w:sz w:val="32"/>
          <w:szCs w:val="32"/>
        </w:rPr>
        <w:t>结果作为调整预算和以后年度预算编制的参考依据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三、</w:t>
      </w:r>
      <w:r>
        <w:rPr>
          <w:rFonts w:hint="eastAsia" w:ascii="仿宋" w:hAnsi="仿宋" w:eastAsia="仿宋" w:cs="仿宋"/>
          <w:sz w:val="32"/>
          <w:szCs w:val="32"/>
        </w:rPr>
        <w:t>加强日常监控工作。按要求开展绩效运行监控，发现问题及时采取措施，确保绩效目标如期保质实现。针对年度目标任务，对未按时序进度完成的目标任务实行分线分层负责，落实责任领导、责任单位、责任人员专抓落实，确保目标任务实现。</w:t>
      </w:r>
    </w:p>
    <w:p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六、评价工作组人员名单</w:t>
      </w:r>
    </w:p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组长：吴学锋 区委组织部副部长、区人大代表联络工委主任   </w:t>
      </w:r>
    </w:p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组员：肖雪   区委组织部办公室副主任、四级主任科员</w:t>
      </w:r>
    </w:p>
    <w:p>
      <w:pPr>
        <w:ind w:firstLine="960" w:firstLineChars="3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王会龙 区委组织部办公室一级科员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VmMzhmZTY1YzIwOWQ5NDNmMjBlZGE4NzQ0MGIyZmUifQ=="/>
  </w:docVars>
  <w:rsids>
    <w:rsidRoot w:val="0EBD2122"/>
    <w:rsid w:val="007E6C1F"/>
    <w:rsid w:val="00AF566A"/>
    <w:rsid w:val="00B6553A"/>
    <w:rsid w:val="01B104CA"/>
    <w:rsid w:val="02106AB0"/>
    <w:rsid w:val="029525CA"/>
    <w:rsid w:val="02B43A28"/>
    <w:rsid w:val="03AB47F2"/>
    <w:rsid w:val="046F331E"/>
    <w:rsid w:val="07956271"/>
    <w:rsid w:val="07C035A8"/>
    <w:rsid w:val="09721397"/>
    <w:rsid w:val="099A66A8"/>
    <w:rsid w:val="0A0B7F34"/>
    <w:rsid w:val="0BB63BED"/>
    <w:rsid w:val="0E5C414B"/>
    <w:rsid w:val="0EB97A43"/>
    <w:rsid w:val="0EBD2122"/>
    <w:rsid w:val="0F214EAE"/>
    <w:rsid w:val="0F6D3784"/>
    <w:rsid w:val="11B71E6A"/>
    <w:rsid w:val="134D2DD5"/>
    <w:rsid w:val="17172596"/>
    <w:rsid w:val="1AAF0063"/>
    <w:rsid w:val="1BE140DE"/>
    <w:rsid w:val="207E43F5"/>
    <w:rsid w:val="20F84124"/>
    <w:rsid w:val="248C197D"/>
    <w:rsid w:val="252959AF"/>
    <w:rsid w:val="277A6671"/>
    <w:rsid w:val="290C37E4"/>
    <w:rsid w:val="292D35B7"/>
    <w:rsid w:val="298F34E4"/>
    <w:rsid w:val="2A594280"/>
    <w:rsid w:val="32AF1E0C"/>
    <w:rsid w:val="33EB6CFF"/>
    <w:rsid w:val="35A12947"/>
    <w:rsid w:val="364F1B42"/>
    <w:rsid w:val="36AD1C15"/>
    <w:rsid w:val="37387040"/>
    <w:rsid w:val="3B404329"/>
    <w:rsid w:val="3B625C0A"/>
    <w:rsid w:val="3CEE1963"/>
    <w:rsid w:val="43F57CB6"/>
    <w:rsid w:val="48481A5C"/>
    <w:rsid w:val="4B8A2A0D"/>
    <w:rsid w:val="4C9C27FE"/>
    <w:rsid w:val="50B3597E"/>
    <w:rsid w:val="512260B4"/>
    <w:rsid w:val="517B099E"/>
    <w:rsid w:val="52BD6ACB"/>
    <w:rsid w:val="55537534"/>
    <w:rsid w:val="561A74F1"/>
    <w:rsid w:val="597244E8"/>
    <w:rsid w:val="5CD539C2"/>
    <w:rsid w:val="5D435403"/>
    <w:rsid w:val="5EB71C30"/>
    <w:rsid w:val="5FF05286"/>
    <w:rsid w:val="66AF0CE5"/>
    <w:rsid w:val="6AC537CF"/>
    <w:rsid w:val="6D2D768C"/>
    <w:rsid w:val="6E5B14A6"/>
    <w:rsid w:val="6E652EAF"/>
    <w:rsid w:val="6FEB6EC5"/>
    <w:rsid w:val="711B255E"/>
    <w:rsid w:val="71D90DAB"/>
    <w:rsid w:val="72281098"/>
    <w:rsid w:val="7317199D"/>
    <w:rsid w:val="738E6E36"/>
    <w:rsid w:val="7BB51E06"/>
    <w:rsid w:val="7BE44282"/>
    <w:rsid w:val="7C387F7C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6">
    <w:name w:val="font0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7">
    <w:name w:val="font41"/>
    <w:basedOn w:val="5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table" w:customStyle="1" w:styleId="8">
    <w:name w:val="Table Normal"/>
    <w:semiHidden/>
    <w:unhideWhenUsed/>
    <w:qFormat/>
    <w:uiPriority w:val="0"/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">
    <w:name w:val="Table Text"/>
    <w:basedOn w:val="1"/>
    <w:semiHidden/>
    <w:qFormat/>
    <w:uiPriority w:val="0"/>
    <w:rPr>
      <w:rFonts w:ascii="宋体" w:hAnsi="宋体" w:eastAsia="宋体" w:cs="宋体"/>
      <w:sz w:val="14"/>
      <w:szCs w:val="1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8</Pages>
  <Words>3691</Words>
  <Characters>3796</Characters>
  <Lines>7</Lines>
  <Paragraphs>2</Paragraphs>
  <TotalTime>893</TotalTime>
  <ScaleCrop>false</ScaleCrop>
  <LinksUpToDate>false</LinksUpToDate>
  <CharactersWithSpaces>3853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苏~ </cp:lastModifiedBy>
  <cp:lastPrinted>2023-09-26T07:57:00Z</cp:lastPrinted>
  <dcterms:modified xsi:type="dcterms:W3CDTF">2024-05-22T03:07:02Z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  <property fmtid="{D5CDD505-2E9C-101B-9397-08002B2CF9AE}" pid="3" name="ICV">
    <vt:lpwstr>50B9FD6CA4EA466986C42FE10473879F_13</vt:lpwstr>
  </property>
</Properties>
</file>