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石家庄市鹿泉区山尹村镇人民政府</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鹿泉区山尹村镇人民政府</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山尹村镇党委、人大、政府主要职责是：（一）宣传贯彻执行党的路线方针政策和党中央、上级党组织及本镇党员代表大会（党员大会）的决议。贯彻执行法律、法规、规章和上级人民代表大会及其常务委员会决议及上级政府的决定、命令，执行本级人民代表大会的决议。（二）讨论和决定本镇经济建设、政治建设、文化建设、社会建设、生态文明建设和党的建设以及乡村振兴中的重大问题。（三）组织召开本级人民代表大会，充分行使重大事项决定权、监督权和任免权，做好人大代表工作，联系选民、反映群众意见和要求。（四）执行本行政区域内的经济和社会发展计划、预算，管理本行政区域内的经济、教育、科学、文化、卫生健康、体育事业和财政、统计、民政、司法行政等行政工作。落实本行政区域内发展规划、专项规划、区域规划、国土空间规划。（五）镇党委领导镇政权机关、群团组织和其他各类组织，加强指导和规范，支持和保证这些机关和组织依照国家法律法规以及各自章程履行职责。坚持党管武装的根本原则和制度，协调各方力量，对镇人民武装工作实行统一领导。（六）加强镇党委自身建设和村党组织建设，以及其他隶属镇党委的党组织建设，抓好发展党员工作，加强党员队伍建设。维护和执行党的纪律，监督党员干部和其他任何工作人员严格遵守国家法律法规。（七）按照干部管理权限，负责对干部的教育、培训、选拔、考核和监督工作。协调管理上级有关部门驻镇单位的干部，做好人才服务工作。（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九）保护社会主义全民所有的财产和劳动群众集体所有的财产，保护公民私人所有的合法财产，维护社会秩序，保障公民的人身权利、民主权利和其他权利。保护各种经济组织的合法权益。保障少数民族的合法权益和利益。尊重少数民族的风俗习惯。保障宪法和法律赋予妇女的男女平等、同工同酬和婚姻自由等各项权利。（十）承办上级党委、人大、政府交办的其他事项。内设机构职责：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监理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协调各类纠纷；负责加强群防群治组织建设，做好防范邪教工作；会同司法部门开展社区矫正、社区戒毒、社区康复工作，负责刑满释放人员安置帮教工作，负责做好未成年人保护工作。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禁烧秸秆、“散乱污”企业综合整治工作。5.综合行政执法队。核定财政性资金基本保障事业编制10名，股级职教1正2副。根据有关法律法规和上级部门授权、委托，承担城乡建设、生态环境、文化市场、农业农村、安全生产、民族宗教等领域行政执法工作。6.行政综合服务中心（挂综合文化服务站、财政所牌子）。核定财政性资金基本保障事业编制6名，股级职教1正1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挂经济发展办公室牌子）。核定财政性资金基本保障事业编制6名，股级职教1正1副。负责农业、畜牧、林业、水利、农机等技术推广和服务工作，负责农产品质量安全监管工作，负责知道农业生产、技术培训和信息咨询服务；负责动植物病虫害及灾情的预报、防治、处置；负责指导新农村建设、乡村振兴、农村经济发展、农村体制改革、农村土地承包、扶贫开发、水土保持和综合治理等工作，负责农村环境卫生工作。另根据中央和省委要求，设立退役军人服务站，规格为股级，所属类别为公益一类，经费形式为财政性资金基本保障，核定事业编制3名，股级职教1名。负责退役军人就业创业扶持、拥军优属、优抚帮扶、走访慰问、信访接待、权益保障等工作；配合武装部做好征兵、民兵、预备役、国防教育、国民经济动员、人民防空、国防交通、国防设施保护等相关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镇纪委（监察办公室）。核定行政编制3名（含纪委书记、副书记）。负责全镇党的纪律检查工作，监督检查辖区内党组织和党员贯彻执行党的路线方针政策和协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人民武装部及工会、共青团、妇联等群团组织按有关章程和规定设置，在镇党委统一领导下开展工作。</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1.收入支出预算总体情况说明</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本部门2023年度预算收入4237.35万元，预算支出4237.35万元。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2.收入支出决算总体情况说明</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0" w:firstLineChars="0"/>
        <w:textAlignment w:val="auto"/>
        <w:rPr>
          <w:rFonts w:hint="eastAsia" w:ascii="仿宋_GB2312" w:hAnsi="仿宋_GB2312" w:eastAsia="仿宋_GB2312" w:cs="仿宋_GB2312"/>
          <w:sz w:val="32"/>
          <w:szCs w:val="32"/>
          <w:highlight w:val="yellow"/>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本部门202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年度收、支总计（含结转和结余）</w:t>
      </w:r>
      <w:r>
        <w:rPr>
          <w:rFonts w:hint="eastAsia" w:ascii="仿宋_GB2312" w:hAnsi="仿宋_GB2312" w:eastAsia="仿宋_GB2312" w:cs="仿宋_GB2312"/>
          <w:sz w:val="32"/>
          <w:szCs w:val="32"/>
          <w:lang w:val="en-US" w:eastAsia="zh-CN"/>
        </w:rPr>
        <w:t>4902.6</w:t>
      </w:r>
      <w:r>
        <w:rPr>
          <w:rFonts w:hint="eastAsia" w:ascii="仿宋_GB2312" w:hAnsi="仿宋_GB2312" w:eastAsia="仿宋_GB2312" w:cs="仿宋_GB2312"/>
          <w:sz w:val="32"/>
          <w:szCs w:val="32"/>
        </w:rPr>
        <w:t>万元。与202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年度决算相比，收支各增加</w:t>
      </w:r>
      <w:r>
        <w:rPr>
          <w:rFonts w:hint="eastAsia" w:ascii="仿宋_GB2312" w:hAnsi="仿宋_GB2312" w:eastAsia="仿宋_GB2312" w:cs="仿宋_GB2312"/>
          <w:sz w:val="32"/>
          <w:szCs w:val="32"/>
          <w:lang w:val="en-US" w:eastAsia="zh-CN"/>
        </w:rPr>
        <w:t>410.65</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一般公共</w:t>
      </w:r>
      <w:r>
        <w:rPr>
          <w:rFonts w:hint="eastAsia" w:ascii="仿宋_GB2312" w:hAnsi="仿宋_GB2312" w:eastAsia="仿宋_GB2312" w:cs="仿宋_GB2312"/>
          <w:sz w:val="32"/>
          <w:szCs w:val="32"/>
        </w:rPr>
        <w:t>预算财政拨款收入</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rPr>
        <w:t>。</w:t>
      </w:r>
    </w:p>
    <w:p>
      <w:pPr>
        <w:numPr>
          <w:ilvl w:val="0"/>
          <w:numId w:val="0"/>
        </w:numPr>
        <w:adjustRightInd w:val="0"/>
        <w:snapToGrid w:val="0"/>
        <w:spacing w:line="560" w:lineRule="exact"/>
        <w:rPr>
          <w:rFonts w:hint="eastAsia" w:ascii="楷体" w:hAnsi="楷体" w:eastAsia="楷体" w:cs="楷体_GB2312"/>
          <w:bCs/>
          <w:sz w:val="32"/>
          <w:szCs w:val="32"/>
        </w:rPr>
      </w:pP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6"/>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年我镇工作的指导思想和总体思路是：坚持以习近平新时代中国特色社会主义思想为指导，深入贯彻党的</w:t>
      </w:r>
      <w:r>
        <w:rPr>
          <w:rFonts w:hint="eastAsia" w:ascii="仿宋" w:hAnsi="仿宋" w:eastAsia="仿宋" w:cs="仿宋"/>
          <w:sz w:val="32"/>
          <w:szCs w:val="32"/>
          <w:lang w:eastAsia="zh-CN"/>
        </w:rPr>
        <w:t>二十</w:t>
      </w:r>
      <w:r>
        <w:rPr>
          <w:rFonts w:hint="eastAsia" w:ascii="仿宋" w:hAnsi="仿宋" w:eastAsia="仿宋" w:cs="仿宋"/>
          <w:sz w:val="32"/>
          <w:szCs w:val="32"/>
        </w:rPr>
        <w:t>大和十九届二中、三中、四中、五中、六中</w:t>
      </w:r>
      <w:r>
        <w:rPr>
          <w:rFonts w:hint="eastAsia" w:ascii="仿宋" w:hAnsi="仿宋" w:eastAsia="仿宋" w:cs="仿宋"/>
          <w:sz w:val="32"/>
          <w:szCs w:val="32"/>
          <w:lang w:eastAsia="zh-CN"/>
        </w:rPr>
        <w:t>、七中</w:t>
      </w:r>
      <w:r>
        <w:rPr>
          <w:rFonts w:hint="eastAsia" w:ascii="仿宋" w:hAnsi="仿宋" w:eastAsia="仿宋" w:cs="仿宋"/>
          <w:sz w:val="32"/>
          <w:szCs w:val="32"/>
        </w:rPr>
        <w:t>全会精神，落实区委全会和区“两会”部署，坚持稳中求进工作总基调，推动我镇高质量发展。</w:t>
      </w:r>
    </w:p>
    <w:p>
      <w:pPr>
        <w:pStyle w:val="6"/>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抓好重点项目落地投产，打造立足长远、功能完备的优质项目；加强财税管理，确保完成202</w:t>
      </w:r>
      <w:r>
        <w:rPr>
          <w:rFonts w:hint="eastAsia" w:ascii="仿宋" w:hAnsi="仿宋" w:eastAsia="仿宋" w:cs="仿宋"/>
          <w:sz w:val="32"/>
          <w:szCs w:val="32"/>
          <w:lang w:val="en-US" w:eastAsia="zh-CN"/>
        </w:rPr>
        <w:t>3</w:t>
      </w:r>
      <w:r>
        <w:rPr>
          <w:rFonts w:hint="eastAsia" w:ascii="仿宋" w:hAnsi="仿宋" w:eastAsia="仿宋" w:cs="仿宋"/>
          <w:sz w:val="32"/>
          <w:szCs w:val="32"/>
        </w:rPr>
        <w:t>年各项经济指标。</w:t>
      </w:r>
    </w:p>
    <w:p>
      <w:pPr>
        <w:pStyle w:val="6"/>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以产业兴、生态美、乡风清、治理有效、生活富裕为总目标，多措并举进一步提升基层党建水平，以党建引领“五有”美丽乡村建设。</w:t>
      </w:r>
    </w:p>
    <w:p>
      <w:pPr>
        <w:pStyle w:val="6"/>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保辖区民生稳定发展，强基层民政服务能力，着力化解重点信访案件，构建和谐治安综合治理局面；提升教育医疗水平，筑牢疫情防控线；深化各项灾害预防细化措施和大气污染治理的联防联控机制。</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lang w:eastAsia="zh-CN"/>
        </w:rPr>
        <w:t>一是采用目标比较法对20</w:t>
      </w:r>
      <w:r>
        <w:rPr>
          <w:rFonts w:hint="eastAsia" w:ascii="仿宋" w:hAnsi="仿宋" w:eastAsia="仿宋" w:cs="仿宋"/>
          <w:sz w:val="32"/>
          <w:szCs w:val="32"/>
          <w:lang w:val="en-US" w:eastAsia="zh-CN"/>
        </w:rPr>
        <w:t>23</w:t>
      </w:r>
      <w:r>
        <w:rPr>
          <w:rFonts w:hint="eastAsia" w:ascii="仿宋" w:hAnsi="仿宋" w:eastAsia="仿宋" w:cs="仿宋"/>
          <w:sz w:val="32"/>
          <w:szCs w:val="32"/>
          <w:lang w:eastAsia="zh-CN"/>
        </w:rPr>
        <w:t>预算项目进行分析，通过定量和定性分析相结合的方式，将预算项目的绩效实现情况与预期绩效目标进行比较，对目标完成、预算执行、组织实施、资金管理等情况进行分析研判。二是</w:t>
      </w:r>
      <w:r>
        <w:rPr>
          <w:rFonts w:hint="eastAsia" w:ascii="仿宋" w:hAnsi="仿宋" w:eastAsia="仿宋" w:cs="仿宋"/>
          <w:sz w:val="32"/>
          <w:szCs w:val="32"/>
        </w:rPr>
        <w:t>清晰界定工作内容与其需要达到的标准，</w:t>
      </w:r>
      <w:r>
        <w:rPr>
          <w:rFonts w:hint="eastAsia" w:ascii="仿宋" w:hAnsi="仿宋" w:eastAsia="仿宋" w:cs="仿宋"/>
          <w:sz w:val="32"/>
          <w:szCs w:val="32"/>
          <w:lang w:eastAsia="zh-CN"/>
        </w:rPr>
        <w:t>在</w:t>
      </w:r>
      <w:r>
        <w:rPr>
          <w:rFonts w:hint="eastAsia" w:ascii="仿宋" w:hAnsi="仿宋" w:eastAsia="仿宋" w:cs="仿宋"/>
          <w:sz w:val="32"/>
          <w:szCs w:val="32"/>
        </w:rPr>
        <w:t>前期进行大量调查研究基础上进行项目</w:t>
      </w:r>
      <w:r>
        <w:rPr>
          <w:rFonts w:hint="eastAsia" w:ascii="仿宋" w:hAnsi="仿宋" w:eastAsia="仿宋" w:cs="仿宋"/>
          <w:sz w:val="32"/>
          <w:szCs w:val="32"/>
          <w:lang w:eastAsia="zh-CN"/>
        </w:rPr>
        <w:t>策略计</w:t>
      </w:r>
      <w:r>
        <w:rPr>
          <w:rFonts w:hint="eastAsia" w:ascii="仿宋" w:hAnsi="仿宋" w:eastAsia="仿宋" w:cs="仿宋"/>
          <w:sz w:val="32"/>
          <w:szCs w:val="32"/>
        </w:rPr>
        <w:t>划的编制、</w:t>
      </w:r>
      <w:r>
        <w:rPr>
          <w:rFonts w:hint="eastAsia" w:ascii="仿宋" w:hAnsi="仿宋" w:eastAsia="仿宋" w:cs="仿宋"/>
          <w:sz w:val="32"/>
          <w:szCs w:val="32"/>
          <w:lang w:eastAsia="zh-CN"/>
        </w:rPr>
        <w:t>充分论证</w:t>
      </w:r>
      <w:r>
        <w:rPr>
          <w:rFonts w:hint="eastAsia" w:ascii="仿宋" w:hAnsi="仿宋" w:eastAsia="仿宋" w:cs="仿宋"/>
          <w:sz w:val="32"/>
          <w:szCs w:val="32"/>
        </w:rPr>
        <w:t>绩效目标</w:t>
      </w:r>
      <w:r>
        <w:rPr>
          <w:rFonts w:hint="eastAsia" w:ascii="仿宋" w:hAnsi="仿宋" w:eastAsia="仿宋" w:cs="仿宋"/>
          <w:sz w:val="32"/>
          <w:szCs w:val="32"/>
          <w:lang w:eastAsia="zh-CN"/>
        </w:rPr>
        <w:t>和</w:t>
      </w:r>
      <w:r>
        <w:rPr>
          <w:rFonts w:hint="eastAsia" w:ascii="仿宋" w:hAnsi="仿宋" w:eastAsia="仿宋" w:cs="仿宋"/>
          <w:sz w:val="32"/>
          <w:szCs w:val="32"/>
        </w:rPr>
        <w:t>指标</w:t>
      </w:r>
      <w:r>
        <w:rPr>
          <w:rFonts w:hint="eastAsia" w:ascii="仿宋" w:hAnsi="仿宋" w:eastAsia="仿宋" w:cs="仿宋"/>
          <w:sz w:val="32"/>
          <w:szCs w:val="32"/>
          <w:lang w:eastAsia="zh-CN"/>
        </w:rPr>
        <w:t>的</w:t>
      </w:r>
      <w:r>
        <w:rPr>
          <w:rFonts w:hint="eastAsia" w:ascii="仿宋" w:hAnsi="仿宋" w:eastAsia="仿宋" w:cs="仿宋"/>
          <w:sz w:val="32"/>
          <w:szCs w:val="32"/>
        </w:rPr>
        <w:t>设定</w:t>
      </w:r>
      <w:r>
        <w:rPr>
          <w:rFonts w:hint="eastAsia" w:ascii="仿宋" w:hAnsi="仿宋" w:eastAsia="仿宋" w:cs="仿宋"/>
          <w:sz w:val="32"/>
          <w:szCs w:val="32"/>
          <w:lang w:eastAsia="zh-CN"/>
        </w:rPr>
        <w:t>是否合理</w:t>
      </w:r>
      <w:r>
        <w:rPr>
          <w:rFonts w:hint="eastAsia" w:ascii="仿宋" w:hAnsi="仿宋" w:eastAsia="仿宋" w:cs="仿宋"/>
          <w:sz w:val="32"/>
          <w:szCs w:val="32"/>
        </w:rPr>
        <w:t>，</w:t>
      </w:r>
      <w:r>
        <w:rPr>
          <w:rFonts w:hint="eastAsia" w:ascii="仿宋" w:hAnsi="仿宋" w:eastAsia="仿宋" w:cs="仿宋"/>
          <w:sz w:val="32"/>
          <w:szCs w:val="32"/>
          <w:lang w:eastAsia="zh-CN"/>
        </w:rPr>
        <w:t>精确分析</w:t>
      </w:r>
      <w:r>
        <w:rPr>
          <w:rFonts w:hint="eastAsia" w:ascii="仿宋" w:hAnsi="仿宋" w:eastAsia="仿宋" w:cs="仿宋"/>
          <w:sz w:val="32"/>
          <w:szCs w:val="32"/>
        </w:rPr>
        <w:t>项目</w:t>
      </w:r>
      <w:r>
        <w:rPr>
          <w:rFonts w:hint="eastAsia" w:ascii="仿宋" w:hAnsi="仿宋" w:eastAsia="仿宋" w:cs="仿宋"/>
          <w:sz w:val="32"/>
          <w:szCs w:val="32"/>
          <w:lang w:eastAsia="zh-CN"/>
        </w:rPr>
        <w:t>执行过程，</w:t>
      </w:r>
      <w:r>
        <w:rPr>
          <w:rFonts w:hint="eastAsia" w:ascii="仿宋" w:hAnsi="仿宋" w:eastAsia="仿宋" w:cs="仿宋"/>
          <w:sz w:val="32"/>
          <w:szCs w:val="32"/>
        </w:rPr>
        <w:t>着重</w:t>
      </w:r>
      <w:r>
        <w:rPr>
          <w:rFonts w:hint="eastAsia" w:ascii="仿宋" w:hAnsi="仿宋" w:eastAsia="仿宋" w:cs="仿宋"/>
          <w:sz w:val="32"/>
          <w:szCs w:val="32"/>
          <w:lang w:eastAsia="zh-CN"/>
        </w:rPr>
        <w:t>预算项目的</w:t>
      </w:r>
      <w:r>
        <w:rPr>
          <w:rFonts w:hint="eastAsia" w:ascii="仿宋" w:hAnsi="仿宋" w:eastAsia="仿宋" w:cs="仿宋"/>
          <w:sz w:val="32"/>
          <w:szCs w:val="32"/>
        </w:rPr>
        <w:t>绩效监控、风险控制、资金筹措及绩效制度</w:t>
      </w:r>
      <w:r>
        <w:rPr>
          <w:rFonts w:hint="eastAsia" w:ascii="仿宋" w:hAnsi="仿宋" w:eastAsia="仿宋" w:cs="仿宋"/>
          <w:sz w:val="32"/>
          <w:szCs w:val="32"/>
          <w:lang w:eastAsia="zh-CN"/>
        </w:rPr>
        <w:t>监管过程，</w:t>
      </w:r>
      <w:r>
        <w:rPr>
          <w:rFonts w:hint="eastAsia" w:ascii="仿宋" w:hAnsi="仿宋" w:eastAsia="仿宋" w:cs="仿宋"/>
          <w:sz w:val="32"/>
          <w:szCs w:val="32"/>
        </w:rPr>
        <w:t>认真组织实施</w:t>
      </w:r>
      <w:r>
        <w:rPr>
          <w:rFonts w:hint="eastAsia" w:ascii="仿宋" w:hAnsi="仿宋" w:eastAsia="仿宋" w:cs="仿宋"/>
          <w:sz w:val="32"/>
          <w:szCs w:val="32"/>
          <w:lang w:eastAsia="zh-CN"/>
        </w:rPr>
        <w:t>了预算绩</w:t>
      </w:r>
      <w:r>
        <w:rPr>
          <w:rFonts w:hint="eastAsia" w:ascii="仿宋" w:hAnsi="仿宋" w:eastAsia="仿宋" w:cs="仿宋"/>
          <w:sz w:val="32"/>
          <w:szCs w:val="32"/>
        </w:rPr>
        <w:t>效</w:t>
      </w:r>
      <w:r>
        <w:rPr>
          <w:rFonts w:hint="eastAsia" w:ascii="仿宋" w:hAnsi="仿宋" w:eastAsia="仿宋" w:cs="仿宋"/>
          <w:sz w:val="32"/>
          <w:szCs w:val="32"/>
          <w:lang w:eastAsia="zh-CN"/>
        </w:rPr>
        <w:t>的</w:t>
      </w:r>
      <w:r>
        <w:rPr>
          <w:rFonts w:hint="eastAsia" w:ascii="仿宋" w:hAnsi="仿宋" w:eastAsia="仿宋" w:cs="仿宋"/>
          <w:sz w:val="32"/>
          <w:szCs w:val="32"/>
        </w:rPr>
        <w:t>自评工作。</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1.自评方法：</w:t>
      </w:r>
      <w:r>
        <w:rPr>
          <w:rFonts w:hint="eastAsia" w:ascii="仿宋" w:hAnsi="仿宋" w:eastAsia="仿宋" w:cs="仿宋"/>
          <w:sz w:val="32"/>
          <w:szCs w:val="32"/>
        </w:rPr>
        <w:t>根据</w:t>
      </w:r>
      <w:r>
        <w:rPr>
          <w:rFonts w:hint="eastAsia" w:ascii="仿宋" w:hAnsi="仿宋" w:eastAsia="仿宋" w:cs="仿宋"/>
          <w:sz w:val="32"/>
          <w:szCs w:val="32"/>
          <w:lang w:eastAsia="zh-CN"/>
        </w:rPr>
        <w:t>不同</w:t>
      </w:r>
      <w:r>
        <w:rPr>
          <w:rFonts w:hint="eastAsia" w:ascii="仿宋" w:hAnsi="仿宋" w:eastAsia="仿宋" w:cs="仿宋"/>
          <w:sz w:val="32"/>
          <w:szCs w:val="32"/>
        </w:rPr>
        <w:t>项目情况，选用</w:t>
      </w:r>
      <w:r>
        <w:rPr>
          <w:rFonts w:hint="eastAsia" w:ascii="仿宋" w:hAnsi="仿宋" w:eastAsia="仿宋" w:cs="仿宋"/>
          <w:sz w:val="32"/>
          <w:szCs w:val="32"/>
          <w:lang w:eastAsia="zh-CN"/>
        </w:rPr>
        <w:t>适宜</w:t>
      </w:r>
      <w:r>
        <w:rPr>
          <w:rFonts w:hint="eastAsia" w:ascii="仿宋" w:hAnsi="仿宋" w:eastAsia="仿宋" w:cs="仿宋"/>
          <w:sz w:val="32"/>
          <w:szCs w:val="32"/>
        </w:rPr>
        <w:t>标准进行评价</w:t>
      </w:r>
      <w:r>
        <w:rPr>
          <w:rFonts w:hint="eastAsia" w:ascii="仿宋" w:hAnsi="仿宋" w:eastAsia="仿宋" w:cs="仿宋"/>
          <w:sz w:val="32"/>
          <w:szCs w:val="32"/>
          <w:lang w:eastAsia="zh-CN"/>
        </w:rPr>
        <w:t>。主要采用目标比较法通过</w:t>
      </w:r>
      <w:r>
        <w:rPr>
          <w:rFonts w:hint="eastAsia" w:ascii="仿宋" w:hAnsi="仿宋" w:eastAsia="仿宋" w:cs="仿宋"/>
          <w:sz w:val="32"/>
          <w:szCs w:val="32"/>
        </w:rPr>
        <w:t>定量</w:t>
      </w:r>
      <w:r>
        <w:rPr>
          <w:rFonts w:hint="eastAsia" w:ascii="仿宋" w:hAnsi="仿宋" w:eastAsia="仿宋" w:cs="仿宋"/>
          <w:sz w:val="32"/>
          <w:szCs w:val="32"/>
          <w:lang w:eastAsia="zh-CN"/>
        </w:rPr>
        <w:t>和</w:t>
      </w:r>
      <w:r>
        <w:rPr>
          <w:rFonts w:hint="eastAsia" w:ascii="仿宋" w:hAnsi="仿宋" w:eastAsia="仿宋" w:cs="仿宋"/>
          <w:sz w:val="32"/>
          <w:szCs w:val="32"/>
        </w:rPr>
        <w:t>定性评价标准</w:t>
      </w:r>
      <w:r>
        <w:rPr>
          <w:rFonts w:hint="eastAsia" w:ascii="仿宋" w:hAnsi="仿宋" w:eastAsia="仿宋" w:cs="仿宋"/>
          <w:sz w:val="32"/>
          <w:szCs w:val="32"/>
          <w:lang w:eastAsia="zh-CN"/>
        </w:rPr>
        <w:t>与不同项目的</w:t>
      </w:r>
      <w:r>
        <w:rPr>
          <w:rFonts w:hint="eastAsia" w:ascii="仿宋" w:hAnsi="仿宋" w:eastAsia="仿宋" w:cs="仿宋"/>
          <w:sz w:val="32"/>
          <w:szCs w:val="32"/>
        </w:rPr>
        <w:t>客观</w:t>
      </w:r>
      <w:r>
        <w:rPr>
          <w:rFonts w:hint="eastAsia" w:ascii="仿宋" w:hAnsi="仿宋" w:eastAsia="仿宋" w:cs="仿宋"/>
          <w:sz w:val="32"/>
          <w:szCs w:val="32"/>
          <w:lang w:eastAsia="zh-CN"/>
        </w:rPr>
        <w:t>实际</w:t>
      </w:r>
      <w:r>
        <w:rPr>
          <w:rFonts w:hint="eastAsia" w:ascii="仿宋" w:hAnsi="仿宋" w:eastAsia="仿宋" w:cs="仿宋"/>
          <w:sz w:val="32"/>
          <w:szCs w:val="32"/>
        </w:rPr>
        <w:t>相结合多角度综合评价</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仿宋" w:hAnsi="仿宋" w:eastAsia="仿宋" w:cs="仿宋"/>
          <w:bCs/>
          <w:sz w:val="32"/>
          <w:szCs w:val="32"/>
        </w:rPr>
      </w:pPr>
      <w:r>
        <w:rPr>
          <w:rFonts w:hint="eastAsia" w:ascii="仿宋" w:hAnsi="仿宋" w:eastAsia="仿宋" w:cs="仿宋"/>
          <w:sz w:val="32"/>
          <w:szCs w:val="32"/>
          <w:lang w:val="en-US" w:eastAsia="zh-CN"/>
        </w:rPr>
        <w:t xml:space="preserve">    2.自评过程：第一组织人员召开自评会议，明确对预算项目前期和执行过程中的资料收集整理责任划分；第二根据业务科室提交资料，查阅财务资料、核实资金使用情况，分析项目目标实现过程中出现的问题及采取的措施，从项目可行性、预算编制、目标设定、材料采购过程实施、资金拨付等各个环节严格按评价管理办法逐一分析；第三以2023年申报的财政预算预期绩效目标为基础，结合绩效目标实现程度及项目自身特点，根据指标重要程度赋予权重分值，对所有预算项目真实、客观、公平、公正进行自评，以并填写自评表。</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年我镇坚持以习近平新时代中国特色社会主义思想为指导，深入贯彻党的十九大和十九届二中、三中、四中、五中、六中全会精神，落实区委全会和区“两会”部署，坚持稳中求进工作总基调，推动我镇高质量发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highlight w:val="none"/>
        </w:rPr>
        <w:t>年固定资产投资完成</w:t>
      </w:r>
      <w:r>
        <w:rPr>
          <w:rFonts w:hint="eastAsia" w:ascii="仿宋_GB2312" w:hAnsi="仿宋_GB2312" w:eastAsia="仿宋_GB2312" w:cs="仿宋_GB2312"/>
          <w:b w:val="0"/>
          <w:bCs w:val="0"/>
          <w:sz w:val="32"/>
          <w:szCs w:val="32"/>
          <w:highlight w:val="none"/>
          <w:lang w:val="en-US" w:eastAsia="zh-CN"/>
        </w:rPr>
        <w:t>5.94</w:t>
      </w:r>
      <w:r>
        <w:rPr>
          <w:rFonts w:hint="eastAsia" w:ascii="仿宋_GB2312" w:hAnsi="仿宋_GB2312" w:eastAsia="仿宋_GB2312" w:cs="仿宋_GB2312"/>
          <w:b w:val="0"/>
          <w:bCs w:val="0"/>
          <w:sz w:val="32"/>
          <w:szCs w:val="32"/>
          <w:highlight w:val="none"/>
        </w:rPr>
        <w:t>亿元，比上年同期增幅</w:t>
      </w:r>
      <w:r>
        <w:rPr>
          <w:rFonts w:hint="eastAsia" w:ascii="仿宋_GB2312" w:hAnsi="仿宋_GB2312" w:eastAsia="仿宋_GB2312" w:cs="仿宋_GB2312"/>
          <w:b w:val="0"/>
          <w:bCs w:val="0"/>
          <w:sz w:val="32"/>
          <w:szCs w:val="32"/>
          <w:highlight w:val="none"/>
          <w:lang w:val="en-US" w:eastAsia="zh-CN"/>
        </w:rPr>
        <w:t>4.48</w:t>
      </w:r>
      <w:r>
        <w:rPr>
          <w:rFonts w:hint="eastAsia" w:ascii="仿宋_GB2312" w:hAnsi="仿宋_GB2312" w:eastAsia="仿宋_GB2312" w:cs="仿宋_GB2312"/>
          <w:b w:val="0"/>
          <w:bCs w:val="0"/>
          <w:sz w:val="32"/>
          <w:szCs w:val="32"/>
          <w:highlight w:val="none"/>
        </w:rPr>
        <w:t>%；规上工业产值完成</w:t>
      </w:r>
      <w:r>
        <w:rPr>
          <w:rFonts w:hint="eastAsia" w:ascii="仿宋_GB2312" w:hAnsi="仿宋_GB2312" w:eastAsia="仿宋_GB2312" w:cs="仿宋_GB2312"/>
          <w:b w:val="0"/>
          <w:bCs w:val="0"/>
          <w:sz w:val="32"/>
          <w:szCs w:val="32"/>
          <w:highlight w:val="none"/>
          <w:lang w:val="en-US" w:eastAsia="zh-CN"/>
        </w:rPr>
        <w:t>16.53</w:t>
      </w:r>
      <w:r>
        <w:rPr>
          <w:rFonts w:hint="eastAsia" w:ascii="仿宋_GB2312" w:hAnsi="仿宋_GB2312" w:eastAsia="仿宋_GB2312" w:cs="仿宋_GB2312"/>
          <w:b w:val="0"/>
          <w:bCs w:val="0"/>
          <w:sz w:val="32"/>
          <w:szCs w:val="32"/>
          <w:highlight w:val="none"/>
        </w:rPr>
        <w:t>亿元，比上年同期增幅</w:t>
      </w:r>
      <w:r>
        <w:rPr>
          <w:rFonts w:hint="eastAsia" w:ascii="仿宋_GB2312" w:hAnsi="仿宋_GB2312" w:eastAsia="仿宋_GB2312" w:cs="仿宋_GB2312"/>
          <w:b w:val="0"/>
          <w:bCs w:val="0"/>
          <w:sz w:val="32"/>
          <w:szCs w:val="32"/>
          <w:highlight w:val="none"/>
          <w:lang w:val="en-US" w:eastAsia="zh-CN"/>
        </w:rPr>
        <w:t>32.15</w:t>
      </w: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b w:val="0"/>
          <w:bCs w:val="0"/>
          <w:sz w:val="32"/>
          <w:szCs w:val="32"/>
        </w:rPr>
        <w:t>税收完成</w:t>
      </w:r>
      <w:r>
        <w:rPr>
          <w:rFonts w:hint="eastAsia" w:ascii="仿宋_GB2312" w:hAnsi="仿宋_GB2312" w:eastAsia="仿宋_GB2312" w:cs="仿宋_GB2312"/>
          <w:b w:val="0"/>
          <w:bCs w:val="0"/>
          <w:sz w:val="32"/>
          <w:szCs w:val="32"/>
          <w:lang w:val="en-US" w:eastAsia="zh-CN"/>
        </w:rPr>
        <w:t>20613</w:t>
      </w:r>
      <w:r>
        <w:rPr>
          <w:rFonts w:hint="eastAsia" w:ascii="仿宋_GB2312" w:hAnsi="仿宋_GB2312" w:eastAsia="仿宋_GB2312" w:cs="仿宋_GB2312"/>
          <w:b w:val="0"/>
          <w:bCs w:val="0"/>
          <w:sz w:val="32"/>
          <w:szCs w:val="32"/>
        </w:rPr>
        <w:t>万元；公共预算收入完成</w:t>
      </w:r>
      <w:r>
        <w:rPr>
          <w:rFonts w:hint="eastAsia" w:ascii="仿宋_GB2312" w:hAnsi="仿宋_GB2312" w:eastAsia="仿宋_GB2312" w:cs="仿宋_GB2312"/>
          <w:b w:val="0"/>
          <w:bCs w:val="0"/>
          <w:sz w:val="32"/>
          <w:szCs w:val="32"/>
          <w:lang w:val="en-US" w:eastAsia="zh-CN"/>
        </w:rPr>
        <w:t>9918</w:t>
      </w:r>
      <w:r>
        <w:rPr>
          <w:rFonts w:hint="eastAsia" w:ascii="仿宋_GB2312" w:hAnsi="仿宋_GB2312" w:eastAsia="仿宋_GB2312" w:cs="仿宋_GB2312"/>
          <w:b w:val="0"/>
          <w:bCs w:val="0"/>
          <w:sz w:val="32"/>
          <w:szCs w:val="32"/>
        </w:rPr>
        <w:t>万元，比上年同期增</w:t>
      </w:r>
      <w:r>
        <w:rPr>
          <w:rFonts w:hint="eastAsia" w:ascii="仿宋_GB2312" w:hAnsi="仿宋_GB2312" w:eastAsia="仿宋_GB2312" w:cs="仿宋_GB2312"/>
          <w:b w:val="0"/>
          <w:bCs w:val="0"/>
          <w:sz w:val="32"/>
          <w:szCs w:val="32"/>
          <w:lang w:eastAsia="zh-CN"/>
        </w:rPr>
        <w:t>长</w:t>
      </w:r>
      <w:r>
        <w:rPr>
          <w:rFonts w:hint="eastAsia" w:ascii="仿宋_GB2312" w:hAnsi="仿宋_GB2312" w:eastAsia="仿宋_GB2312" w:cs="仿宋_GB2312"/>
          <w:b w:val="0"/>
          <w:bCs w:val="0"/>
          <w:sz w:val="32"/>
          <w:szCs w:val="32"/>
          <w:lang w:val="en-US" w:eastAsia="zh-CN"/>
        </w:rPr>
        <w:t>23</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推动</w:t>
      </w:r>
      <w:r>
        <w:rPr>
          <w:rFonts w:hint="eastAsia" w:ascii="仿宋_GB2312" w:hAnsi="仿宋_GB2312" w:eastAsia="仿宋_GB2312" w:cs="仿宋_GB2312"/>
          <w:b w:val="0"/>
          <w:bCs w:val="0"/>
          <w:sz w:val="32"/>
          <w:szCs w:val="32"/>
          <w:lang w:val="en-US" w:eastAsia="zh-CN"/>
        </w:rPr>
        <w:t>6个项目竣工投产，全年完成各类审批事项890件，新增市场主体299家。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default" w:ascii="仿宋_GB2312" w:hAnsi="仿宋_GB2312" w:eastAsia="仿宋_GB2312" w:cs="仿宋_GB2312"/>
          <w:b w:val="0"/>
          <w:bCs w:val="0"/>
          <w:sz w:val="32"/>
          <w:szCs w:val="32"/>
          <w:highlight w:val="yellow"/>
          <w:lang w:val="en-US"/>
        </w:rPr>
      </w:pPr>
      <w:r>
        <w:rPr>
          <w:rFonts w:hint="eastAsia" w:ascii="仿宋_GB2312" w:hAnsi="仿宋_GB2312" w:eastAsia="仿宋_GB2312" w:cs="仿宋_GB2312"/>
          <w:b w:val="0"/>
          <w:bCs w:val="0"/>
          <w:sz w:val="32"/>
          <w:szCs w:val="32"/>
        </w:rPr>
        <w:t>以产业兴、生态美、乡风清、治理有效、生活富裕为总目标，多措并举进一步提升基层党建水平，以党建引领</w:t>
      </w:r>
      <w:r>
        <w:rPr>
          <w:rFonts w:hint="eastAsia" w:ascii="仿宋_GB2312" w:hAnsi="仿宋_GB2312" w:eastAsia="仿宋_GB2312" w:cs="仿宋_GB2312"/>
          <w:b w:val="0"/>
          <w:bCs w:val="0"/>
          <w:sz w:val="32"/>
          <w:szCs w:val="32"/>
          <w:lang w:eastAsia="zh-CN"/>
        </w:rPr>
        <w:t>、持续推进和美</w:t>
      </w:r>
      <w:r>
        <w:rPr>
          <w:rFonts w:hint="eastAsia" w:ascii="仿宋_GB2312" w:hAnsi="仿宋_GB2312" w:eastAsia="仿宋_GB2312" w:cs="仿宋_GB2312"/>
          <w:b w:val="0"/>
          <w:bCs w:val="0"/>
          <w:sz w:val="32"/>
          <w:szCs w:val="32"/>
        </w:rPr>
        <w:t>乡村建设。</w:t>
      </w:r>
      <w:r>
        <w:rPr>
          <w:rFonts w:hint="eastAsia" w:ascii="仿宋_GB2312" w:hAnsi="仿宋_GB2312" w:eastAsia="仿宋_GB2312" w:cs="仿宋_GB2312"/>
          <w:b w:val="0"/>
          <w:bCs w:val="0"/>
          <w:sz w:val="32"/>
          <w:szCs w:val="32"/>
          <w:lang w:val="en-US" w:eastAsia="zh-CN"/>
        </w:rPr>
        <w:t>7个村均已完成</w:t>
      </w:r>
      <w:r>
        <w:rPr>
          <w:rFonts w:hint="eastAsia" w:ascii="仿宋_GB2312" w:hAnsi="仿宋_GB2312" w:eastAsia="仿宋_GB2312" w:cs="仿宋_GB2312"/>
          <w:b w:val="0"/>
          <w:bCs w:val="0"/>
          <w:sz w:val="32"/>
          <w:szCs w:val="32"/>
          <w:lang w:eastAsia="zh-CN"/>
        </w:rPr>
        <w:t>和美乡村打造，山尹村、南平同正在被省级验收。</w:t>
      </w:r>
      <w:r>
        <w:rPr>
          <w:rFonts w:hint="eastAsia" w:ascii="仿宋_GB2312" w:hAnsi="仿宋_GB2312" w:eastAsia="仿宋_GB2312" w:cs="仿宋_GB2312"/>
          <w:b w:val="0"/>
          <w:bCs w:val="0"/>
          <w:sz w:val="32"/>
          <w:szCs w:val="32"/>
          <w:highlight w:val="none"/>
        </w:rPr>
        <w:t>全镇无害化厕所普及率达96%，</w:t>
      </w:r>
      <w:r>
        <w:rPr>
          <w:rFonts w:hint="eastAsia" w:ascii="仿宋_GB2312" w:hAnsi="仿宋_GB2312" w:eastAsia="仿宋_GB2312" w:cs="仿宋_GB2312"/>
          <w:b w:val="0"/>
          <w:bCs w:val="0"/>
          <w:sz w:val="32"/>
          <w:szCs w:val="32"/>
          <w:lang w:val="en-US" w:eastAsia="zh-CN"/>
        </w:rPr>
        <w:t>新增美丽庭院128户，精品庭院52户，十佳庭院1户，百优庭院5户，区级最美家庭4户，市级最美绿色家庭1户。建成</w:t>
      </w:r>
      <w:r>
        <w:rPr>
          <w:rFonts w:hint="eastAsia" w:ascii="仿宋_GB2312" w:hAnsi="仿宋_GB2312" w:eastAsia="仿宋_GB2312" w:cs="仿宋_GB2312"/>
          <w:b w:val="0"/>
          <w:bCs w:val="0"/>
          <w:sz w:val="32"/>
          <w:szCs w:val="32"/>
          <w:highlight w:val="none"/>
          <w:lang w:val="en-US" w:eastAsia="zh-CN"/>
        </w:rPr>
        <w:t>垃圾集并点7个，增加电动垃圾清运车13辆。</w:t>
      </w:r>
      <w:r>
        <w:rPr>
          <w:rFonts w:hint="eastAsia" w:ascii="仿宋_GB2312" w:hAnsi="仿宋_GB2312" w:eastAsia="仿宋_GB2312" w:cs="仿宋_GB2312"/>
          <w:b w:val="0"/>
          <w:bCs w:val="0"/>
          <w:sz w:val="32"/>
          <w:szCs w:val="32"/>
          <w:lang w:eastAsia="zh-CN"/>
        </w:rPr>
        <w:t>全年拆除私搭筹建、违法建筑</w:t>
      </w:r>
      <w:r>
        <w:rPr>
          <w:rFonts w:hint="eastAsia" w:ascii="仿宋_GB2312" w:hAnsi="仿宋_GB2312" w:eastAsia="仿宋_GB2312" w:cs="仿宋_GB2312"/>
          <w:b w:val="0"/>
          <w:bCs w:val="0"/>
          <w:sz w:val="32"/>
          <w:szCs w:val="32"/>
          <w:lang w:val="en-US" w:eastAsia="zh-CN"/>
        </w:rPr>
        <w:t>51宗，全年整改耕地流出图斑96宗。</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ascii="仿宋" w:hAnsi="仿宋" w:eastAsia="仿宋" w:cs="楷体_GB2312"/>
          <w:b w:val="0"/>
          <w:bCs w:val="0"/>
          <w:sz w:val="32"/>
          <w:szCs w:val="32"/>
        </w:rPr>
      </w:pPr>
      <w:r>
        <w:rPr>
          <w:rFonts w:hint="eastAsia" w:ascii="仿宋_GB2312" w:hAnsi="仿宋_GB2312" w:eastAsia="仿宋_GB2312" w:cs="仿宋_GB2312"/>
          <w:b w:val="0"/>
          <w:bCs w:val="0"/>
          <w:sz w:val="32"/>
          <w:szCs w:val="32"/>
        </w:rPr>
        <w:t>保辖区民生稳定发展，强基层民政服务能力，着力化解重点信访案件，构建和谐治安综合治理局面</w:t>
      </w:r>
      <w:r>
        <w:rPr>
          <w:rFonts w:hint="eastAsia" w:ascii="仿宋_GB2312" w:hAnsi="仿宋_GB2312" w:eastAsia="仿宋_GB2312" w:cs="仿宋_GB2312"/>
          <w:b w:val="0"/>
          <w:bCs w:val="0"/>
          <w:sz w:val="32"/>
          <w:szCs w:val="32"/>
          <w:lang w:eastAsia="zh-CN"/>
        </w:rPr>
        <w:t>。组织</w:t>
      </w:r>
      <w:r>
        <w:rPr>
          <w:rFonts w:hint="eastAsia" w:ascii="仿宋_GB2312" w:hAnsi="仿宋_GB2312" w:eastAsia="仿宋_GB2312" w:cs="仿宋_GB2312"/>
          <w:b w:val="0"/>
          <w:bCs w:val="0"/>
          <w:sz w:val="32"/>
          <w:szCs w:val="32"/>
          <w:lang w:val="en-US" w:eastAsia="zh-CN"/>
        </w:rPr>
        <w:t>69对夫妻完成孕前优生检查、610人完成两癌筛查，组建慢性病防控小组14个，对46家存在职业病危害的企业建档管理</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对</w:t>
      </w:r>
      <w:r>
        <w:rPr>
          <w:rFonts w:hint="eastAsia" w:ascii="仿宋_GB2312" w:hAnsi="仿宋_GB2312" w:eastAsia="仿宋_GB2312" w:cs="仿宋_GB2312"/>
          <w:b w:val="0"/>
          <w:bCs w:val="0"/>
          <w:sz w:val="32"/>
          <w:szCs w:val="32"/>
          <w:lang w:val="en-US" w:eastAsia="zh-CN"/>
        </w:rPr>
        <w:t>945户开展巩固脱贫成果评估检查，对防止返贫监测户、低保、特困人户等开展安全温暖过冬走访活动，完成4户困难老人家庭居家适老化改造。完成退役军人建档立卡及优待证申请，审核通过率100%，抓好“八一”建军节等节日走访慰</w:t>
      </w:r>
      <w:r>
        <w:rPr>
          <w:rFonts w:hint="eastAsia" w:ascii="仿宋_GB2312" w:hAnsi="仿宋_GB2312" w:eastAsia="仿宋_GB2312" w:cs="仿宋_GB2312"/>
          <w:b w:val="0"/>
          <w:bCs w:val="0"/>
          <w:sz w:val="32"/>
          <w:szCs w:val="32"/>
          <w:highlight w:val="none"/>
          <w:lang w:val="en-US" w:eastAsia="zh-CN"/>
        </w:rPr>
        <w:t>问，了解掌握203名优抚对象生活状况，对22名重点优抚对象发放慰问品。</w:t>
      </w:r>
      <w:r>
        <w:rPr>
          <w:rFonts w:hint="eastAsia" w:ascii="仿宋_GB2312" w:hAnsi="仿宋_GB2312" w:eastAsia="仿宋_GB2312" w:cs="仿宋_GB2312"/>
          <w:b w:val="0"/>
          <w:bCs w:val="0"/>
          <w:sz w:val="32"/>
          <w:szCs w:val="32"/>
        </w:rPr>
        <w:t>镇综合执法队坚持严抓制度、规范执法，群众第一、服务为先，共办理一</w:t>
      </w:r>
      <w:r>
        <w:rPr>
          <w:rFonts w:hint="eastAsia" w:ascii="仿宋_GB2312" w:hAnsi="仿宋_GB2312" w:eastAsia="仿宋_GB2312" w:cs="仿宋_GB2312"/>
          <w:b w:val="0"/>
          <w:bCs w:val="0"/>
          <w:sz w:val="32"/>
          <w:szCs w:val="32"/>
          <w:highlight w:val="none"/>
        </w:rPr>
        <w:t>般程序案件</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件，简易程序1件，下发处罚决定书</w:t>
      </w:r>
      <w:r>
        <w:rPr>
          <w:rFonts w:hint="eastAsia" w:ascii="仿宋_GB2312" w:hAnsi="仿宋_GB2312" w:eastAsia="仿宋_GB2312" w:cs="仿宋_GB2312"/>
          <w:b w:val="0"/>
          <w:bCs w:val="0"/>
          <w:sz w:val="32"/>
          <w:szCs w:val="32"/>
          <w:highlight w:val="none"/>
          <w:lang w:val="en-US" w:eastAsia="zh-CN"/>
        </w:rPr>
        <w:t>7</w:t>
      </w:r>
      <w:r>
        <w:rPr>
          <w:rFonts w:hint="eastAsia" w:ascii="仿宋_GB2312" w:hAnsi="仿宋_GB2312" w:eastAsia="仿宋_GB2312" w:cs="仿宋_GB2312"/>
          <w:b w:val="0"/>
          <w:bCs w:val="0"/>
          <w:sz w:val="32"/>
          <w:szCs w:val="32"/>
          <w:highlight w:val="none"/>
        </w:rPr>
        <w:t>例</w:t>
      </w:r>
      <w:r>
        <w:rPr>
          <w:rFonts w:hint="eastAsia" w:ascii="仿宋_GB2312" w:hAnsi="仿宋_GB2312" w:eastAsia="仿宋_GB2312" w:cs="仿宋_GB2312"/>
          <w:b w:val="0"/>
          <w:bCs w:val="0"/>
          <w:sz w:val="32"/>
          <w:szCs w:val="32"/>
          <w:highlight w:val="none"/>
          <w:lang w:eastAsia="zh-CN"/>
        </w:rPr>
        <w:t>。全年开展河长巡河员培训</w:t>
      </w:r>
      <w:r>
        <w:rPr>
          <w:rFonts w:hint="eastAsia" w:ascii="仿宋_GB2312" w:hAnsi="仿宋_GB2312" w:eastAsia="仿宋_GB2312" w:cs="仿宋_GB2312"/>
          <w:b w:val="0"/>
          <w:bCs w:val="0"/>
          <w:sz w:val="32"/>
          <w:szCs w:val="32"/>
          <w:highlight w:val="none"/>
          <w:lang w:val="en-US" w:eastAsia="zh-CN"/>
        </w:rPr>
        <w:t>8次，应急演练15次，镇村两级河长巡河3600余次。组织45人建立我镇首支森林草原消防专业队伍并配备灭火装备。聘请专家对重点领域企业单位进行隐患排查150次，发现并整改一般安全隐患900余条。深入排查餐饮用户、冬季供暖方面燃气安全隐患，燃气自闭阀安装率100%。</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7"/>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推动项目建设</w:t>
      </w:r>
    </w:p>
    <w:p>
      <w:pPr>
        <w:pStyle w:val="7"/>
        <w:rPr>
          <w:rFonts w:hint="eastAsia" w:ascii="仿宋" w:hAnsi="仿宋" w:eastAsia="仿宋" w:cs="仿宋"/>
          <w:sz w:val="32"/>
          <w:szCs w:val="32"/>
        </w:rPr>
      </w:pPr>
      <w:r>
        <w:rPr>
          <w:rFonts w:hint="eastAsia" w:ascii="仿宋" w:hAnsi="仿宋" w:eastAsia="仿宋" w:cs="仿宋"/>
          <w:sz w:val="32"/>
          <w:szCs w:val="32"/>
        </w:rPr>
        <w:t>绩效目标：统筹考虑项目要素和功能定位，加速完善项目基础配套设施，提升周围整体环境。</w:t>
      </w:r>
    </w:p>
    <w:p>
      <w:pPr>
        <w:pStyle w:val="7"/>
        <w:rPr>
          <w:rFonts w:hint="eastAsia" w:ascii="仿宋" w:hAnsi="仿宋" w:eastAsia="仿宋" w:cs="仿宋"/>
          <w:sz w:val="32"/>
          <w:szCs w:val="32"/>
        </w:rPr>
      </w:pPr>
      <w:r>
        <w:rPr>
          <w:rFonts w:hint="eastAsia" w:ascii="仿宋" w:hAnsi="仿宋" w:eastAsia="仿宋" w:cs="仿宋"/>
          <w:sz w:val="32"/>
          <w:szCs w:val="32"/>
        </w:rPr>
        <w:t>绩效指标：以智能产业为主导，以生物医药绿色食品和现代商贸物流为基础理念的“1+3”产业体系；</w:t>
      </w:r>
      <w:r>
        <w:rPr>
          <w:rFonts w:hint="eastAsia" w:ascii="仿宋" w:hAnsi="仿宋" w:eastAsia="仿宋" w:cs="仿宋"/>
          <w:sz w:val="32"/>
          <w:szCs w:val="32"/>
          <w:lang w:eastAsia="zh-CN"/>
        </w:rPr>
        <w:t>启动</w:t>
      </w:r>
      <w:r>
        <w:rPr>
          <w:rFonts w:hint="eastAsia" w:ascii="仿宋" w:hAnsi="仿宋" w:eastAsia="仿宋" w:cs="仿宋"/>
          <w:sz w:val="32"/>
          <w:szCs w:val="32"/>
        </w:rPr>
        <w:t>工业园区主干道绿化景观</w:t>
      </w:r>
      <w:r>
        <w:rPr>
          <w:rFonts w:hint="eastAsia" w:ascii="仿宋" w:hAnsi="仿宋" w:eastAsia="仿宋" w:cs="仿宋"/>
          <w:sz w:val="32"/>
          <w:szCs w:val="32"/>
          <w:lang w:eastAsia="zh-CN"/>
        </w:rPr>
        <w:t>项目，完成</w:t>
      </w:r>
      <w:r>
        <w:rPr>
          <w:rFonts w:hint="eastAsia" w:ascii="仿宋" w:hAnsi="仿宋" w:eastAsia="仿宋" w:cs="仿宋"/>
          <w:sz w:val="32"/>
          <w:szCs w:val="32"/>
        </w:rPr>
        <w:t>电力排管支系项目。</w:t>
      </w:r>
    </w:p>
    <w:p>
      <w:pPr>
        <w:pStyle w:val="7"/>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提升辖区各村内外整体环境</w:t>
      </w:r>
    </w:p>
    <w:p>
      <w:pPr>
        <w:pStyle w:val="7"/>
        <w:rPr>
          <w:rFonts w:hint="eastAsia" w:ascii="仿宋" w:hAnsi="仿宋" w:eastAsia="仿宋" w:cs="仿宋"/>
          <w:sz w:val="32"/>
          <w:szCs w:val="32"/>
        </w:rPr>
      </w:pPr>
      <w:r>
        <w:rPr>
          <w:rFonts w:hint="eastAsia" w:ascii="仿宋" w:hAnsi="仿宋" w:eastAsia="仿宋" w:cs="仿宋"/>
          <w:sz w:val="32"/>
          <w:szCs w:val="32"/>
        </w:rPr>
        <w:t>绩效目标：人居环境整治提升美化、辖区村内外基础设施维修养护、保316路公交车站项目运转。</w:t>
      </w:r>
    </w:p>
    <w:p>
      <w:pPr>
        <w:pStyle w:val="7"/>
        <w:rPr>
          <w:rFonts w:hint="eastAsia" w:ascii="仿宋" w:hAnsi="仿宋" w:eastAsia="仿宋" w:cs="仿宋"/>
          <w:sz w:val="32"/>
          <w:szCs w:val="32"/>
        </w:rPr>
      </w:pPr>
      <w:r>
        <w:rPr>
          <w:rFonts w:hint="eastAsia" w:ascii="仿宋" w:hAnsi="仿宋" w:eastAsia="仿宋" w:cs="仿宋"/>
          <w:sz w:val="32"/>
          <w:szCs w:val="32"/>
        </w:rPr>
        <w:t>绩效指标：按时完成“五清三建一改”任务、按“五有”标准按时按质完成美丽乡村建设工作、7个农村83条道路330742平方米的卫生清扫；3500亩农田管护、完成山尹村镇污水总管网泵站建设及村内污水管网入户勾头连接以满足近2210户受益群众日常生活，养护辖区道路及两侧2100棵绿植；316路公交车站正常运营为辖区近80家工业及</w:t>
      </w:r>
      <w:r>
        <w:rPr>
          <w:rFonts w:hint="eastAsia" w:ascii="仿宋" w:hAnsi="仿宋" w:eastAsia="仿宋" w:cs="仿宋"/>
          <w:sz w:val="32"/>
          <w:szCs w:val="32"/>
          <w:lang w:eastAsia="zh-CN"/>
        </w:rPr>
        <w:t>三千多</w:t>
      </w:r>
      <w:r>
        <w:rPr>
          <w:rFonts w:hint="eastAsia" w:ascii="仿宋" w:hAnsi="仿宋" w:eastAsia="仿宋" w:cs="仿宋"/>
          <w:sz w:val="32"/>
          <w:szCs w:val="32"/>
        </w:rPr>
        <w:t>户群众提供交通便利条件。</w:t>
      </w:r>
    </w:p>
    <w:p>
      <w:pPr>
        <w:pStyle w:val="7"/>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保辖区民生稳定发展，丰富农村精神文化生活。</w:t>
      </w:r>
    </w:p>
    <w:p>
      <w:pPr>
        <w:pStyle w:val="7"/>
        <w:rPr>
          <w:rFonts w:hint="eastAsia" w:ascii="仿宋" w:hAnsi="仿宋" w:eastAsia="仿宋" w:cs="仿宋"/>
          <w:sz w:val="32"/>
          <w:szCs w:val="32"/>
        </w:rPr>
      </w:pPr>
      <w:r>
        <w:rPr>
          <w:rFonts w:hint="eastAsia" w:ascii="仿宋" w:hAnsi="仿宋" w:eastAsia="仿宋" w:cs="仿宋"/>
          <w:sz w:val="32"/>
          <w:szCs w:val="32"/>
        </w:rPr>
        <w:t>绩效目标：加强基层党建坚持党的绝对领导、落实独生子女政策、保低收入家庭生活、提高群众就医环境、化解群众矛盾纠纷、落实项目占地对群众生活补贴、牢固把握意识形态领域主动权并营造正能量宣传氛围。</w:t>
      </w:r>
    </w:p>
    <w:p>
      <w:pPr>
        <w:pStyle w:val="7"/>
        <w:rPr>
          <w:rFonts w:hint="eastAsia" w:ascii="仿宋" w:hAnsi="仿宋" w:eastAsia="仿宋" w:cs="仿宋"/>
          <w:sz w:val="32"/>
          <w:szCs w:val="32"/>
        </w:rPr>
      </w:pPr>
      <w:r>
        <w:rPr>
          <w:rFonts w:hint="eastAsia" w:ascii="仿宋" w:hAnsi="仿宋" w:eastAsia="仿宋" w:cs="仿宋"/>
          <w:sz w:val="32"/>
          <w:szCs w:val="32"/>
        </w:rPr>
        <w:t>绩效指标：9个方面做好基层党建工作、落实190人独生子女补助，保障辖区低收入家庭生活；7个村卫生室正常运转；信访案件按期结案率100%,从6个方面开展宣传工作（8个节日节点6个志愿者活动5个宣传阵地4部门培训拉链参观）。</w:t>
      </w:r>
    </w:p>
    <w:p>
      <w:pPr>
        <w:pStyle w:val="7"/>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灾害应急预防及环保项目</w:t>
      </w:r>
    </w:p>
    <w:p>
      <w:pPr>
        <w:pStyle w:val="7"/>
        <w:rPr>
          <w:rFonts w:hint="eastAsia" w:ascii="仿宋" w:hAnsi="仿宋" w:eastAsia="仿宋" w:cs="仿宋"/>
          <w:sz w:val="32"/>
          <w:szCs w:val="32"/>
        </w:rPr>
      </w:pPr>
      <w:r>
        <w:rPr>
          <w:rFonts w:hint="eastAsia" w:ascii="仿宋" w:hAnsi="仿宋" w:eastAsia="仿宋" w:cs="仿宋"/>
          <w:sz w:val="32"/>
          <w:szCs w:val="32"/>
        </w:rPr>
        <w:t>绩效目标：年度内辖区企业完成两次安全生产隐患排查，辖区内不着一把火、0水患、无动植物疫情，食品药品安全，无非法占用基本农田建房，落实大气污染治理，改善空气质量。</w:t>
      </w:r>
    </w:p>
    <w:p>
      <w:pPr>
        <w:pStyle w:val="7"/>
        <w:rPr>
          <w:rFonts w:hint="eastAsia" w:ascii="仿宋" w:hAnsi="仿宋" w:eastAsia="仿宋" w:cs="仿宋"/>
          <w:sz w:val="32"/>
          <w:szCs w:val="32"/>
        </w:rPr>
      </w:pPr>
      <w:r>
        <w:rPr>
          <w:rFonts w:hint="eastAsia" w:ascii="仿宋" w:hAnsi="仿宋" w:eastAsia="仿宋" w:cs="仿宋"/>
          <w:sz w:val="32"/>
          <w:szCs w:val="32"/>
        </w:rPr>
        <w:t>绩效指标：安全生产隐患问题整改率达100%，0火情0水患，6700亩山场和林木管护，清理违法建设到位，空气监测设备运转率达97%以上，9.6万平方米的扬尘治理覆盖到位，正常天气每日不低于2次洒水。</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4"/>
        <w:tblW w:w="8940" w:type="dxa"/>
        <w:tblInd w:w="0" w:type="dxa"/>
        <w:shd w:val="clear" w:color="auto" w:fill="auto"/>
        <w:tblLayout w:type="autofit"/>
        <w:tblCellMar>
          <w:top w:w="0" w:type="dxa"/>
          <w:left w:w="0" w:type="dxa"/>
          <w:bottom w:w="0" w:type="dxa"/>
          <w:right w:w="0" w:type="dxa"/>
        </w:tblCellMar>
      </w:tblPr>
      <w:tblGrid>
        <w:gridCol w:w="555"/>
        <w:gridCol w:w="4395"/>
        <w:gridCol w:w="1920"/>
        <w:gridCol w:w="1035"/>
        <w:gridCol w:w="1035"/>
      </w:tblGrid>
      <w:tr>
        <w:tblPrEx>
          <w:shd w:val="clear" w:color="auto" w:fill="auto"/>
          <w:tblCellMar>
            <w:top w:w="0" w:type="dxa"/>
            <w:left w:w="0" w:type="dxa"/>
            <w:bottom w:w="0" w:type="dxa"/>
            <w:right w:w="0" w:type="dxa"/>
          </w:tblCellMar>
        </w:tblPrEx>
        <w:trPr>
          <w:trHeight w:val="500" w:hRule="atLeast"/>
        </w:trPr>
        <w:tc>
          <w:tcPr>
            <w:tcW w:w="8940" w:type="dxa"/>
            <w:gridSpan w:val="5"/>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主管部门：石家庄市鹿泉区山尹村镇人民政府</w:t>
            </w:r>
          </w:p>
        </w:tc>
      </w:tr>
      <w:tr>
        <w:tblPrEx>
          <w:tblCellMar>
            <w:top w:w="0" w:type="dxa"/>
            <w:left w:w="0" w:type="dxa"/>
            <w:bottom w:w="0" w:type="dxa"/>
            <w:right w:w="0" w:type="dxa"/>
          </w:tblCellMar>
        </w:tblPrEx>
        <w:trPr>
          <w:trHeight w:val="500" w:hRule="atLeast"/>
        </w:trPr>
        <w:tc>
          <w:tcPr>
            <w:tcW w:w="5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序号</w:t>
            </w:r>
          </w:p>
        </w:tc>
        <w:tc>
          <w:tcPr>
            <w:tcW w:w="4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项目名称</w:t>
            </w:r>
          </w:p>
        </w:tc>
        <w:tc>
          <w:tcPr>
            <w:tcW w:w="19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项目实施单位</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自评得分</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自评等级</w:t>
            </w:r>
          </w:p>
        </w:tc>
      </w:tr>
      <w:tr>
        <w:tblPrEx>
          <w:tblCellMar>
            <w:top w:w="0" w:type="dxa"/>
            <w:left w:w="0" w:type="dxa"/>
            <w:bottom w:w="0" w:type="dxa"/>
            <w:right w:w="0" w:type="dxa"/>
          </w:tblCellMar>
        </w:tblPrEx>
        <w:trPr>
          <w:trHeight w:val="50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2023年镇级山尹村专项公用经费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2023年镇级山尹村项目规划和乡村发展支出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79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良好</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3</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2023年区级山尹村镇退役军人生活补助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4</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2023年镇级山尹村卫计专项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5</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2023年镇级山尹村项目规划和乡村发展支出（预算调剂四）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6</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2023年追加镇级山尹村项目规划和乡村发展支出（预算调剂100）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7</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2023年镇级山尹村资产配置项目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8</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2023年区级山尹村农村生活垃圾清理资金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9</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2023年区级山尹村天第食品等项目电力专线建设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2023年镇级山尹村卫计专项（预算调剂四）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11</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2023年区级山尹村农村生活垃圾清理资金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12</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区级山尹村镇装院路-望山路电力排管工程项目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13</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2023年镇级山尹村应急周转项目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14</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2023年区级山尹村农村生活垃圾清理资金项目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15</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2023年镇级山尹村信访维稳及公共安全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16</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2023年镇级山尹村专项公用经费（预算调剂）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17</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2023年中央农村综合改革一事一议资金（山尹村镇山南张庄、西郭庄）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18</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2023年镇级山尹村卫计专项（预算调剂三）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19</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2023年镇级山尹村思想宣传和新农村精神文明建设（预算调剂三）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2023年镇级山尹村环保防治及农村环境提升（预算调剂）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21</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2023年镇级山尹村环保防治及农村环境提升（预算调剂四）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22</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2023年追加山尹村镇中卫电子搬迁补偿费用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23</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2023年区级山尹村天下财富湾南岸护坡墙修复工程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24</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2023年追加镇级山尹村思想宣传和新农村精神文明建设（预算调剂100）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25</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2023年镇级山尹村项目规划和乡村发展支出（预算调剂）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26</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2023年区级山尹村农村生活垃圾清理资金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27</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2023年镇级山尹村信访维稳及公共安全（预算调剂三）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28</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2023年镇级山尹村信访维稳及治安建设支出（预算调剂）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29</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区级山尹村镇私搭乱建、违章建筑专项整治资金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30</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2023年追加镇级山尹村环保防治及农村环境提升（预算调剂100）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31</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2023年镇级山尹村农林水事务支出（预算调剂）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32</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2023年镇级山尹村项目规划和乡村发展支出（预算调剂）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33</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区级山尹村镇片区土地使用费用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34</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2023年镇级山尹村公共文化设施免费开放（乡镇文化站）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35</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2023年镇级山尹村农林水事务（预算调剂四）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36</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2023年镇级山尹村项目规划和乡村发展支出（预算调剂三）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37</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2023年镇级山尹村灾害防治应急管理及住房安全保障（预算调剂）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38</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2023年追加山尹村镇片区土地使用费用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39</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2023年镇级山尹村思想宣传和新农村精神文明建设（预算调剂）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40</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2023年镇级山尹村临时聘用人员补助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41</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2023年区级山尹村镇装院路-望山路电力排管工程项目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42</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2023年追加山尹村镇东旭项目做地费用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43</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2023年镇级山尹村农村事务（农林水相关）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44</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45</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2023年追加区级山尹村镇退役军人生活补助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46</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2023年镇级山尹村环保防治及农村环境提升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47</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区级山尹村镇翠绿塑业拆迁款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48</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2023年镇级山尹村公交车站运营保障（预算调剂四）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良好</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49</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2023年区级山尹村农村生活垃圾清理资金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50</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2023年镇级山尹村卫计专项（预算调剂）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51</w:t>
            </w:r>
          </w:p>
        </w:tc>
        <w:tc>
          <w:tcPr>
            <w:tcW w:w="4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2023年市级农村综合改革一事一议资金（山尹村镇底下园村）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山尹村镇人民政府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0"/>
                <w:szCs w:val="20"/>
                <w:u w:val="none"/>
              </w:rPr>
            </w:pPr>
            <w:r>
              <w:rPr>
                <w:rFonts w:hint="eastAsia" w:ascii="仿宋" w:hAnsi="仿宋" w:eastAsia="仿宋" w:cs="仿宋"/>
                <w:i w:val="0"/>
                <w:color w:val="000000"/>
                <w:kern w:val="0"/>
                <w:sz w:val="20"/>
                <w:szCs w:val="20"/>
                <w:u w:val="none"/>
                <w:lang w:val="en-US" w:eastAsia="zh-CN" w:bidi="ar"/>
              </w:rPr>
              <w:t>优秀</w:t>
            </w:r>
          </w:p>
        </w:tc>
      </w:tr>
    </w:tbl>
    <w:p>
      <w:pPr>
        <w:spacing w:line="560" w:lineRule="exact"/>
        <w:ind w:firstLine="640" w:firstLineChars="200"/>
        <w:rPr>
          <w:rFonts w:hint="eastAsia" w:ascii="仿宋" w:hAnsi="仿宋" w:eastAsia="仿宋"/>
          <w:sz w:val="32"/>
          <w:szCs w:val="32"/>
        </w:rPr>
      </w:pP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lang w:eastAsia="zh-CN"/>
        </w:rPr>
      </w:pPr>
      <w:r>
        <w:rPr>
          <w:rFonts w:hint="eastAsia" w:ascii="楷体" w:hAnsi="楷体" w:eastAsia="楷体"/>
          <w:bCs/>
          <w:sz w:val="32"/>
          <w:szCs w:val="32"/>
        </w:rPr>
        <w:t>（一）存在的主要问题</w:t>
      </w:r>
      <w:r>
        <w:rPr>
          <w:rFonts w:hint="eastAsia" w:ascii="楷体" w:hAnsi="楷体" w:eastAsia="楷体"/>
          <w:bCs/>
          <w:sz w:val="32"/>
          <w:szCs w:val="32"/>
          <w:lang w:eastAsia="zh-CN"/>
        </w:rPr>
        <w:t>：</w:t>
      </w:r>
      <w:r>
        <w:rPr>
          <w:rFonts w:hint="eastAsia" w:ascii="仿宋_GB2312" w:hAnsi="仿宋_GB2312" w:eastAsia="仿宋_GB2312" w:cs="仿宋_GB2312"/>
          <w:b w:val="0"/>
          <w:bCs w:val="0"/>
          <w:sz w:val="32"/>
          <w:szCs w:val="32"/>
          <w:lang w:eastAsia="zh-CN"/>
        </w:rPr>
        <w:t>预算实施过程的精准度及预算项目约束性和预算资金安排合理性有待提高。</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_GB2312" w:hAnsi="仿宋_GB2312" w:eastAsia="仿宋_GB2312" w:cs="仿宋_GB2312"/>
          <w:b w:val="0"/>
          <w:bCs w:val="0"/>
          <w:sz w:val="32"/>
          <w:szCs w:val="32"/>
          <w:lang w:eastAsia="zh-CN"/>
        </w:rPr>
        <w:t>一方面提高预算项目实施前及过程中精准匹配度，另一方面继续加强项目的预算绩效约束性，充分利用有限的预算资金合理安排各项工作事务。</w:t>
      </w:r>
    </w:p>
    <w:p>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w:t>
      </w:r>
    </w:p>
    <w:p>
      <w:pPr>
        <w:numPr>
          <w:numId w:val="0"/>
        </w:numPr>
        <w:adjustRightInd w:val="0"/>
        <w:snapToGrid w:val="0"/>
        <w:spacing w:line="56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邱  实   山尹村镇人民政府镇长</w:t>
      </w:r>
    </w:p>
    <w:p>
      <w:pPr>
        <w:numPr>
          <w:numId w:val="0"/>
        </w:numPr>
        <w:adjustRightInd w:val="0"/>
        <w:snapToGrid w:val="0"/>
        <w:spacing w:line="56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崔军刚   山尹村镇人民政府人大主席</w:t>
      </w:r>
    </w:p>
    <w:p>
      <w:pPr>
        <w:numPr>
          <w:numId w:val="0"/>
        </w:numPr>
        <w:adjustRightInd w:val="0"/>
        <w:snapToGrid w:val="0"/>
        <w:spacing w:line="56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刘  磊   山尹村镇人民政府副书记</w:t>
      </w:r>
    </w:p>
    <w:p>
      <w:pPr>
        <w:numPr>
          <w:numId w:val="0"/>
        </w:numPr>
        <w:adjustRightInd w:val="0"/>
        <w:snapToGrid w:val="0"/>
        <w:spacing w:line="56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刘  佳   山尹村镇人民政府副书记</w:t>
      </w:r>
    </w:p>
    <w:p>
      <w:pPr>
        <w:numPr>
          <w:numId w:val="0"/>
        </w:numPr>
        <w:adjustRightInd w:val="0"/>
        <w:snapToGrid w:val="0"/>
        <w:spacing w:line="560" w:lineRule="exact"/>
        <w:ind w:firstLine="64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任界桔   山尹村镇人民政府宣传委员</w:t>
      </w:r>
    </w:p>
    <w:p>
      <w:pPr>
        <w:numPr>
          <w:numId w:val="0"/>
        </w:numPr>
        <w:adjustRightInd w:val="0"/>
        <w:snapToGrid w:val="0"/>
        <w:spacing w:line="56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段胜勇   山尹村镇人民政府武装部长</w:t>
      </w:r>
    </w:p>
    <w:p>
      <w:pPr>
        <w:numPr>
          <w:numId w:val="0"/>
        </w:numPr>
        <w:adjustRightInd w:val="0"/>
        <w:snapToGrid w:val="0"/>
        <w:spacing w:line="56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戎  毫   山尹村镇人民政府副镇长</w:t>
      </w:r>
    </w:p>
    <w:p>
      <w:pPr>
        <w:numPr>
          <w:numId w:val="0"/>
        </w:numPr>
        <w:adjustRightInd w:val="0"/>
        <w:snapToGrid w:val="0"/>
        <w:spacing w:line="56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付  光   山尹村镇人民政府副镇长</w:t>
      </w:r>
      <w:bookmarkStart w:id="0" w:name="_GoBack"/>
      <w:bookmarkEnd w:id="0"/>
    </w:p>
    <w:p>
      <w:pPr>
        <w:numPr>
          <w:numId w:val="0"/>
        </w:numPr>
        <w:adjustRightInd w:val="0"/>
        <w:snapToGrid w:val="0"/>
        <w:spacing w:line="56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韩士英   山尹村镇人民政府人大副主席</w:t>
      </w:r>
    </w:p>
    <w:p>
      <w:pPr>
        <w:numPr>
          <w:numId w:val="0"/>
        </w:numPr>
        <w:adjustRightInd w:val="0"/>
        <w:snapToGrid w:val="0"/>
        <w:spacing w:line="56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张  丽   山尹村镇人民政府行政综合服务中心主任</w:t>
      </w:r>
    </w:p>
    <w:p>
      <w:pPr>
        <w:numPr>
          <w:numId w:val="0"/>
        </w:numPr>
        <w:adjustRightInd w:val="0"/>
        <w:snapToGrid w:val="0"/>
        <w:spacing w:line="560" w:lineRule="exact"/>
        <w:ind w:firstLine="64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戎彦文   山尹村镇人民政府行政执法队队长</w:t>
      </w:r>
    </w:p>
    <w:p>
      <w:pPr>
        <w:numPr>
          <w:numId w:val="0"/>
        </w:numPr>
        <w:adjustRightInd w:val="0"/>
        <w:snapToGrid w:val="0"/>
        <w:spacing w:line="56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王增辉   山尹村镇人民政府财政所所长</w:t>
      </w:r>
    </w:p>
    <w:p>
      <w:pPr>
        <w:numPr>
          <w:numId w:val="0"/>
        </w:numPr>
        <w:adjustRightInd w:val="0"/>
        <w:snapToGrid w:val="0"/>
        <w:spacing w:line="560" w:lineRule="exact"/>
        <w:ind w:firstLine="64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李博然   山尹村镇人民政府财政所成员</w:t>
      </w:r>
    </w:p>
    <w:p>
      <w:pPr>
        <w:numPr>
          <w:numId w:val="0"/>
        </w:numPr>
        <w:adjustRightInd w:val="0"/>
        <w:snapToGrid w:val="0"/>
        <w:spacing w:line="560" w:lineRule="exact"/>
        <w:ind w:firstLine="640"/>
        <w:rPr>
          <w:rFonts w:hint="default" w:ascii="仿宋" w:hAnsi="仿宋" w:eastAsia="仿宋" w:cs="仿宋"/>
          <w:sz w:val="32"/>
          <w:szCs w:val="32"/>
          <w:lang w:val="en-US" w:eastAsia="zh-CN"/>
        </w:rPr>
      </w:pPr>
    </w:p>
    <w:p>
      <w:pPr>
        <w:spacing w:line="560" w:lineRule="exact"/>
        <w:rPr>
          <w:rFonts w:hint="default" w:ascii="仿宋" w:hAnsi="仿宋" w:eastAsia="仿宋"/>
          <w:sz w:val="32"/>
          <w:szCs w:val="32"/>
          <w:lang w:val="en-US" w:eastAsia="zh-CN"/>
        </w:rPr>
      </w:pPr>
      <w:r>
        <w:rPr>
          <w:rFonts w:hint="eastAsia" w:ascii="仿宋" w:hAnsi="仿宋" w:eastAsia="仿宋"/>
          <w:lang w:val="en-US" w:eastAsia="zh-CN"/>
        </w:rPr>
        <w:t xml:space="preserve">      </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61DF67"/>
    <w:multiLevelType w:val="singleLevel"/>
    <w:tmpl w:val="8561DF67"/>
    <w:lvl w:ilvl="0" w:tentative="0">
      <w:start w:val="2"/>
      <w:numFmt w:val="chineseCounting"/>
      <w:suff w:val="nothing"/>
      <w:lvlText w:val="（%1）"/>
      <w:lvlJc w:val="left"/>
      <w:rPr>
        <w:rFonts w:hint="eastAsia"/>
      </w:rPr>
    </w:lvl>
  </w:abstractNum>
  <w:abstractNum w:abstractNumId="1">
    <w:nsid w:val="EC666178"/>
    <w:multiLevelType w:val="singleLevel"/>
    <w:tmpl w:val="EC666178"/>
    <w:lvl w:ilvl="0" w:tentative="0">
      <w:start w:val="6"/>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B3C18"/>
    <w:rsid w:val="00CE06BA"/>
    <w:rsid w:val="00F441CC"/>
    <w:rsid w:val="01B104CA"/>
    <w:rsid w:val="02106AB0"/>
    <w:rsid w:val="02B43A28"/>
    <w:rsid w:val="046F331E"/>
    <w:rsid w:val="05AA70F0"/>
    <w:rsid w:val="07956271"/>
    <w:rsid w:val="09721397"/>
    <w:rsid w:val="0BB63BED"/>
    <w:rsid w:val="0EB97A43"/>
    <w:rsid w:val="0EBD2122"/>
    <w:rsid w:val="0F214EAE"/>
    <w:rsid w:val="111215B5"/>
    <w:rsid w:val="11B71E6A"/>
    <w:rsid w:val="17FC4D55"/>
    <w:rsid w:val="1AAF0063"/>
    <w:rsid w:val="1BE140DE"/>
    <w:rsid w:val="1C900B9C"/>
    <w:rsid w:val="1FD02F61"/>
    <w:rsid w:val="2184331D"/>
    <w:rsid w:val="248C197D"/>
    <w:rsid w:val="252959AF"/>
    <w:rsid w:val="277A6671"/>
    <w:rsid w:val="292D35B7"/>
    <w:rsid w:val="2F83367D"/>
    <w:rsid w:val="321833D7"/>
    <w:rsid w:val="32817910"/>
    <w:rsid w:val="33EB6CFF"/>
    <w:rsid w:val="35A12947"/>
    <w:rsid w:val="37001FDF"/>
    <w:rsid w:val="37387040"/>
    <w:rsid w:val="3B625C0A"/>
    <w:rsid w:val="3BF67D7E"/>
    <w:rsid w:val="3CEE1963"/>
    <w:rsid w:val="3CFD2377"/>
    <w:rsid w:val="3F6E4E02"/>
    <w:rsid w:val="436B78D3"/>
    <w:rsid w:val="4C9C27FE"/>
    <w:rsid w:val="4F3478A8"/>
    <w:rsid w:val="508F7509"/>
    <w:rsid w:val="512260B4"/>
    <w:rsid w:val="51DB7A02"/>
    <w:rsid w:val="52BD6ACB"/>
    <w:rsid w:val="54694499"/>
    <w:rsid w:val="55537534"/>
    <w:rsid w:val="55652D11"/>
    <w:rsid w:val="561A74F1"/>
    <w:rsid w:val="597244E8"/>
    <w:rsid w:val="5EB71C30"/>
    <w:rsid w:val="66AF0CE5"/>
    <w:rsid w:val="68A944C2"/>
    <w:rsid w:val="6AC537CF"/>
    <w:rsid w:val="6DA4414D"/>
    <w:rsid w:val="6E5B14A6"/>
    <w:rsid w:val="6F7D19AB"/>
    <w:rsid w:val="6FDF46A7"/>
    <w:rsid w:val="711B255E"/>
    <w:rsid w:val="74C60C8A"/>
    <w:rsid w:val="74F74898"/>
    <w:rsid w:val="76934DC0"/>
    <w:rsid w:val="7B3012F2"/>
    <w:rsid w:val="7BB51E06"/>
    <w:rsid w:val="7C387F7C"/>
    <w:rsid w:val="7DCD2155"/>
    <w:rsid w:val="7E070882"/>
    <w:rsid w:val="7F1B5D3A"/>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33</TotalTime>
  <ScaleCrop>false</ScaleCrop>
  <LinksUpToDate>false</LinksUpToDate>
  <CharactersWithSpaces>669</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czszw</cp:lastModifiedBy>
  <cp:lastPrinted>2024-05-08T01:33:37Z</cp:lastPrinted>
  <dcterms:modified xsi:type="dcterms:W3CDTF">2024-05-08T02:01:01Z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96934721B1514D3FBAA28020338CE855_12</vt:lpwstr>
  </property>
</Properties>
</file>