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both"/>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both"/>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中共石家庄市鹿泉区委统一战线工作部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both"/>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中共石家庄市鹿泉区委统战部</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bCs/>
          <w:sz w:val="32"/>
          <w:szCs w:val="32"/>
        </w:rPr>
      </w:pPr>
      <w:r>
        <w:rPr>
          <w:rFonts w:hint="eastAsia" w:ascii="仿宋" w:hAnsi="仿宋" w:eastAsia="仿宋"/>
          <w:b/>
          <w:bCs/>
          <w:sz w:val="32"/>
          <w:szCs w:val="32"/>
        </w:rPr>
        <w:t>部门职责：</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（二）开展统一战线理论研究，贯彻落实统一战线工作的政策、地方性法规等，深入调查研究，及时向区委报告统一战线工作情况并提出建议，统筹协调和指导各乡镇（区）各部门各单位统一战线工作。</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（四）贯彻落实党的宣传工作方针，统筹推进全区统一战线宣传工作，拟订全区统一战线宣传工作规划并组织实施，研判涉及统一战线的舆情并协调有关部门应对处置</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七）负责联系、培养无党派代表人士，支持、帮助无党派人士发挥作用，调查研究党外知识分子和新的社会阶层入士情况并提出政策建议，联系、培养党外知识分子和新的社会阶层代表人士，开展思想政治工作，指导企业和社会组织开展党外知识分子和新的社会阶层人士统战工作。</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ascii="仿宋" w:hAnsi="仿宋" w:eastAsia="仿宋"/>
          <w:b w:val="0"/>
          <w:bCs w:val="0"/>
          <w:sz w:val="32"/>
          <w:szCs w:val="32"/>
          <w:lang w:val="en-US" w:eastAsia="zh-CN"/>
        </w:rPr>
        <w:t>士</w:t>
      </w:r>
      <w:r>
        <w:rPr>
          <w:rFonts w:hint="eastAsia" w:ascii="仿宋" w:hAnsi="仿宋" w:eastAsia="仿宋"/>
          <w:b w:val="0"/>
          <w:bCs w:val="0"/>
          <w:sz w:val="32"/>
          <w:szCs w:val="32"/>
        </w:rPr>
        <w:t>健康成长。</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（九）统一领导全区海外统战工作，牵头开展港澳统战工作。贯彻落实党的海外统战工作政策，联系香港、澳门有关党派、团体及代表人士，联系海外有关社团及代表人士。</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（十）统一管理全区侨务工作，贯彻落实党的侨务工作方针政策并组织协调、督促检查落实，调查研究侨情和侨务工作情况，管理侨务工作，保护华侨和归侨侨眷在区内的合法权利和利益。</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pPr>
        <w:keepNext w:val="0"/>
        <w:keepLines w:val="0"/>
        <w:pageBreakBefore w:val="0"/>
        <w:kinsoku/>
        <w:wordWrap/>
        <w:overflowPunct/>
        <w:topLinePunct w:val="0"/>
        <w:autoSpaceDE/>
        <w:autoSpaceDN/>
        <w:bidi w:val="0"/>
        <w:spacing w:before="0" w:after="0" w:line="560" w:lineRule="exact"/>
        <w:ind w:firstLine="640"/>
        <w:jc w:val="both"/>
        <w:outlineLvl w:val="9"/>
        <w:rPr>
          <w:rFonts w:hint="eastAsia" w:ascii="仿宋" w:hAnsi="仿宋" w:eastAsia="仿宋"/>
          <w:b/>
          <w:bCs/>
          <w:sz w:val="32"/>
          <w:szCs w:val="32"/>
        </w:rPr>
      </w:pPr>
      <w:r>
        <w:rPr>
          <w:rFonts w:hint="eastAsia" w:ascii="仿宋" w:hAnsi="仿宋" w:eastAsia="仿宋"/>
          <w:b w:val="0"/>
          <w:bCs w:val="0"/>
          <w:sz w:val="32"/>
          <w:szCs w:val="32"/>
        </w:rPr>
        <w:t>（十三）完成区委交办的其他任务。</w:t>
      </w:r>
      <w:r>
        <w:rPr>
          <w:rFonts w:hint="eastAsia" w:ascii="仿宋" w:hAnsi="仿宋" w:eastAsia="仿宋"/>
          <w:b/>
          <w:bCs/>
          <w:sz w:val="32"/>
          <w:szCs w:val="32"/>
        </w:rPr>
        <w:t>　</w:t>
      </w:r>
    </w:p>
    <w:tbl>
      <w:tblPr>
        <w:tblStyle w:val="6"/>
        <w:tblpPr w:leftFromText="180" w:rightFromText="180" w:vertAnchor="text" w:horzAnchor="page" w:tblpX="1673" w:tblpY="590"/>
        <w:tblOverlap w:val="never"/>
        <w:tblW w:w="8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58"/>
        <w:gridCol w:w="1369"/>
        <w:gridCol w:w="1553"/>
        <w:gridCol w:w="2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3858" w:type="dxa"/>
            <w:vAlign w:val="center"/>
          </w:tcPr>
          <w:p>
            <w:pPr>
              <w:pStyle w:val="10"/>
              <w:keepNext w:val="0"/>
              <w:keepLines w:val="0"/>
              <w:pageBreakBefore w:val="0"/>
              <w:kinsoku/>
              <w:wordWrap/>
              <w:overflowPunct/>
              <w:topLinePunct w:val="0"/>
              <w:autoSpaceDE/>
              <w:autoSpaceDN/>
              <w:bidi w:val="0"/>
              <w:spacing w:line="560" w:lineRule="exact"/>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单位名称</w:t>
            </w:r>
          </w:p>
        </w:tc>
        <w:tc>
          <w:tcPr>
            <w:tcW w:w="1369" w:type="dxa"/>
            <w:vAlign w:val="center"/>
          </w:tcPr>
          <w:p>
            <w:pPr>
              <w:pStyle w:val="10"/>
              <w:keepNext w:val="0"/>
              <w:keepLines w:val="0"/>
              <w:pageBreakBefore w:val="0"/>
              <w:kinsoku/>
              <w:wordWrap/>
              <w:overflowPunct/>
              <w:topLinePunct w:val="0"/>
              <w:autoSpaceDE/>
              <w:autoSpaceDN/>
              <w:bidi w:val="0"/>
              <w:spacing w:line="560" w:lineRule="exact"/>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单位性质</w:t>
            </w:r>
          </w:p>
        </w:tc>
        <w:tc>
          <w:tcPr>
            <w:tcW w:w="1553" w:type="dxa"/>
            <w:vAlign w:val="center"/>
          </w:tcPr>
          <w:p>
            <w:pPr>
              <w:pStyle w:val="10"/>
              <w:keepNext w:val="0"/>
              <w:keepLines w:val="0"/>
              <w:pageBreakBefore w:val="0"/>
              <w:kinsoku/>
              <w:wordWrap/>
              <w:overflowPunct/>
              <w:topLinePunct w:val="0"/>
              <w:autoSpaceDE/>
              <w:autoSpaceDN/>
              <w:bidi w:val="0"/>
              <w:spacing w:line="560" w:lineRule="exact"/>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单位规格</w:t>
            </w:r>
          </w:p>
        </w:tc>
        <w:tc>
          <w:tcPr>
            <w:tcW w:w="2159" w:type="dxa"/>
            <w:vAlign w:val="center"/>
          </w:tcPr>
          <w:p>
            <w:pPr>
              <w:pStyle w:val="10"/>
              <w:keepNext w:val="0"/>
              <w:keepLines w:val="0"/>
              <w:pageBreakBefore w:val="0"/>
              <w:kinsoku/>
              <w:wordWrap/>
              <w:overflowPunct/>
              <w:topLinePunct w:val="0"/>
              <w:autoSpaceDE/>
              <w:autoSpaceDN/>
              <w:bidi w:val="0"/>
              <w:spacing w:line="560" w:lineRule="exact"/>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3858" w:type="dxa"/>
            <w:vAlign w:val="center"/>
          </w:tcPr>
          <w:p>
            <w:pPr>
              <w:pStyle w:val="11"/>
              <w:keepNext w:val="0"/>
              <w:keepLines w:val="0"/>
              <w:pageBreakBefore w:val="0"/>
              <w:kinsoku/>
              <w:wordWrap/>
              <w:overflowPunct/>
              <w:topLinePunct w:val="0"/>
              <w:autoSpaceDE/>
              <w:autoSpaceDN/>
              <w:bidi w:val="0"/>
              <w:spacing w:line="560" w:lineRule="exact"/>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中共石家庄市鹿泉区委统一战线工作部</w:t>
            </w:r>
          </w:p>
        </w:tc>
        <w:tc>
          <w:tcPr>
            <w:tcW w:w="1369" w:type="dxa"/>
            <w:vAlign w:val="center"/>
          </w:tcPr>
          <w:p>
            <w:pPr>
              <w:pStyle w:val="12"/>
              <w:keepNext w:val="0"/>
              <w:keepLines w:val="0"/>
              <w:pageBreakBefore w:val="0"/>
              <w:kinsoku/>
              <w:wordWrap/>
              <w:overflowPunct/>
              <w:topLinePunct w:val="0"/>
              <w:autoSpaceDE/>
              <w:autoSpaceDN/>
              <w:bidi w:val="0"/>
              <w:spacing w:line="560" w:lineRule="exact"/>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553" w:type="dxa"/>
            <w:vAlign w:val="center"/>
          </w:tcPr>
          <w:p>
            <w:pPr>
              <w:pStyle w:val="12"/>
              <w:keepNext w:val="0"/>
              <w:keepLines w:val="0"/>
              <w:pageBreakBefore w:val="0"/>
              <w:kinsoku/>
              <w:wordWrap/>
              <w:overflowPunct/>
              <w:topLinePunct w:val="0"/>
              <w:autoSpaceDE/>
              <w:autoSpaceDN/>
              <w:bidi w:val="0"/>
              <w:spacing w:line="560" w:lineRule="exact"/>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159" w:type="dxa"/>
            <w:vAlign w:val="center"/>
          </w:tcPr>
          <w:p>
            <w:pPr>
              <w:pStyle w:val="12"/>
              <w:keepNext w:val="0"/>
              <w:keepLines w:val="0"/>
              <w:pageBreakBefore w:val="0"/>
              <w:kinsoku/>
              <w:wordWrap/>
              <w:overflowPunct/>
              <w:topLinePunct w:val="0"/>
              <w:autoSpaceDE/>
              <w:autoSpaceDN/>
              <w:bidi w:val="0"/>
              <w:spacing w:line="560" w:lineRule="exact"/>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bl>
    <w:p>
      <w:pPr>
        <w:keepNext w:val="0"/>
        <w:keepLines w:val="0"/>
        <w:pageBreakBefore w:val="0"/>
        <w:kinsoku/>
        <w:wordWrap/>
        <w:overflowPunct/>
        <w:topLinePunct w:val="0"/>
        <w:autoSpaceDE/>
        <w:autoSpaceDN/>
        <w:bidi w:val="0"/>
        <w:adjustRightInd w:val="0"/>
        <w:snapToGrid w:val="0"/>
        <w:spacing w:line="560" w:lineRule="exact"/>
        <w:ind w:firstLine="643" w:firstLineChars="200"/>
        <w:jc w:val="both"/>
        <w:rPr>
          <w:rFonts w:hint="eastAsia" w:ascii="仿宋" w:hAnsi="仿宋" w:eastAsia="仿宋"/>
          <w:b/>
          <w:bCs/>
          <w:sz w:val="32"/>
          <w:szCs w:val="32"/>
          <w:lang w:eastAsia="zh-CN"/>
        </w:rPr>
      </w:pPr>
      <w:r>
        <w:rPr>
          <w:rFonts w:hint="eastAsia" w:ascii="仿宋" w:hAnsi="仿宋" w:eastAsia="仿宋"/>
          <w:b/>
          <w:bCs/>
          <w:sz w:val="32"/>
          <w:szCs w:val="32"/>
        </w:rPr>
        <w:t>部门机构设置情况</w:t>
      </w:r>
      <w:r>
        <w:rPr>
          <w:rFonts w:hint="eastAsia" w:ascii="仿宋" w:hAnsi="仿宋" w:eastAsia="仿宋"/>
          <w:b/>
          <w:bCs/>
          <w:sz w:val="32"/>
          <w:szCs w:val="32"/>
          <w:lang w:eastAsia="zh-CN"/>
        </w:rPr>
        <w:t>：</w:t>
      </w:r>
    </w:p>
    <w:p>
      <w:pPr>
        <w:keepNext w:val="0"/>
        <w:keepLines w:val="0"/>
        <w:pageBreakBefore w:val="0"/>
        <w:numPr>
          <w:ilvl w:val="0"/>
          <w:numId w:val="1"/>
        </w:numPr>
        <w:kinsoku/>
        <w:wordWrap/>
        <w:overflowPunct/>
        <w:topLinePunct w:val="0"/>
        <w:autoSpaceDE/>
        <w:autoSpaceDN/>
        <w:bidi w:val="0"/>
        <w:adjustRightInd w:val="0"/>
        <w:snapToGrid w:val="0"/>
        <w:spacing w:line="560" w:lineRule="exact"/>
        <w:ind w:firstLine="640" w:firstLineChars="200"/>
        <w:jc w:val="both"/>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13"/>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1、收入说明</w:t>
      </w:r>
    </w:p>
    <w:p>
      <w:pPr>
        <w:pStyle w:val="13"/>
        <w:keepNext w:val="0"/>
        <w:keepLines w:val="0"/>
        <w:pageBreakBefore w:val="0"/>
        <w:kinsoku/>
        <w:wordWrap/>
        <w:overflowPunct/>
        <w:topLinePunct w:val="0"/>
        <w:autoSpaceDE/>
        <w:autoSpaceDN/>
        <w:bidi w:val="0"/>
        <w:spacing w:line="560" w:lineRule="exact"/>
        <w:jc w:val="both"/>
        <w:rPr>
          <w:rFonts w:hint="eastAsia" w:ascii="仿宋" w:hAnsi="仿宋" w:eastAsia="仿宋" w:cs="仿宋"/>
          <w:sz w:val="32"/>
          <w:szCs w:val="32"/>
          <w:lang w:eastAsia="zh-CN"/>
        </w:rPr>
      </w:pPr>
      <w:r>
        <w:rPr>
          <w:rFonts w:hint="eastAsia" w:ascii="仿宋" w:hAnsi="仿宋" w:eastAsia="仿宋" w:cs="黑体"/>
          <w:kern w:val="2"/>
          <w:sz w:val="32"/>
          <w:szCs w:val="32"/>
          <w:lang w:val="en-US" w:eastAsia="uk-UA" w:bidi="ar-SA"/>
        </w:rPr>
        <w:t>202</w:t>
      </w:r>
      <w:r>
        <w:rPr>
          <w:rFonts w:hint="eastAsia" w:ascii="仿宋" w:hAnsi="仿宋" w:eastAsia="仿宋" w:cs="黑体"/>
          <w:kern w:val="2"/>
          <w:sz w:val="32"/>
          <w:szCs w:val="32"/>
          <w:lang w:val="en-US" w:eastAsia="zh-CN" w:bidi="ar-SA"/>
        </w:rPr>
        <w:t>3</w:t>
      </w:r>
      <w:r>
        <w:rPr>
          <w:rFonts w:hint="eastAsia" w:ascii="仿宋" w:hAnsi="仿宋" w:eastAsia="仿宋" w:cs="黑体"/>
          <w:kern w:val="2"/>
          <w:sz w:val="32"/>
          <w:szCs w:val="32"/>
          <w:lang w:val="en-US" w:eastAsia="uk-UA" w:bidi="ar-SA"/>
        </w:rPr>
        <w:t>年预算收入</w:t>
      </w:r>
      <w:r>
        <w:rPr>
          <w:rFonts w:hint="eastAsia" w:ascii="仿宋" w:hAnsi="仿宋" w:eastAsia="仿宋" w:cs="黑体"/>
          <w:kern w:val="2"/>
          <w:sz w:val="32"/>
          <w:szCs w:val="32"/>
          <w:lang w:val="en-US" w:eastAsia="zh-CN" w:bidi="ar-SA"/>
        </w:rPr>
        <w:t>377.62万元，</w:t>
      </w:r>
      <w:r>
        <w:rPr>
          <w:rFonts w:hint="eastAsia" w:ascii="仿宋" w:hAnsi="仿宋" w:eastAsia="仿宋" w:cs="仿宋"/>
          <w:sz w:val="32"/>
          <w:szCs w:val="32"/>
        </w:rPr>
        <w:t>其中:一般公共预算</w:t>
      </w:r>
      <w:r>
        <w:rPr>
          <w:rFonts w:hint="eastAsia" w:ascii="仿宋" w:hAnsi="仿宋" w:eastAsia="仿宋" w:cs="仿宋"/>
          <w:sz w:val="32"/>
          <w:szCs w:val="32"/>
          <w:lang w:val="en-US" w:eastAsia="zh-CN"/>
        </w:rPr>
        <w:t>财政拨款</w:t>
      </w:r>
      <w:r>
        <w:rPr>
          <w:rFonts w:hint="eastAsia" w:ascii="仿宋" w:hAnsi="仿宋" w:eastAsia="仿宋" w:cs="仿宋"/>
          <w:sz w:val="32"/>
          <w:szCs w:val="32"/>
        </w:rPr>
        <w:t>收入</w:t>
      </w:r>
      <w:r>
        <w:rPr>
          <w:rFonts w:hint="eastAsia" w:ascii="仿宋" w:hAnsi="仿宋" w:eastAsia="仿宋" w:cs="仿宋"/>
          <w:sz w:val="32"/>
          <w:szCs w:val="32"/>
          <w:lang w:val="en-US" w:eastAsia="zh-CN"/>
        </w:rPr>
        <w:t>377.62</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pStyle w:val="13"/>
        <w:keepNext w:val="0"/>
        <w:keepLines w:val="0"/>
        <w:pageBreakBefore w:val="0"/>
        <w:kinsoku/>
        <w:wordWrap/>
        <w:overflowPunct/>
        <w:topLinePunct w:val="0"/>
        <w:autoSpaceDE/>
        <w:autoSpaceDN/>
        <w:bidi w:val="0"/>
        <w:spacing w:line="560" w:lineRule="exact"/>
        <w:jc w:val="both"/>
        <w:rPr>
          <w:rFonts w:hint="eastAsia" w:ascii="仿宋" w:hAnsi="仿宋" w:eastAsia="仿宋" w:cs="仿宋"/>
          <w:sz w:val="32"/>
          <w:szCs w:val="32"/>
          <w:lang w:eastAsia="zh-CN"/>
        </w:rPr>
      </w:pPr>
      <w:r>
        <w:rPr>
          <w:rFonts w:hint="eastAsia" w:ascii="仿宋" w:hAnsi="仿宋" w:eastAsia="仿宋" w:cs="黑体"/>
          <w:kern w:val="2"/>
          <w:sz w:val="32"/>
          <w:szCs w:val="32"/>
          <w:lang w:val="en-US" w:eastAsia="zh-CN" w:bidi="ar-SA"/>
        </w:rPr>
        <w:t>2023年决算收入331.33万元，其中：一般公共预算收入331.33万元</w:t>
      </w:r>
      <w:r>
        <w:rPr>
          <w:rFonts w:hint="eastAsia" w:ascii="仿宋" w:hAnsi="仿宋" w:eastAsia="仿宋" w:cs="仿宋"/>
          <w:sz w:val="32"/>
          <w:szCs w:val="32"/>
          <w:lang w:eastAsia="zh-CN"/>
        </w:rPr>
        <w:t>。</w:t>
      </w:r>
    </w:p>
    <w:p>
      <w:pPr>
        <w:pStyle w:val="13"/>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2、支出说明</w:t>
      </w:r>
    </w:p>
    <w:p>
      <w:pPr>
        <w:pStyle w:val="13"/>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支出预算377.62万元，其中：基本支出271.54万元，包括人员经费240.20万元和日常公用经费31.34万元；项目支出106.08万元，主要为统战工作协调机制专项经费、台侨工作经费、民宗宗教工作专项经费、民主党派工作经费、宗教基层治理工作队经费等；</w:t>
      </w:r>
    </w:p>
    <w:p>
      <w:pPr>
        <w:pStyle w:val="8"/>
        <w:keepNext w:val="0"/>
        <w:keepLines w:val="0"/>
        <w:pageBreakBefore w:val="0"/>
        <w:kinsoku/>
        <w:wordWrap/>
        <w:overflowPunct/>
        <w:topLinePunct w:val="0"/>
        <w:autoSpaceDE/>
        <w:autoSpaceDN/>
        <w:bidi w:val="0"/>
        <w:spacing w:line="560" w:lineRule="exact"/>
        <w:ind w:firstLine="640" w:firstLineChars="200"/>
        <w:jc w:val="both"/>
        <w:rPr>
          <w:rFonts w:hint="eastAsia" w:ascii="楷体" w:hAnsi="楷体" w:eastAsia="楷体" w:cs="楷体_GB2312"/>
          <w:bCs/>
          <w:kern w:val="2"/>
          <w:sz w:val="32"/>
          <w:szCs w:val="32"/>
          <w:lang w:val="en-US" w:eastAsia="zh-CN" w:bidi="ar-SA"/>
        </w:rPr>
      </w:pPr>
      <w:r>
        <w:rPr>
          <w:rFonts w:hint="eastAsia" w:ascii="仿宋" w:hAnsi="仿宋" w:eastAsia="仿宋" w:cs="黑体"/>
          <w:kern w:val="2"/>
          <w:sz w:val="32"/>
          <w:szCs w:val="32"/>
          <w:lang w:val="en-US" w:eastAsia="zh-CN" w:bidi="ar-SA"/>
        </w:rPr>
        <w:t>2023年支出决算331.33万元，其中：基本支出280.56万元，包括人员经费</w:t>
      </w:r>
      <w:r>
        <w:rPr>
          <w:rFonts w:hint="eastAsia" w:ascii="仿宋" w:hAnsi="仿宋" w:eastAsia="仿宋" w:cs="黑体"/>
          <w:kern w:val="2"/>
          <w:sz w:val="32"/>
          <w:szCs w:val="32"/>
          <w:highlight w:val="none"/>
          <w:lang w:val="en-US" w:eastAsia="zh-CN" w:bidi="ar-SA"/>
        </w:rPr>
        <w:t>249.43</w:t>
      </w:r>
      <w:r>
        <w:rPr>
          <w:rFonts w:hint="eastAsia" w:ascii="仿宋" w:hAnsi="仿宋" w:eastAsia="仿宋" w:cs="黑体"/>
          <w:kern w:val="2"/>
          <w:sz w:val="32"/>
          <w:szCs w:val="32"/>
          <w:lang w:val="en-US" w:eastAsia="zh-CN" w:bidi="ar-SA"/>
        </w:rPr>
        <w:t>万元和日常公用经费</w:t>
      </w:r>
      <w:r>
        <w:rPr>
          <w:rFonts w:hint="eastAsia" w:ascii="仿宋" w:hAnsi="仿宋" w:eastAsia="仿宋" w:cs="仿宋"/>
          <w:sz w:val="32"/>
          <w:szCs w:val="32"/>
          <w:lang w:val="en-US" w:eastAsia="zh-CN"/>
        </w:rPr>
        <w:t>31.13</w:t>
      </w:r>
      <w:r>
        <w:rPr>
          <w:rFonts w:hint="eastAsia" w:ascii="仿宋" w:hAnsi="仿宋" w:eastAsia="仿宋" w:cs="黑体"/>
          <w:kern w:val="2"/>
          <w:sz w:val="32"/>
          <w:szCs w:val="32"/>
          <w:lang w:val="en-US" w:eastAsia="zh-CN" w:bidi="ar-SA"/>
        </w:rPr>
        <w:t>万元；项目50.77万元，主要为统战工作协调机制专项经费、台侨工作经费、民宗宗教工作专项经费、民主党派工作经费、宗教基层治理工作队经费等。</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4"/>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rP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2023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pStyle w:val="15"/>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rPr>
        <w:t>（一）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15"/>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rPr>
        <w:t>（二）强化系统治理，切实维护宗教领域的和谐稳定。巩固宗教领域专项整治成果，防范各类非法宗教活动的反弹。深入开展“双创四进”，严格落实三项制度，积极发挥基层治理工作队作用，深入开展宗教领域系统治理，坚持</w:t>
      </w:r>
      <w:r>
        <w:rPr>
          <w:rFonts w:hint="eastAsia" w:ascii="仿宋" w:hAnsi="仿宋" w:eastAsia="仿宋" w:cs="仿宋"/>
          <w:sz w:val="32"/>
          <w:szCs w:val="32"/>
          <w:lang w:eastAsia="zh-CN"/>
        </w:rPr>
        <w:t>我国</w:t>
      </w:r>
      <w:bookmarkStart w:id="0" w:name="_GoBack"/>
      <w:bookmarkEnd w:id="0"/>
      <w:r>
        <w:rPr>
          <w:rFonts w:hint="eastAsia" w:ascii="仿宋" w:hAnsi="仿宋" w:eastAsia="仿宋" w:cs="仿宋"/>
          <w:sz w:val="32"/>
          <w:szCs w:val="32"/>
        </w:rPr>
        <w:t>宗教中国化方向。</w:t>
      </w:r>
    </w:p>
    <w:p>
      <w:pPr>
        <w:pStyle w:val="15"/>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rPr>
        <w:t>（三）健全工作机制，提升党外代表人士工作水平。加强党外后备人才数据库动态管理，做好党外干部的储备和推荐使用工作。支持民主党派通过政党协商、主题调研等形式发挥积极作用。发挥党外知识分子和新的社会阶层人的优势，开展服务群众活动。持续做好新时代民营经济统战工作和侨务工作，不断提升统战工作的科学化水平。</w:t>
      </w:r>
    </w:p>
    <w:p>
      <w:pPr>
        <w:pStyle w:val="15"/>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rP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line="560" w:lineRule="exact"/>
        <w:ind w:firstLine="640" w:firstLineChars="200"/>
        <w:jc w:val="both"/>
        <w:rPr>
          <w:rFonts w:ascii="楷体" w:hAnsi="楷体" w:eastAsia="楷体" w:cs="楷体_GB2312"/>
          <w:sz w:val="32"/>
          <w:szCs w:val="32"/>
        </w:rPr>
      </w:pPr>
      <w:r>
        <w:rPr>
          <w:rFonts w:hint="eastAsia" w:ascii="楷体" w:hAnsi="楷体" w:eastAsia="楷体" w:cs="楷体_GB2312"/>
          <w:bCs/>
          <w:sz w:val="32"/>
          <w:szCs w:val="32"/>
        </w:rPr>
        <w:t>（一）自评的组织工作</w:t>
      </w:r>
    </w:p>
    <w:p>
      <w:pPr>
        <w:pStyle w:val="4"/>
        <w:keepNext w:val="0"/>
        <w:keepLines w:val="0"/>
        <w:pageBreakBefore w:val="0"/>
        <w:widowControl/>
        <w:suppressLineNumbers w:val="0"/>
        <w:kinsoku/>
        <w:wordWrap/>
        <w:overflowPunct/>
        <w:topLinePunct w:val="0"/>
        <w:autoSpaceDE/>
        <w:autoSpaceDN/>
        <w:bidi w:val="0"/>
        <w:spacing w:beforeAutospacing="0" w:afterAutospacing="0" w:line="560" w:lineRule="exact"/>
        <w:ind w:firstLine="640" w:firstLineChars="200"/>
        <w:jc w:val="both"/>
        <w:textAlignment w:val="auto"/>
        <w:rPr>
          <w:rFonts w:ascii="仿宋" w:hAnsi="仿宋" w:eastAsia="仿宋"/>
          <w:sz w:val="32"/>
          <w:szCs w:val="32"/>
        </w:rPr>
      </w:pPr>
      <w:r>
        <w:rPr>
          <w:rFonts w:hint="eastAsia" w:ascii="仿宋" w:hAnsi="仿宋" w:eastAsia="仿宋" w:cs="黑体"/>
          <w:kern w:val="2"/>
          <w:sz w:val="32"/>
          <w:szCs w:val="32"/>
          <w:lang w:val="en-US" w:eastAsia="zh-CN" w:bidi="ar-SA"/>
        </w:rPr>
        <w:t>项目结束后，我单位成立项目评价工作小组，结合绩效评价的要求和预算项目的指标，对项目开展全面的综合评价工作。</w:t>
      </w:r>
    </w:p>
    <w:p>
      <w:pPr>
        <w:keepNext w:val="0"/>
        <w:keepLines w:val="0"/>
        <w:pageBreakBefore w:val="0"/>
        <w:numPr>
          <w:ilvl w:val="0"/>
          <w:numId w:val="2"/>
        </w:numPr>
        <w:kinsoku/>
        <w:wordWrap/>
        <w:overflowPunct/>
        <w:topLinePunct w:val="0"/>
        <w:autoSpaceDE/>
        <w:autoSpaceDN/>
        <w:bidi w:val="0"/>
        <w:spacing w:line="560" w:lineRule="exact"/>
        <w:jc w:val="both"/>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numPr>
          <w:ilvl w:val="0"/>
          <w:numId w:val="0"/>
        </w:numPr>
        <w:kinsoku/>
        <w:wordWrap/>
        <w:overflowPunct/>
        <w:topLinePunct w:val="0"/>
        <w:autoSpaceDE/>
        <w:autoSpaceDN/>
        <w:bidi w:val="0"/>
        <w:spacing w:line="560" w:lineRule="exact"/>
        <w:ind w:left="0" w:leftChars="0" w:firstLine="640" w:firstLineChars="200"/>
        <w:jc w:val="both"/>
        <w:rPr>
          <w:rFonts w:ascii="楷体" w:hAnsi="楷体" w:eastAsia="楷体" w:cs="楷体_GB2312"/>
          <w:bCs/>
          <w:sz w:val="32"/>
          <w:szCs w:val="32"/>
        </w:rPr>
      </w:pPr>
      <w:r>
        <w:rPr>
          <w:rFonts w:hint="eastAsia" w:ascii="仿宋" w:hAnsi="仿宋" w:eastAsia="仿宋" w:cs="黑体"/>
          <w:kern w:val="2"/>
          <w:sz w:val="32"/>
          <w:szCs w:val="32"/>
          <w:lang w:val="en-US" w:eastAsia="zh-CN" w:bidi="ar-SA"/>
        </w:rPr>
        <w:t>通过项目评价工作小组评估，对各项绩效评价内容完成情况进行打分，并根据分值评价绩效目标完成情况。</w:t>
      </w:r>
    </w:p>
    <w:p>
      <w:pPr>
        <w:keepNext w:val="0"/>
        <w:keepLines w:val="0"/>
        <w:pageBreakBefore w:val="0"/>
        <w:kinsoku/>
        <w:wordWrap/>
        <w:overflowPunct/>
        <w:topLinePunct w:val="0"/>
        <w:autoSpaceDE/>
        <w:autoSpaceDN/>
        <w:bidi w:val="0"/>
        <w:spacing w:line="560" w:lineRule="exact"/>
        <w:ind w:firstLine="640" w:firstLineChars="200"/>
        <w:jc w:val="both"/>
        <w:rPr>
          <w:rFonts w:ascii="黑体" w:hAnsi="黑体" w:eastAsia="黑体"/>
          <w:b/>
          <w:bCs/>
          <w:sz w:val="32"/>
          <w:szCs w:val="32"/>
        </w:rPr>
      </w:pPr>
      <w:r>
        <w:rPr>
          <w:rFonts w:hint="eastAsia" w:ascii="黑体" w:hAnsi="黑体" w:eastAsia="黑体"/>
          <w:sz w:val="32"/>
          <w:szCs w:val="32"/>
        </w:rPr>
        <w:t>三、部门整体支出绩效目标实现情况及指标分析</w:t>
      </w:r>
    </w:p>
    <w:p>
      <w:pPr>
        <w:keepNext w:val="0"/>
        <w:keepLines w:val="0"/>
        <w:pageBreakBefore w:val="0"/>
        <w:numPr>
          <w:ilvl w:val="0"/>
          <w:numId w:val="3"/>
        </w:numPr>
        <w:kinsoku/>
        <w:wordWrap/>
        <w:overflowPunct/>
        <w:topLinePunct w:val="0"/>
        <w:autoSpaceDE/>
        <w:autoSpaceDN/>
        <w:bidi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kinsoku/>
        <w:wordWrap/>
        <w:overflowPunct/>
        <w:topLinePunct w:val="0"/>
        <w:autoSpaceDE/>
        <w:autoSpaceDN/>
        <w:bidi w:val="0"/>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本年度专项工作经费管理规范，按计划基本完成，确保了</w:t>
      </w:r>
    </w:p>
    <w:p>
      <w:pPr>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各项工作正常运转和圆满完成，各股室对该项工作总体较为满意。对各项职能指标完成情况进行了自检自查,各项工作均已</w:t>
      </w:r>
    </w:p>
    <w:p>
      <w:pPr>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lang w:val="en-US" w:eastAsia="zh-CN" w:bidi="ar-SA"/>
        </w:rPr>
        <w:t>基本完成，</w:t>
      </w:r>
      <w:r>
        <w:rPr>
          <w:rFonts w:hint="eastAsia" w:ascii="仿宋" w:hAnsi="仿宋" w:eastAsia="仿宋" w:cs="黑体"/>
          <w:kern w:val="2"/>
          <w:sz w:val="32"/>
          <w:szCs w:val="32"/>
          <w:highlight w:val="none"/>
          <w:lang w:val="en-US" w:eastAsia="zh-CN" w:bidi="ar-SA"/>
        </w:rPr>
        <w:t>8个项目中绩效评价均为优秀。</w:t>
      </w:r>
    </w:p>
    <w:p>
      <w:pPr>
        <w:keepNext w:val="0"/>
        <w:keepLines w:val="0"/>
        <w:pageBreakBefore w:val="0"/>
        <w:kinsoku/>
        <w:wordWrap/>
        <w:overflowPunct/>
        <w:topLinePunct w:val="0"/>
        <w:autoSpaceDE/>
        <w:autoSpaceDN/>
        <w:bidi w:val="0"/>
        <w:spacing w:line="560" w:lineRule="exact"/>
        <w:ind w:firstLine="640" w:firstLineChars="200"/>
        <w:jc w:val="both"/>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pStyle w:val="15"/>
        <w:keepNext w:val="0"/>
        <w:keepLines w:val="0"/>
        <w:pageBreakBefore w:val="0"/>
        <w:kinsoku/>
        <w:wordWrap/>
        <w:overflowPunct/>
        <w:topLinePunct w:val="0"/>
        <w:autoSpaceDE/>
        <w:autoSpaceDN/>
        <w:bidi w:val="0"/>
        <w:spacing w:line="560" w:lineRule="exact"/>
        <w:jc w:val="both"/>
        <w:rPr>
          <w:rFonts w:hint="default" w:ascii="仿宋" w:hAnsi="仿宋" w:eastAsia="仿宋"/>
          <w:sz w:val="32"/>
          <w:szCs w:val="32"/>
          <w:lang w:val="en-US" w:eastAsia="zh-CN"/>
        </w:rPr>
      </w:pPr>
      <w:r>
        <w:rPr>
          <w:rFonts w:hint="eastAsia" w:ascii="仿宋" w:hAnsi="仿宋" w:eastAsia="仿宋" w:cs="黑体"/>
          <w:kern w:val="2"/>
          <w:sz w:val="32"/>
          <w:szCs w:val="32"/>
          <w:highlight w:val="none"/>
          <w:lang w:val="en-US" w:eastAsia="zh-CN" w:bidi="ar-SA"/>
        </w:rPr>
        <w:t>1、</w:t>
      </w:r>
      <w:r>
        <w:rPr>
          <w:rFonts w:hint="eastAsia" w:ascii="仿宋" w:hAnsi="仿宋" w:eastAsia="仿宋"/>
          <w:sz w:val="32"/>
          <w:szCs w:val="32"/>
          <w:lang w:val="en-US" w:eastAsia="zh-CN"/>
        </w:rPr>
        <w:t>协调抓总体，</w:t>
      </w:r>
      <w:r>
        <w:rPr>
          <w:rFonts w:hint="eastAsia" w:ascii="仿宋" w:hAnsi="仿宋" w:eastAsia="仿宋" w:cs="黑体"/>
          <w:kern w:val="2"/>
          <w:sz w:val="32"/>
          <w:szCs w:val="32"/>
          <w:highlight w:val="none"/>
          <w:lang w:val="en-US" w:eastAsia="zh-CN" w:bidi="ar-SA"/>
        </w:rPr>
        <w:t>保证</w:t>
      </w:r>
      <w:r>
        <w:rPr>
          <w:rFonts w:hint="eastAsia" w:ascii="仿宋" w:hAnsi="仿宋" w:eastAsia="仿宋"/>
          <w:sz w:val="32"/>
          <w:szCs w:val="32"/>
          <w:lang w:val="en-US" w:eastAsia="zh-CN"/>
        </w:rPr>
        <w:t>统战工作协调机制运转</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落实协调联席会机制，协调机制会议、专题会议，观摩交流，运转协调等，保证党委领导，政府支持，统战部协调抓总体，各部门协调配合，全社会参与统战工作的新机制进一步完善，保证统战工作协调机制运行。</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eastAsia="zh-CN"/>
        </w:rPr>
        <w:t>绩效指标：</w:t>
      </w:r>
      <w:r>
        <w:rPr>
          <w:rFonts w:hint="eastAsia" w:ascii="仿宋" w:hAnsi="仿宋" w:eastAsia="仿宋"/>
          <w:sz w:val="32"/>
          <w:szCs w:val="32"/>
          <w:lang w:val="en-US" w:eastAsia="zh-CN"/>
        </w:rPr>
        <w:t>召开各项联席会议10次，召开专题会议4次个，开展组织观摩交流活动数量2次，活动完成率达到100%；</w:t>
      </w:r>
    </w:p>
    <w:p>
      <w:pPr>
        <w:pStyle w:val="15"/>
        <w:keepNext w:val="0"/>
        <w:keepLines w:val="0"/>
        <w:pageBreakBefore w:val="0"/>
        <w:numPr>
          <w:ilvl w:val="0"/>
          <w:numId w:val="4"/>
        </w:numPr>
        <w:kinsoku/>
        <w:wordWrap/>
        <w:overflowPunct/>
        <w:topLinePunct w:val="0"/>
        <w:autoSpaceDE/>
        <w:autoSpaceDN/>
        <w:bidi w:val="0"/>
        <w:spacing w:line="560" w:lineRule="exact"/>
        <w:jc w:val="both"/>
        <w:rPr>
          <w:rFonts w:hint="eastAsia" w:ascii="仿宋" w:hAnsi="仿宋" w:eastAsia="仿宋"/>
          <w:sz w:val="32"/>
          <w:szCs w:val="32"/>
          <w:lang w:val="en-US" w:eastAsia="zh-CN"/>
        </w:rPr>
      </w:pPr>
      <w:r>
        <w:rPr>
          <w:rFonts w:hint="eastAsia" w:ascii="仿宋" w:hAnsi="仿宋" w:eastAsia="仿宋"/>
          <w:sz w:val="32"/>
          <w:szCs w:val="32"/>
          <w:lang w:val="en-US" w:eastAsia="zh-CN"/>
        </w:rPr>
        <w:t>加强对台和对海外的统战政策宣传工作</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印制发放宣传法规政策有关资料和联系宣传文化媒体等方式，加强对台和对海外的统战政策宣传工作，掌握工作政策法规；走访慰问台属、归侨侨眷，建设侨胞之家，加强为台侨服务意识；举办台侨人士学习培训班，进行思想政治引导，及时掌握台侨界人士思想动态，适时开展思想引领活动等费用。</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eastAsia="zh-CN"/>
        </w:rPr>
        <w:t>绩效指标：</w:t>
      </w:r>
      <w:r>
        <w:rPr>
          <w:rFonts w:hint="eastAsia" w:ascii="仿宋" w:hAnsi="仿宋" w:eastAsia="仿宋"/>
          <w:sz w:val="32"/>
          <w:szCs w:val="32"/>
          <w:lang w:val="en-US" w:eastAsia="zh-CN"/>
        </w:rPr>
        <w:t>台侨培训班座谈会不少于3次、慰问台侨侨眷次数不少于2次，慰问归侨侨眷人数不少于3户，建设侨胞之家4个。</w:t>
      </w:r>
    </w:p>
    <w:p>
      <w:pPr>
        <w:pStyle w:val="15"/>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highlight w:val="yellow"/>
          <w:lang w:val="en-US" w:eastAsia="zh-CN" w:bidi="ar-SA"/>
        </w:rPr>
      </w:pPr>
      <w:r>
        <w:rPr>
          <w:rFonts w:hint="eastAsia" w:ascii="仿宋" w:hAnsi="仿宋" w:eastAsia="仿宋" w:cs="黑体"/>
          <w:kern w:val="2"/>
          <w:sz w:val="32"/>
          <w:szCs w:val="32"/>
          <w:highlight w:val="none"/>
          <w:lang w:val="en-US" w:eastAsia="zh-CN" w:bidi="ar-SA"/>
        </w:rPr>
        <w:t>3、</w:t>
      </w:r>
      <w:r>
        <w:rPr>
          <w:rFonts w:hint="eastAsia" w:ascii="仿宋" w:hAnsi="仿宋" w:eastAsia="仿宋"/>
          <w:sz w:val="32"/>
          <w:szCs w:val="32"/>
          <w:lang w:val="en-US" w:eastAsia="zh-CN"/>
        </w:rPr>
        <w:t>坚持我国宗教中国化方向，切实维护宗教领域的和谐稳定。</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坚持我国宗教中国化方向，切实维护宗教领域的和谐稳定。主要用于全区宗教活动场制财务审计；深化“双创四进”创建提档升级，制作宣传栏、宣传展板等；开展全区宗教工作培训班和宗教人士政策法规培训，宗教人士走访慰问，购买计算机、打印机等费用，部分涉密。</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vertAlign w:val="baseline"/>
          <w:lang w:val="en-US" w:eastAsia="zh-CN"/>
        </w:rPr>
      </w:pPr>
      <w:r>
        <w:rPr>
          <w:rFonts w:hint="eastAsia" w:ascii="仿宋" w:hAnsi="仿宋" w:eastAsia="仿宋"/>
          <w:sz w:val="32"/>
          <w:szCs w:val="32"/>
          <w:lang w:eastAsia="zh-CN"/>
        </w:rPr>
        <w:t>绩效指标：</w:t>
      </w:r>
      <w:r>
        <w:rPr>
          <w:rFonts w:hint="eastAsia" w:ascii="仿宋" w:hAnsi="仿宋" w:eastAsia="仿宋"/>
          <w:sz w:val="32"/>
          <w:szCs w:val="32"/>
          <w:vertAlign w:val="baseline"/>
          <w:lang w:val="en-US" w:eastAsia="zh-CN"/>
        </w:rPr>
        <w:t>审计宗教场所数量20个，审计报告合格率</w:t>
      </w:r>
      <w:r>
        <w:rPr>
          <w:rFonts w:hint="eastAsia" w:ascii="仿宋" w:hAnsi="仿宋" w:eastAsia="仿宋"/>
          <w:sz w:val="32"/>
          <w:szCs w:val="32"/>
          <w:lang w:val="en-US" w:eastAsia="zh-CN"/>
        </w:rPr>
        <w:t>达到100%</w:t>
      </w:r>
      <w:r>
        <w:rPr>
          <w:rFonts w:hint="eastAsia" w:ascii="仿宋" w:hAnsi="仿宋" w:eastAsia="仿宋"/>
          <w:sz w:val="32"/>
          <w:szCs w:val="32"/>
          <w:vertAlign w:val="baseline"/>
          <w:lang w:val="en-US" w:eastAsia="zh-CN"/>
        </w:rPr>
        <w:t>；宣传栏展板制作数量230块</w:t>
      </w:r>
      <w:r>
        <w:rPr>
          <w:rFonts w:hint="eastAsia" w:ascii="仿宋" w:hAnsi="仿宋" w:eastAsia="仿宋"/>
          <w:sz w:val="32"/>
          <w:szCs w:val="32"/>
          <w:lang w:val="en-US" w:eastAsia="zh-CN"/>
        </w:rPr>
        <w:t>；</w:t>
      </w:r>
      <w:r>
        <w:rPr>
          <w:rFonts w:hint="eastAsia" w:ascii="仿宋" w:hAnsi="仿宋" w:eastAsia="仿宋"/>
          <w:sz w:val="32"/>
          <w:szCs w:val="32"/>
          <w:vertAlign w:val="baseline"/>
          <w:lang w:val="en-US" w:eastAsia="zh-CN"/>
        </w:rPr>
        <w:t>开展培训班数量5次</w:t>
      </w:r>
      <w:r>
        <w:rPr>
          <w:rFonts w:hint="eastAsia" w:ascii="仿宋" w:hAnsi="仿宋" w:eastAsia="仿宋"/>
          <w:sz w:val="32"/>
          <w:szCs w:val="32"/>
          <w:lang w:val="en-US" w:eastAsia="zh-CN"/>
        </w:rPr>
        <w:t>；</w:t>
      </w:r>
      <w:r>
        <w:rPr>
          <w:rFonts w:hint="eastAsia" w:ascii="仿宋" w:hAnsi="仿宋" w:eastAsia="仿宋"/>
          <w:sz w:val="32"/>
          <w:szCs w:val="32"/>
          <w:vertAlign w:val="baseline"/>
          <w:lang w:val="en-US" w:eastAsia="zh-CN"/>
        </w:rPr>
        <w:t>走访慰问宗教团体宗教场所数量20个。</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800" w:firstLineChars="25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4、</w:t>
      </w:r>
      <w:r>
        <w:rPr>
          <w:rFonts w:hint="eastAsia" w:ascii="仿宋" w:hAnsi="仿宋" w:eastAsia="仿宋"/>
          <w:sz w:val="32"/>
          <w:szCs w:val="32"/>
          <w:lang w:val="en-US" w:eastAsia="zh-CN"/>
        </w:rPr>
        <w:t>进一步加强党外知识分子的思想政治引领</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800" w:firstLineChars="25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举办党外知识分子开展党的二十大精神辅导和专题培训班，召开理论学习和座谈会，开展社会服务，不断加强党外知识分子的思想政治引领。</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800" w:firstLineChars="250"/>
        <w:textAlignment w:val="auto"/>
        <w:rPr>
          <w:rFonts w:hint="eastAsia" w:ascii="仿宋" w:hAnsi="仿宋" w:eastAsia="仿宋" w:cs="黑体"/>
          <w:kern w:val="2"/>
          <w:sz w:val="32"/>
          <w:szCs w:val="32"/>
          <w:highlight w:val="yellow"/>
          <w:lang w:val="en-US" w:eastAsia="zh-CN" w:bidi="ar-SA"/>
        </w:rPr>
      </w:pPr>
      <w:r>
        <w:rPr>
          <w:rFonts w:hint="eastAsia" w:ascii="仿宋" w:hAnsi="仿宋" w:eastAsia="仿宋"/>
          <w:sz w:val="32"/>
          <w:szCs w:val="32"/>
          <w:lang w:eastAsia="zh-CN"/>
        </w:rPr>
        <w:t>绩效指标：</w:t>
      </w:r>
      <w:r>
        <w:rPr>
          <w:rFonts w:hint="eastAsia" w:ascii="仿宋" w:hAnsi="仿宋" w:eastAsia="仿宋"/>
          <w:sz w:val="32"/>
          <w:szCs w:val="32"/>
          <w:lang w:val="en-US" w:eastAsia="zh-CN"/>
        </w:rPr>
        <w:t>举办党外知识分子开展党的二十大精神辅导和专题培训班2次，召开理论学习和座谈会3次，开展社会服务4次，不断加强党外知识分子的思想政治引领。</w:t>
      </w:r>
    </w:p>
    <w:p>
      <w:pPr>
        <w:pStyle w:val="15"/>
        <w:keepNext w:val="0"/>
        <w:keepLines w:val="0"/>
        <w:pageBreakBefore w:val="0"/>
        <w:kinsoku/>
        <w:wordWrap/>
        <w:overflowPunct/>
        <w:topLinePunct w:val="0"/>
        <w:autoSpaceDE/>
        <w:autoSpaceDN/>
        <w:bidi w:val="0"/>
        <w:spacing w:line="560" w:lineRule="exact"/>
        <w:jc w:val="both"/>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5、</w:t>
      </w:r>
      <w:r>
        <w:rPr>
          <w:rFonts w:hint="eastAsia" w:ascii="仿宋" w:hAnsi="仿宋" w:eastAsia="仿宋"/>
          <w:sz w:val="32"/>
          <w:szCs w:val="32"/>
          <w:lang w:val="en-US" w:eastAsia="zh-CN"/>
        </w:rPr>
        <w:t>通过组织民主党派学习教育相关培训，保障民主党派工作正常开展</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cs="黑体"/>
          <w:kern w:val="2"/>
          <w:sz w:val="32"/>
          <w:szCs w:val="32"/>
          <w:highlight w:val="none"/>
          <w:lang w:val="en-US" w:eastAsia="zh-CN" w:bidi="ar-SA"/>
        </w:rPr>
        <w:t>绩效目标：</w:t>
      </w:r>
      <w:r>
        <w:rPr>
          <w:rFonts w:hint="eastAsia" w:ascii="仿宋" w:hAnsi="仿宋" w:eastAsia="仿宋"/>
          <w:sz w:val="32"/>
          <w:szCs w:val="32"/>
          <w:lang w:val="en-US" w:eastAsia="zh-CN"/>
        </w:rPr>
        <w:t>组织民主党派学习教育相关培训班、召开相关座谈会、组织调研、完成调研报告及购买办公室设备，保障民主党派工作正常开展，并进一步贯彻落实习近平总书记提出的“找出最大公约数画出最大同心圆”的重要指示。</w:t>
      </w:r>
    </w:p>
    <w:p>
      <w:pPr>
        <w:keepNext w:val="0"/>
        <w:keepLines w:val="0"/>
        <w:pageBreakBefore w:val="0"/>
        <w:kinsoku/>
        <w:wordWrap/>
        <w:overflowPunct/>
        <w:topLinePunct w:val="0"/>
        <w:autoSpaceDE/>
        <w:autoSpaceDN/>
        <w:bidi w:val="0"/>
        <w:spacing w:line="560" w:lineRule="exact"/>
        <w:ind w:firstLine="640" w:firstLineChars="200"/>
        <w:jc w:val="both"/>
        <w:rPr>
          <w:rFonts w:hint="default" w:ascii="仿宋" w:hAnsi="仿宋" w:eastAsia="仿宋" w:cs="黑体"/>
          <w:kern w:val="2"/>
          <w:sz w:val="32"/>
          <w:szCs w:val="32"/>
          <w:highlight w:val="yellow"/>
          <w:lang w:val="en-US" w:eastAsia="zh-CN" w:bidi="ar-SA"/>
        </w:rPr>
      </w:pPr>
      <w:r>
        <w:rPr>
          <w:rFonts w:hint="eastAsia" w:ascii="仿宋" w:hAnsi="仿宋" w:eastAsia="仿宋" w:cs="黑体"/>
          <w:kern w:val="2"/>
          <w:sz w:val="32"/>
          <w:szCs w:val="32"/>
          <w:highlight w:val="none"/>
          <w:lang w:val="en-US" w:eastAsia="zh-CN" w:bidi="ar-SA"/>
        </w:rPr>
        <w:t>绩效指标：</w:t>
      </w:r>
      <w:r>
        <w:rPr>
          <w:rFonts w:hint="eastAsia" w:ascii="仿宋" w:hAnsi="仿宋" w:eastAsia="仿宋"/>
          <w:sz w:val="32"/>
          <w:szCs w:val="32"/>
          <w:lang w:val="en-US" w:eastAsia="zh-CN"/>
        </w:rPr>
        <w:t>举办民主党派学习教育相关培训班2次，召开相关座谈会3次，组织调研3次，完成调研报告2篇，购买计算机1台，保障民主党派工作正常开展。</w:t>
      </w:r>
    </w:p>
    <w:p>
      <w:pPr>
        <w:keepNext w:val="0"/>
        <w:keepLines w:val="0"/>
        <w:pageBreakBefore w:val="0"/>
        <w:kinsoku/>
        <w:wordWrap/>
        <w:overflowPunct/>
        <w:topLinePunct w:val="0"/>
        <w:autoSpaceDE/>
        <w:autoSpaceDN/>
        <w:bidi w:val="0"/>
        <w:spacing w:line="560" w:lineRule="exact"/>
        <w:ind w:firstLine="640" w:firstLineChars="200"/>
        <w:jc w:val="both"/>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kinsoku/>
        <w:wordWrap/>
        <w:overflowPunct/>
        <w:topLinePunct w:val="0"/>
        <w:autoSpaceDE/>
        <w:autoSpaceDN/>
        <w:bidi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9"/>
        <w:gridCol w:w="2415"/>
        <w:gridCol w:w="2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8"/>
              <w:keepNext w:val="0"/>
              <w:keepLines w:val="0"/>
              <w:pageBreakBefore w:val="0"/>
              <w:kinsoku/>
              <w:wordWrap/>
              <w:overflowPunct/>
              <w:topLinePunct w:val="0"/>
              <w:autoSpaceDE/>
              <w:autoSpaceDN/>
              <w:bidi w:val="0"/>
              <w:spacing w:line="560" w:lineRule="exact"/>
              <w:jc w:val="both"/>
              <w:rPr>
                <w:highlight w:val="none"/>
                <w:vertAlign w:val="baseline"/>
              </w:rPr>
            </w:pPr>
            <w:r>
              <w:rPr>
                <w:rFonts w:hint="eastAsia"/>
                <w:highlight w:val="none"/>
                <w:vertAlign w:val="baseline"/>
              </w:rPr>
              <w:t>项目名称</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highlight w:val="none"/>
                <w:vertAlign w:val="baseline"/>
              </w:rPr>
            </w:pPr>
            <w:r>
              <w:rPr>
                <w:rFonts w:hint="eastAsia"/>
                <w:highlight w:val="none"/>
                <w:vertAlign w:val="baseline"/>
              </w:rPr>
              <w:t>自评得分</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highlight w:val="none"/>
                <w:vertAlign w:val="baseline"/>
              </w:rPr>
            </w:pPr>
            <w:r>
              <w:rPr>
                <w:rFonts w:hint="eastAsia"/>
                <w:highlight w:val="none"/>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i w:val="0"/>
                <w:color w:val="000000"/>
                <w:kern w:val="0"/>
                <w:sz w:val="20"/>
                <w:szCs w:val="20"/>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统战工作协调机制专项经费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100</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lang w:eastAsia="zh-CN"/>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i w:val="0"/>
                <w:color w:val="000000"/>
                <w:kern w:val="0"/>
                <w:sz w:val="20"/>
                <w:szCs w:val="20"/>
                <w:highlight w:val="yellow"/>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台侨工作经费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i w:val="0"/>
                <w:color w:val="000000"/>
                <w:kern w:val="0"/>
                <w:sz w:val="20"/>
                <w:szCs w:val="20"/>
                <w:highlight w:val="yellow"/>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民宗宗教工作专项经费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default" w:ascii="仿宋" w:hAnsi="仿宋" w:eastAsia="仿宋" w:cs="仿宋"/>
                <w:highlight w:val="none"/>
                <w:vertAlign w:val="baseline"/>
                <w:lang w:val="en-US"/>
              </w:rPr>
            </w:pPr>
            <w:r>
              <w:rPr>
                <w:rFonts w:hint="eastAsia" w:ascii="仿宋" w:hAnsi="仿宋" w:eastAsia="仿宋" w:cs="仿宋"/>
                <w:highlight w:val="none"/>
                <w:vertAlign w:val="baseline"/>
                <w:lang w:val="en-US" w:eastAsia="zh-CN"/>
              </w:rPr>
              <w:t>98</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民主党派工作经费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退役军人劳务派遣工资</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党外知识分子工作经费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关于下达2023年省级基层宗教事务管理补助经费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default" w:ascii="仿宋" w:hAnsi="仿宋" w:eastAsia="仿宋" w:cs="仿宋"/>
                <w:highlight w:val="none"/>
                <w:vertAlign w:val="baseline"/>
                <w:lang w:val="en-US"/>
              </w:rPr>
            </w:pPr>
            <w:r>
              <w:rPr>
                <w:rFonts w:hint="eastAsia" w:ascii="仿宋" w:hAnsi="仿宋" w:eastAsia="仿宋" w:cs="仿宋"/>
                <w:highlight w:val="none"/>
                <w:vertAlign w:val="baseline"/>
                <w:lang w:val="en-US" w:eastAsia="zh-CN"/>
              </w:rPr>
              <w:t>99</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宗教基层治理工作队经费</w:t>
            </w:r>
          </w:p>
        </w:tc>
        <w:tc>
          <w:tcPr>
            <w:tcW w:w="2415"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val="en-US" w:eastAsia="zh-CN"/>
              </w:rPr>
              <w:t>100</w:t>
            </w:r>
          </w:p>
        </w:tc>
        <w:tc>
          <w:tcPr>
            <w:tcW w:w="2097" w:type="dxa"/>
            <w:vAlign w:val="center"/>
          </w:tcPr>
          <w:p>
            <w:pPr>
              <w:pStyle w:val="8"/>
              <w:keepNext w:val="0"/>
              <w:keepLines w:val="0"/>
              <w:pageBreakBefore w:val="0"/>
              <w:kinsoku/>
              <w:wordWrap/>
              <w:overflowPunct/>
              <w:topLinePunct w:val="0"/>
              <w:autoSpaceDE/>
              <w:autoSpaceDN/>
              <w:bidi w:val="0"/>
              <w:spacing w:line="560" w:lineRule="exact"/>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bl>
    <w:p>
      <w:pPr>
        <w:keepNext w:val="0"/>
        <w:keepLines w:val="0"/>
        <w:pageBreakBefore w:val="0"/>
        <w:numPr>
          <w:ilvl w:val="0"/>
          <w:numId w:val="0"/>
        </w:numPr>
        <w:kinsoku/>
        <w:wordWrap/>
        <w:overflowPunct/>
        <w:topLinePunct w:val="0"/>
        <w:autoSpaceDE/>
        <w:autoSpaceDN/>
        <w:bidi w:val="0"/>
        <w:spacing w:line="560" w:lineRule="exact"/>
        <w:ind w:firstLine="640" w:firstLineChars="200"/>
        <w:jc w:val="both"/>
        <w:rPr>
          <w:rFonts w:hint="eastAsia" w:ascii="黑体" w:hAnsi="黑体" w:eastAsia="黑体"/>
          <w:sz w:val="32"/>
          <w:szCs w:val="32"/>
        </w:rPr>
      </w:pPr>
      <w:r>
        <w:rPr>
          <w:rFonts w:hint="eastAsia" w:ascii="黑体" w:hAnsi="黑体" w:eastAsia="黑体"/>
          <w:sz w:val="32"/>
          <w:szCs w:val="32"/>
          <w:lang w:eastAsia="zh-CN"/>
        </w:rPr>
        <w:t>五、</w:t>
      </w:r>
      <w:r>
        <w:rPr>
          <w:rFonts w:hint="eastAsia" w:ascii="黑体" w:hAnsi="黑体" w:eastAsia="黑体"/>
          <w:sz w:val="32"/>
          <w:szCs w:val="32"/>
        </w:rPr>
        <w:t>评价工作组人员名单及签字（姓名、工作单位、职务、职称）</w:t>
      </w:r>
    </w:p>
    <w:p>
      <w:pPr>
        <w:pStyle w:val="8"/>
        <w:keepNext w:val="0"/>
        <w:keepLines w:val="0"/>
        <w:pageBreakBefore w:val="0"/>
        <w:numPr>
          <w:ilvl w:val="0"/>
          <w:numId w:val="0"/>
        </w:numPr>
        <w:kinsoku/>
        <w:wordWrap/>
        <w:overflowPunct/>
        <w:topLinePunct w:val="0"/>
        <w:autoSpaceDE/>
        <w:autoSpaceDN/>
        <w:bidi w:val="0"/>
        <w:spacing w:line="560" w:lineRule="exact"/>
        <w:jc w:val="both"/>
        <w:rPr>
          <w:rFonts w:hint="eastAsia"/>
          <w:lang w:val="en-US" w:eastAsia="zh-CN"/>
        </w:rPr>
      </w:pPr>
      <w:r>
        <w:rPr>
          <w:rFonts w:hint="eastAsia"/>
          <w:lang w:val="en-US" w:eastAsia="zh-CN"/>
        </w:rPr>
        <w:t>杜建峰  区委统战部   常务副部长</w:t>
      </w:r>
    </w:p>
    <w:p>
      <w:pPr>
        <w:pStyle w:val="8"/>
        <w:keepNext w:val="0"/>
        <w:keepLines w:val="0"/>
        <w:pageBreakBefore w:val="0"/>
        <w:numPr>
          <w:ilvl w:val="0"/>
          <w:numId w:val="0"/>
        </w:numPr>
        <w:kinsoku/>
        <w:wordWrap/>
        <w:overflowPunct/>
        <w:topLinePunct w:val="0"/>
        <w:autoSpaceDE/>
        <w:autoSpaceDN/>
        <w:bidi w:val="0"/>
        <w:spacing w:line="560" w:lineRule="exact"/>
        <w:jc w:val="both"/>
        <w:rPr>
          <w:rFonts w:hint="eastAsia"/>
          <w:lang w:val="en-US" w:eastAsia="zh-CN"/>
        </w:rPr>
      </w:pPr>
      <w:r>
        <w:rPr>
          <w:rFonts w:hint="eastAsia"/>
          <w:lang w:val="en-US" w:eastAsia="zh-CN"/>
        </w:rPr>
        <w:t>李建江  区委统战部   副部长</w:t>
      </w:r>
    </w:p>
    <w:p>
      <w:pPr>
        <w:pStyle w:val="8"/>
        <w:keepNext w:val="0"/>
        <w:keepLines w:val="0"/>
        <w:pageBreakBefore w:val="0"/>
        <w:numPr>
          <w:ilvl w:val="0"/>
          <w:numId w:val="0"/>
        </w:numPr>
        <w:kinsoku/>
        <w:wordWrap/>
        <w:overflowPunct/>
        <w:topLinePunct w:val="0"/>
        <w:autoSpaceDE/>
        <w:autoSpaceDN/>
        <w:bidi w:val="0"/>
        <w:spacing w:line="560" w:lineRule="exact"/>
        <w:jc w:val="both"/>
        <w:rPr>
          <w:rFonts w:hint="eastAsia"/>
          <w:lang w:val="en-US" w:eastAsia="zh-CN"/>
        </w:rPr>
      </w:pPr>
      <w:r>
        <w:rPr>
          <w:rFonts w:hint="eastAsia"/>
          <w:lang w:val="en-US" w:eastAsia="zh-CN"/>
        </w:rPr>
        <w:t>李建东  区委统战部   办公室主任、台侨股股长</w:t>
      </w:r>
    </w:p>
    <w:p>
      <w:pPr>
        <w:pStyle w:val="8"/>
        <w:keepNext w:val="0"/>
        <w:keepLines w:val="0"/>
        <w:pageBreakBefore w:val="0"/>
        <w:numPr>
          <w:ilvl w:val="0"/>
          <w:numId w:val="0"/>
        </w:numPr>
        <w:kinsoku/>
        <w:wordWrap/>
        <w:overflowPunct/>
        <w:topLinePunct w:val="0"/>
        <w:autoSpaceDE/>
        <w:autoSpaceDN/>
        <w:bidi w:val="0"/>
        <w:spacing w:line="560" w:lineRule="exact"/>
        <w:jc w:val="both"/>
        <w:rPr>
          <w:rFonts w:hint="eastAsia"/>
          <w:lang w:val="en-US" w:eastAsia="zh-CN"/>
        </w:rPr>
      </w:pPr>
      <w:r>
        <w:rPr>
          <w:rFonts w:hint="eastAsia"/>
          <w:lang w:val="en-US" w:eastAsia="zh-CN"/>
        </w:rPr>
        <w:t>邢  燕  区委统战部   民宗股负责人</w:t>
      </w:r>
    </w:p>
    <w:p>
      <w:pPr>
        <w:pStyle w:val="8"/>
        <w:keepNext w:val="0"/>
        <w:keepLines w:val="0"/>
        <w:pageBreakBefore w:val="0"/>
        <w:numPr>
          <w:ilvl w:val="0"/>
          <w:numId w:val="0"/>
        </w:numPr>
        <w:kinsoku/>
        <w:wordWrap/>
        <w:overflowPunct/>
        <w:topLinePunct w:val="0"/>
        <w:autoSpaceDE/>
        <w:autoSpaceDN/>
        <w:bidi w:val="0"/>
        <w:spacing w:line="560" w:lineRule="exact"/>
        <w:jc w:val="both"/>
        <w:rPr>
          <w:rFonts w:ascii="仿宋" w:hAnsi="仿宋" w:eastAsia="仿宋"/>
        </w:rPr>
      </w:pPr>
      <w:r>
        <w:rPr>
          <w:rFonts w:hint="eastAsia"/>
          <w:lang w:val="en-US" w:eastAsia="zh-CN"/>
        </w:rPr>
        <w:t>王  楠  区委统战部   非公经济、党外知识分子联络股负责人</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ystem-ui">
    <w:altName w:val="Segoe Print"/>
    <w:panose1 w:val="00000000000000000000"/>
    <w:charset w:val="00"/>
    <w:family w:val="auto"/>
    <w:pitch w:val="default"/>
    <w:sig w:usb0="00000000" w:usb1="00000000" w:usb2="00000000" w:usb3="00000000" w:csb0="00040001" w:csb1="00000000"/>
  </w:font>
  <w:font w:name="PingFangSC-light">
    <w:altName w:val="Segoe Print"/>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Cambria">
    <w:panose1 w:val="02040503050406030204"/>
    <w:charset w:val="00"/>
    <w:family w:val="roman"/>
    <w:pitch w:val="default"/>
    <w:sig w:usb0="E00002FF" w:usb1="400004FF" w:usb2="00000000" w:usb3="00000000" w:csb0="2000019F" w:csb1="00000000"/>
  </w:font>
  <w:font w:name="Arial">
    <w:panose1 w:val="020B0604020202020204"/>
    <w:charset w:val="00"/>
    <w:family w:val="auto"/>
    <w:pitch w:val="default"/>
    <w:sig w:usb0="E0002AFF" w:usb1="C0007843" w:usb2="00000009" w:usb3="00000000" w:csb0="400001FF" w:csb1="FFFF0000"/>
  </w:font>
  <w:font w:name="楷体_GB2312">
    <w:panose1 w:val="02010609030101010101"/>
    <w:charset w:val="86"/>
    <w:family w:val="auto"/>
    <w:pitch w:val="default"/>
    <w:sig w:usb0="00000001" w:usb1="080E0000" w:usb2="00000000" w:usb3="00000000" w:csb0="00040000" w:csb1="00000000"/>
  </w:font>
  <w:font w:name="汉仪中宋简">
    <w:altName w:val="宋体"/>
    <w:panose1 w:val="00000000000000000000"/>
    <w:charset w:val="00"/>
    <w:family w:val="auto"/>
    <w:pitch w:val="default"/>
    <w:sig w:usb0="00000000" w:usb1="00000000" w:usb2="00000000" w:usb3="00000000" w:csb0="00000000" w:csb1="00000000"/>
  </w:font>
  <w:font w:name="mp-quote">
    <w:altName w:val="Segoe Print"/>
    <w:panose1 w:val="00000000000000000000"/>
    <w:charset w:val="00"/>
    <w:family w:val="auto"/>
    <w:pitch w:val="default"/>
    <w:sig w:usb0="00000000" w:usb1="00000000" w:usb2="00000000" w:usb3="00000000" w:csb0="00000000" w:csb1="00000000"/>
  </w:font>
  <w:font w:name="黑体">
    <w:panose1 w:val="02010600030101010101"/>
    <w:charset w:val="86"/>
    <w:family w:val="auto"/>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方正仿宋_GBK">
    <w:altName w:val="宋体"/>
    <w:panose1 w:val="00000000000000000000"/>
    <w:charset w:val="86"/>
    <w:family w:val="modern"/>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23548435">
    <w:nsid w:val="075D3313"/>
    <w:multiLevelType w:val="singleLevel"/>
    <w:tmpl w:val="075D3313"/>
    <w:lvl w:ilvl="0" w:tentative="1">
      <w:start w:val="2"/>
      <w:numFmt w:val="chineseCounting"/>
      <w:suff w:val="nothing"/>
      <w:lvlText w:val="（%1）"/>
      <w:lvlJc w:val="left"/>
      <w:rPr>
        <w:rFonts w:hint="eastAsia"/>
      </w:rPr>
    </w:lvl>
  </w:abstractNum>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abstractNum w:abstractNumId="1583892635">
    <w:nsid w:val="5E68489B"/>
    <w:multiLevelType w:val="singleLevel"/>
    <w:tmpl w:val="5E68489B"/>
    <w:lvl w:ilvl="0" w:tentative="1">
      <w:start w:val="1"/>
      <w:numFmt w:val="chineseCounting"/>
      <w:suff w:val="nothing"/>
      <w:lvlText w:val="（%1）"/>
      <w:lvlJc w:val="left"/>
      <w:rPr>
        <w:rFonts w:ascii="楷体" w:hAnsi="楷体" w:eastAsia="楷体"/>
      </w:rPr>
    </w:lvl>
  </w:abstractNum>
  <w:abstractNum w:abstractNumId="887292374">
    <w:nsid w:val="34E301D6"/>
    <w:multiLevelType w:val="singleLevel"/>
    <w:tmpl w:val="34E301D6"/>
    <w:lvl w:ilvl="0" w:tentative="1">
      <w:start w:val="2"/>
      <w:numFmt w:val="decimal"/>
      <w:suff w:val="nothing"/>
      <w:lvlText w:val="%1、"/>
      <w:lvlJc w:val="left"/>
    </w:lvl>
  </w:abstractNum>
  <w:num w:numId="1">
    <w:abstractNumId w:val="123548435"/>
  </w:num>
  <w:num w:numId="2">
    <w:abstractNumId w:val="85371521"/>
  </w:num>
  <w:num w:numId="3">
    <w:abstractNumId w:val="1583892635"/>
  </w:num>
  <w:num w:numId="4">
    <w:abstractNumId w:val="88729237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DZmM2U0ZmM2OTZmZDE4YTNkNDJmOGNhM2E0YmNiODAifQ=="/>
  </w:docVars>
  <w:rsids>
    <w:rsidRoot w:val="0EBD2122"/>
    <w:rsid w:val="000B0260"/>
    <w:rsid w:val="00566EC5"/>
    <w:rsid w:val="007E6C1F"/>
    <w:rsid w:val="00956A93"/>
    <w:rsid w:val="009E575C"/>
    <w:rsid w:val="00AF167E"/>
    <w:rsid w:val="00AF566A"/>
    <w:rsid w:val="00B478EA"/>
    <w:rsid w:val="00B6553A"/>
    <w:rsid w:val="00BC6576"/>
    <w:rsid w:val="00CE06BA"/>
    <w:rsid w:val="00F441CC"/>
    <w:rsid w:val="013E7870"/>
    <w:rsid w:val="01B104CA"/>
    <w:rsid w:val="02106AB0"/>
    <w:rsid w:val="02B43A28"/>
    <w:rsid w:val="046F331E"/>
    <w:rsid w:val="07956271"/>
    <w:rsid w:val="09721397"/>
    <w:rsid w:val="0BB63BED"/>
    <w:rsid w:val="0EB97A43"/>
    <w:rsid w:val="0EBD2122"/>
    <w:rsid w:val="0F214EAE"/>
    <w:rsid w:val="0FD057C2"/>
    <w:rsid w:val="11B71E6A"/>
    <w:rsid w:val="12CE651F"/>
    <w:rsid w:val="14F12106"/>
    <w:rsid w:val="18BF4F1D"/>
    <w:rsid w:val="1A440622"/>
    <w:rsid w:val="1AAF0063"/>
    <w:rsid w:val="1B283ED2"/>
    <w:rsid w:val="1BE140DE"/>
    <w:rsid w:val="20DD7547"/>
    <w:rsid w:val="22560183"/>
    <w:rsid w:val="248C197D"/>
    <w:rsid w:val="252959AF"/>
    <w:rsid w:val="25D77FC8"/>
    <w:rsid w:val="277A6671"/>
    <w:rsid w:val="292D35B7"/>
    <w:rsid w:val="29BB384C"/>
    <w:rsid w:val="2C037EE2"/>
    <w:rsid w:val="2F3F5AB6"/>
    <w:rsid w:val="2FC96480"/>
    <w:rsid w:val="315058D8"/>
    <w:rsid w:val="31A576C9"/>
    <w:rsid w:val="32817910"/>
    <w:rsid w:val="337A619E"/>
    <w:rsid w:val="33EB6CFF"/>
    <w:rsid w:val="358E147B"/>
    <w:rsid w:val="35A12947"/>
    <w:rsid w:val="37387040"/>
    <w:rsid w:val="3A307AF2"/>
    <w:rsid w:val="3B625C0A"/>
    <w:rsid w:val="3CEE1963"/>
    <w:rsid w:val="403558E9"/>
    <w:rsid w:val="403769F4"/>
    <w:rsid w:val="42E80B9C"/>
    <w:rsid w:val="436B78D3"/>
    <w:rsid w:val="485B097E"/>
    <w:rsid w:val="488D3490"/>
    <w:rsid w:val="4AE504B9"/>
    <w:rsid w:val="4C9C27FE"/>
    <w:rsid w:val="4EF0512D"/>
    <w:rsid w:val="512260B4"/>
    <w:rsid w:val="52BD6ACB"/>
    <w:rsid w:val="55537534"/>
    <w:rsid w:val="561A74F1"/>
    <w:rsid w:val="56A83229"/>
    <w:rsid w:val="597244E8"/>
    <w:rsid w:val="5EB71C30"/>
    <w:rsid w:val="6218439E"/>
    <w:rsid w:val="62F56DC5"/>
    <w:rsid w:val="63781452"/>
    <w:rsid w:val="64C31C21"/>
    <w:rsid w:val="66AF0CE5"/>
    <w:rsid w:val="69E653D0"/>
    <w:rsid w:val="6AC537CF"/>
    <w:rsid w:val="6CFC46B8"/>
    <w:rsid w:val="6D6B1AAA"/>
    <w:rsid w:val="6E5B14A6"/>
    <w:rsid w:val="711B255E"/>
    <w:rsid w:val="75E152A0"/>
    <w:rsid w:val="7AD642BD"/>
    <w:rsid w:val="7AE30A5B"/>
    <w:rsid w:val="7B457BB6"/>
    <w:rsid w:val="7BB51E06"/>
    <w:rsid w:val="7C387F7C"/>
    <w:rsid w:val="7C507E72"/>
    <w:rsid w:val="7E19381F"/>
    <w:rsid w:val="7EBD0F17"/>
    <w:rsid w:val="7FB63357"/>
    <w:rsid w:val="7FE83423"/>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无间隔1"/>
    <w:basedOn w:val="1"/>
    <w:qFormat/>
    <w:uiPriority w:val="0"/>
    <w:rPr>
      <w:rFonts w:ascii="宋体" w:hAnsi="宋体" w:eastAsia="仿宋_GB2312"/>
      <w:sz w:val="32"/>
      <w:szCs w:val="32"/>
    </w:rPr>
  </w:style>
  <w:style w:type="paragraph" w:customStyle="1" w:styleId="9">
    <w:name w:val="插入文本样式-插入部门职责文件"/>
    <w:basedOn w:val="1"/>
    <w:qFormat/>
    <w:uiPriority w:val="0"/>
    <w:pPr>
      <w:spacing w:line="500" w:lineRule="exact"/>
      <w:ind w:firstLine="560"/>
    </w:pPr>
    <w:rPr>
      <w:rFonts w:eastAsia="方正仿宋_GBK"/>
      <w:sz w:val="28"/>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100</Words>
  <Characters>570</Characters>
  <Lines>4</Lines>
  <Paragraphs>1</Paragraphs>
  <TotalTime>0</TotalTime>
  <ScaleCrop>false</ScaleCrop>
  <LinksUpToDate>false</LinksUpToDate>
  <CharactersWithSpaces>669</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2024-04-25T07:53:00Z</cp:lastPrinted>
  <dcterms:modified xsi:type="dcterms:W3CDTF">2024-05-21T08:07:44Z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96934721B1514D3FBAA28020338CE855_12</vt:lpwstr>
  </property>
</Properties>
</file>