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560" w:lineRule="exact"/>
        <w:ind w:left="0" w:leftChars="0" w:right="0"/>
        <w:jc w:val="center"/>
        <w:textAlignment w:val="auto"/>
        <w:outlineLvl w:val="9"/>
        <w:rPr>
          <w:rFonts w:hint="eastAsia" w:ascii="宋体" w:hAnsi="宋体" w:cs="宋体"/>
          <w:b/>
          <w:bCs/>
          <w:sz w:val="44"/>
          <w:szCs w:val="44"/>
        </w:rPr>
      </w:pPr>
    </w:p>
    <w:p>
      <w:pPr>
        <w:spacing w:line="560" w:lineRule="exact"/>
        <w:jc w:val="center"/>
        <w:rPr>
          <w:rFonts w:hint="eastAsia" w:ascii="宋体" w:hAnsi="宋体" w:cs="宋体"/>
          <w:b/>
          <w:bCs/>
          <w:sz w:val="44"/>
          <w:szCs w:val="44"/>
          <w:lang w:eastAsia="zh-CN"/>
        </w:rPr>
      </w:pPr>
      <w:r>
        <w:rPr>
          <w:rFonts w:hint="eastAsia" w:ascii="宋体" w:hAnsi="宋体" w:cs="宋体"/>
          <w:b/>
          <w:bCs/>
          <w:sz w:val="44"/>
          <w:szCs w:val="44"/>
        </w:rPr>
        <w:t>石家庄市鹿泉区</w:t>
      </w:r>
      <w:r>
        <w:rPr>
          <w:rFonts w:hint="eastAsia" w:ascii="宋体" w:hAnsi="宋体" w:cs="宋体"/>
          <w:b/>
          <w:bCs/>
          <w:sz w:val="44"/>
          <w:szCs w:val="44"/>
          <w:lang w:eastAsia="zh-CN"/>
        </w:rPr>
        <w:t>教育局</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w:t>
      </w:r>
      <w:bookmarkStart w:id="0" w:name="_GoBack"/>
      <w:r>
        <w:rPr>
          <w:rFonts w:hint="eastAsia" w:ascii="宋体" w:hAnsi="宋体" w:cs="宋体"/>
          <w:b/>
          <w:bCs/>
          <w:sz w:val="44"/>
          <w:szCs w:val="44"/>
        </w:rPr>
        <w:t>整体支出绩效自评报告</w:t>
      </w:r>
      <w:bookmarkEnd w:id="0"/>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贯彻落实石家庄市鹿泉区人民政府《关于全面实施预算绩效管理的实施意见》（鹿发﹝2019﹞8号）文件精神，遵循“科学性、规范性、客观性和公正性”的原则，石家庄市鹿泉区</w:t>
      </w:r>
      <w:r>
        <w:rPr>
          <w:rFonts w:hint="eastAsia" w:ascii="仿宋" w:hAnsi="仿宋" w:eastAsia="仿宋"/>
          <w:sz w:val="32"/>
          <w:szCs w:val="32"/>
          <w:lang w:eastAsia="zh-CN"/>
        </w:rPr>
        <w:t>教育局</w:t>
      </w:r>
      <w:r>
        <w:rPr>
          <w:rFonts w:hint="eastAsia" w:ascii="仿宋" w:hAnsi="仿宋" w:eastAsia="仿宋"/>
          <w:sz w:val="32"/>
          <w:szCs w:val="32"/>
        </w:rPr>
        <w:t>学对202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一、单位</w:t>
      </w:r>
      <w:r>
        <w:rPr>
          <w:rFonts w:hint="eastAsia" w:ascii="黑体" w:hAnsi="黑体" w:eastAsia="黑体"/>
          <w:sz w:val="32"/>
          <w:szCs w:val="36"/>
        </w:rPr>
        <w:t>基本情况</w:t>
      </w:r>
    </w:p>
    <w:p>
      <w:pPr>
        <w:adjustRightInd w:val="0"/>
        <w:snapToGrid w:val="0"/>
        <w:spacing w:line="560" w:lineRule="exact"/>
        <w:ind w:firstLine="643" w:firstLineChars="200"/>
        <w:rPr>
          <w:rFonts w:hint="eastAsia" w:ascii="仿宋" w:hAnsi="仿宋" w:eastAsia="仿宋" w:cs="楷体_GB2312"/>
          <w:b/>
          <w:bCs/>
          <w:sz w:val="32"/>
          <w:szCs w:val="32"/>
          <w:lang w:eastAsia="zh-CN"/>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部门职能</w:t>
      </w:r>
    </w:p>
    <w:p>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1、贯彻执行上级有关教育工作的法律、法规、方针和政策，制定具体实施办法和细则。</w:t>
      </w:r>
    </w:p>
    <w:p>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2、按照教育发展要求和我区经济社会发展总体规划，制定全区教育事业发展规划、年度计划，并组织实施。</w:t>
      </w:r>
    </w:p>
    <w:p>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3、负责推进义务教育均衡发展和促进教育公平，综合管理全区基础教育、职业技术教育、成人教育及幼儿教育、特殊教育等工作；审核管理权限内的学校的设置、更名和撤销并按程序报批负责教育督导与评估；负责全区语言文字工作。</w:t>
      </w:r>
    </w:p>
    <w:p>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4、统筹规划、协调指导全区办学体制和学校内部管理体制改革，逐步建立与社会主义市场经济相适应的教育体制与运行机制。</w:t>
      </w:r>
    </w:p>
    <w:p>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5、加强教育行政干部队伍建设；积极开展各类继续教育工作；负责管理权限内，教师专业技术职称评聘工作。</w:t>
      </w:r>
    </w:p>
    <w:p>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6、统筹规划使用教育经费，加强审计，提高教育经费的使用效益，改善全区办学条件。做好校舍建设的规划实施，合理调整农村中小学布局。组织指导教学设备的购置、使用和管理。</w:t>
      </w:r>
    </w:p>
    <w:p>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7、指导各级各类学校的德育、智育、体育、美育、劳动教育、艺术教育、国防教育和法制教育工作；指导学校开展教育</w:t>
      </w:r>
    </w:p>
    <w:p>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教学研究；统筹规划、协调指导远程教育和教育信息化工作。</w:t>
      </w:r>
    </w:p>
    <w:p>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8、负责教师资格认定相关工作。</w:t>
      </w:r>
    </w:p>
    <w:p>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9、组织全区各级各类学校的招生报名、考试和自考、成考工作。</w:t>
      </w:r>
    </w:p>
    <w:p>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10、负责全区教育系统安全和维护稳定工作；会同有关部门开展学校安全、学校及周边环境治理、预防青少年犯罪工作；指导、协调教育系统重大安全事故的处理。</w:t>
      </w:r>
    </w:p>
    <w:p>
      <w:pPr>
        <w:adjustRightInd w:val="0"/>
        <w:snapToGrid w:val="0"/>
        <w:spacing w:line="560" w:lineRule="exact"/>
        <w:ind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11、加强对社会力量办学指导和监督。负责个人或其他组织举办的中等以下（中专类除外）学校的审批和中等学校的报审工作。</w:t>
      </w:r>
    </w:p>
    <w:p>
      <w:pPr>
        <w:adjustRightInd w:val="0"/>
        <w:snapToGrid w:val="0"/>
        <w:spacing w:line="560" w:lineRule="exact"/>
        <w:ind w:firstLine="640" w:firstLineChars="200"/>
        <w:rPr>
          <w:rFonts w:hint="eastAsia" w:ascii="仿宋_GB2312" w:hAnsi="宋体" w:eastAsia="仿宋_GB2312"/>
          <w:color w:val="000000"/>
          <w:sz w:val="32"/>
          <w:szCs w:val="32"/>
          <w:lang w:eastAsia="zh-CN"/>
        </w:rPr>
      </w:pPr>
      <w:r>
        <w:rPr>
          <w:rFonts w:hint="eastAsia" w:ascii="仿宋_GB2312" w:hAnsi="宋体" w:eastAsia="仿宋_GB2312"/>
          <w:color w:val="000000"/>
          <w:sz w:val="32"/>
          <w:szCs w:val="32"/>
        </w:rPr>
        <w:t>12、承办区政府交办的其他工作</w:t>
      </w:r>
      <w:r>
        <w:rPr>
          <w:rFonts w:hint="eastAsia" w:ascii="仿宋_GB2312" w:hAnsi="宋体" w:eastAsia="仿宋_GB2312"/>
          <w:color w:val="000000"/>
          <w:sz w:val="32"/>
          <w:szCs w:val="32"/>
          <w:lang w:eastAsia="zh-CN"/>
        </w:rPr>
        <w:t>。</w:t>
      </w:r>
    </w:p>
    <w:p>
      <w:pPr>
        <w:spacing w:line="580" w:lineRule="exact"/>
        <w:ind w:firstLine="640" w:firstLineChars="200"/>
        <w:rPr>
          <w:rFonts w:hint="eastAsia" w:ascii="黑体" w:eastAsia="黑体" w:cs="黑体"/>
          <w:kern w:val="0"/>
          <w:sz w:val="32"/>
          <w:szCs w:val="32"/>
        </w:rPr>
      </w:pPr>
      <w:r>
        <w:rPr>
          <w:rFonts w:hint="eastAsia" w:ascii="仿宋_GB2312" w:eastAsia="仿宋_GB2312" w:cs="仿宋_GB2312"/>
          <w:kern w:val="0"/>
          <w:sz w:val="32"/>
          <w:szCs w:val="32"/>
          <w:lang w:eastAsia="zh-CN"/>
        </w:rPr>
        <w:t>（二）</w:t>
      </w:r>
      <w:r>
        <w:rPr>
          <w:rFonts w:hint="eastAsia" w:ascii="黑体" w:eastAsia="黑体" w:cs="黑体"/>
          <w:b w:val="0"/>
          <w:bCs w:val="0"/>
          <w:kern w:val="0"/>
          <w:sz w:val="32"/>
          <w:szCs w:val="32"/>
        </w:rPr>
        <w:t>机构设置</w:t>
      </w:r>
    </w:p>
    <w:p>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w:t>
      </w:r>
      <w:r>
        <w:rPr>
          <w:rFonts w:hint="eastAsia" w:ascii="仿宋_GB2312" w:eastAsia="仿宋_GB2312" w:cs="仿宋_GB2312"/>
          <w:kern w:val="0"/>
          <w:sz w:val="32"/>
          <w:szCs w:val="32"/>
          <w:lang w:val="en-US" w:eastAsia="zh-CN"/>
        </w:rPr>
        <w:t>3</w:t>
      </w:r>
      <w:r>
        <w:rPr>
          <w:rFonts w:hint="eastAsia" w:ascii="仿宋_GB2312" w:eastAsia="仿宋_GB2312" w:cs="仿宋_GB2312"/>
          <w:kern w:val="0"/>
          <w:sz w:val="32"/>
          <w:szCs w:val="32"/>
        </w:rPr>
        <w:t>年度本部门决算汇编范围的独立核算单位（以下简称“单位”）共</w:t>
      </w:r>
      <w:r>
        <w:rPr>
          <w:rFonts w:ascii="仿宋_GB2312" w:eastAsia="仿宋_GB2312" w:cs="仿宋_GB2312"/>
          <w:kern w:val="0"/>
          <w:sz w:val="32"/>
          <w:szCs w:val="32"/>
        </w:rPr>
        <w:t xml:space="preserve">  </w:t>
      </w:r>
      <w:r>
        <w:rPr>
          <w:rFonts w:hint="eastAsia" w:ascii="仿宋_GB2312" w:eastAsia="仿宋_GB2312" w:cs="仿宋_GB2312"/>
          <w:kern w:val="0"/>
          <w:sz w:val="32"/>
          <w:szCs w:val="32"/>
          <w:lang w:val="en-US" w:eastAsia="zh-CN"/>
        </w:rPr>
        <w:t>28</w:t>
      </w:r>
      <w:r>
        <w:rPr>
          <w:rFonts w:hint="eastAsia" w:ascii="仿宋_GB2312" w:eastAsia="仿宋_GB2312" w:cs="仿宋_GB2312"/>
          <w:kern w:val="0"/>
          <w:sz w:val="32"/>
          <w:szCs w:val="32"/>
        </w:rPr>
        <w:t>个，具体情况如下：</w:t>
      </w:r>
    </w:p>
    <w:tbl>
      <w:tblPr>
        <w:tblStyle w:val="4"/>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Times New Roman"/>
                <w:b/>
                <w:bCs/>
                <w:kern w:val="0"/>
                <w:sz w:val="28"/>
                <w:szCs w:val="28"/>
              </w:rPr>
            </w:pPr>
            <w:r>
              <w:rPr>
                <w:rFonts w:hint="eastAsia" w:ascii="仿宋_GB2312" w:hAnsi="Calibri" w:eastAsia="仿宋_GB2312" w:cs="Arial Black"/>
                <w:b/>
                <w:bCs/>
                <w:kern w:val="0"/>
                <w:sz w:val="28"/>
                <w:szCs w:val="28"/>
              </w:rPr>
              <w:t>序号</w:t>
            </w:r>
          </w:p>
        </w:tc>
        <w:tc>
          <w:tcPr>
            <w:tcW w:w="3485" w:type="dxa"/>
            <w:vAlign w:val="center"/>
          </w:tcPr>
          <w:p>
            <w:pPr>
              <w:spacing w:line="560" w:lineRule="exact"/>
              <w:jc w:val="center"/>
              <w:rPr>
                <w:rFonts w:ascii="仿宋_GB2312" w:eastAsia="仿宋_GB2312" w:cs="Times New Roman"/>
                <w:b/>
                <w:bCs/>
                <w:kern w:val="0"/>
                <w:sz w:val="28"/>
                <w:szCs w:val="28"/>
              </w:rPr>
            </w:pPr>
            <w:r>
              <w:rPr>
                <w:rFonts w:hint="eastAsia" w:ascii="仿宋_GB2312" w:hAnsi="Calibri" w:eastAsia="仿宋_GB2312" w:cs="Arial Black"/>
                <w:b/>
                <w:bCs/>
                <w:kern w:val="0"/>
                <w:sz w:val="28"/>
                <w:szCs w:val="28"/>
              </w:rPr>
              <w:t>单位名称</w:t>
            </w:r>
          </w:p>
        </w:tc>
        <w:tc>
          <w:tcPr>
            <w:tcW w:w="2445" w:type="dxa"/>
            <w:vAlign w:val="center"/>
          </w:tcPr>
          <w:p>
            <w:pPr>
              <w:spacing w:line="560" w:lineRule="exact"/>
              <w:jc w:val="center"/>
              <w:rPr>
                <w:rFonts w:ascii="仿宋_GB2312" w:eastAsia="仿宋_GB2312" w:cs="Times New Roman"/>
                <w:b/>
                <w:bCs/>
                <w:kern w:val="0"/>
                <w:sz w:val="28"/>
                <w:szCs w:val="28"/>
              </w:rPr>
            </w:pPr>
            <w:r>
              <w:rPr>
                <w:rFonts w:hint="eastAsia" w:ascii="仿宋_GB2312" w:hAnsi="Calibri" w:eastAsia="仿宋_GB2312" w:cs="Arial Black"/>
                <w:b/>
                <w:bCs/>
                <w:kern w:val="0"/>
                <w:sz w:val="28"/>
                <w:szCs w:val="28"/>
              </w:rPr>
              <w:t>单位基本性质</w:t>
            </w:r>
          </w:p>
        </w:tc>
        <w:tc>
          <w:tcPr>
            <w:tcW w:w="2665" w:type="dxa"/>
            <w:vAlign w:val="center"/>
          </w:tcPr>
          <w:p>
            <w:pPr>
              <w:spacing w:line="560" w:lineRule="exact"/>
              <w:jc w:val="center"/>
              <w:rPr>
                <w:rFonts w:ascii="仿宋_GB2312" w:eastAsia="仿宋_GB2312" w:cs="Times New Roman"/>
                <w:b/>
                <w:bCs/>
                <w:kern w:val="0"/>
                <w:sz w:val="28"/>
                <w:szCs w:val="28"/>
              </w:rPr>
            </w:pPr>
            <w:r>
              <w:rPr>
                <w:rFonts w:hint="eastAsia" w:ascii="仿宋_GB2312" w:hAnsi="Calibri"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vAlign w:val="top"/>
          </w:tcPr>
          <w:p>
            <w:pPr>
              <w:spacing w:line="560" w:lineRule="exact"/>
              <w:jc w:val="center"/>
              <w:rPr>
                <w:rFonts w:ascii="仿宋_GB2312" w:eastAsia="仿宋_GB2312" w:cs="仿宋_GB2312"/>
                <w:kern w:val="0"/>
                <w:sz w:val="28"/>
                <w:szCs w:val="28"/>
              </w:rPr>
            </w:pPr>
            <w:r>
              <w:rPr>
                <w:rFonts w:hint="eastAsia" w:ascii="仿宋_GB2312" w:hAnsi="Calibri" w:eastAsia="仿宋_GB2312" w:cs="ArialUnicodeMS"/>
                <w:kern w:val="0"/>
                <w:sz w:val="28"/>
                <w:szCs w:val="28"/>
              </w:rPr>
              <w:t>1</w:t>
            </w:r>
          </w:p>
        </w:tc>
        <w:tc>
          <w:tcPr>
            <w:tcW w:w="3485" w:type="dxa"/>
            <w:vAlign w:val="center"/>
          </w:tcPr>
          <w:p>
            <w:pPr>
              <w:jc w:val="center"/>
              <w:rPr>
                <w:rFonts w:ascii="仿宋_GB2312" w:eastAsia="仿宋_GB2312" w:cs="仿宋_GB2312"/>
                <w:kern w:val="0"/>
                <w:sz w:val="18"/>
                <w:szCs w:val="18"/>
              </w:rPr>
            </w:pPr>
            <w:r>
              <w:rPr>
                <w:rFonts w:hint="eastAsia" w:ascii="仿宋_GB2312" w:hAnsi="宋体" w:eastAsia="仿宋_GB2312"/>
                <w:kern w:val="0"/>
                <w:sz w:val="18"/>
                <w:szCs w:val="18"/>
              </w:rPr>
              <w:t>鹿泉区教育局（本级）</w:t>
            </w:r>
          </w:p>
        </w:tc>
        <w:tc>
          <w:tcPr>
            <w:tcW w:w="2445" w:type="dxa"/>
            <w:vAlign w:val="center"/>
          </w:tcPr>
          <w:p>
            <w:pPr>
              <w:jc w:val="center"/>
              <w:rPr>
                <w:rFonts w:ascii="仿宋_GB2312" w:eastAsia="仿宋_GB2312" w:cs="Times New Roman"/>
                <w:kern w:val="0"/>
                <w:sz w:val="18"/>
                <w:szCs w:val="18"/>
              </w:rPr>
            </w:pPr>
            <w:r>
              <w:rPr>
                <w:rFonts w:hint="eastAsia" w:ascii="仿宋_GB2312" w:hAnsi="宋体" w:eastAsia="仿宋_GB2312"/>
                <w:kern w:val="0"/>
                <w:sz w:val="18"/>
                <w:szCs w:val="18"/>
              </w:rPr>
              <w:t>行政单位</w:t>
            </w:r>
          </w:p>
        </w:tc>
        <w:tc>
          <w:tcPr>
            <w:tcW w:w="2665" w:type="dxa"/>
            <w:vAlign w:val="center"/>
          </w:tcPr>
          <w:p>
            <w:pPr>
              <w:jc w:val="center"/>
              <w:rPr>
                <w:rFonts w:ascii="仿宋_GB2312" w:eastAsia="仿宋_GB2312" w:cs="Times New Roman"/>
                <w:kern w:val="0"/>
                <w:sz w:val="18"/>
                <w:szCs w:val="18"/>
              </w:rPr>
            </w:pPr>
            <w:r>
              <w:rPr>
                <w:rFonts w:hint="eastAsia" w:ascii="仿宋_GB2312" w:hAnsi="宋体" w:eastAsia="仿宋_GB2312"/>
                <w:kern w:val="0"/>
                <w:sz w:val="18"/>
                <w:szCs w:val="1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vAlign w:val="top"/>
          </w:tcPr>
          <w:p>
            <w:pPr>
              <w:spacing w:line="560" w:lineRule="exact"/>
              <w:jc w:val="center"/>
              <w:rPr>
                <w:rFonts w:ascii="仿宋_GB2312" w:eastAsia="仿宋_GB2312" w:cs="仿宋_GB2312"/>
                <w:kern w:val="0"/>
                <w:sz w:val="28"/>
                <w:szCs w:val="28"/>
              </w:rPr>
            </w:pPr>
            <w:r>
              <w:rPr>
                <w:rFonts w:hint="eastAsia" w:ascii="仿宋_GB2312" w:hAnsi="Calibri" w:eastAsia="仿宋_GB2312" w:cs="ArialUnicodeMS"/>
                <w:kern w:val="0"/>
                <w:sz w:val="28"/>
                <w:szCs w:val="28"/>
              </w:rPr>
              <w:t>2</w:t>
            </w:r>
          </w:p>
        </w:tc>
        <w:tc>
          <w:tcPr>
            <w:tcW w:w="3485" w:type="dxa"/>
            <w:vAlign w:val="center"/>
          </w:tcPr>
          <w:p>
            <w:pPr>
              <w:jc w:val="center"/>
              <w:rPr>
                <w:rFonts w:ascii="仿宋_GB2312" w:eastAsia="仿宋_GB2312" w:cs="Times New Roman"/>
                <w:kern w:val="0"/>
                <w:sz w:val="18"/>
                <w:szCs w:val="18"/>
              </w:rPr>
            </w:pPr>
            <w:r>
              <w:rPr>
                <w:rFonts w:hint="eastAsia" w:ascii="仿宋_GB2312" w:hAnsi="宋体" w:eastAsia="仿宋_GB2312"/>
                <w:kern w:val="0"/>
                <w:sz w:val="18"/>
                <w:szCs w:val="18"/>
              </w:rPr>
              <w:t>鹿泉区第一中学</w:t>
            </w:r>
          </w:p>
        </w:tc>
        <w:tc>
          <w:tcPr>
            <w:tcW w:w="2445" w:type="dxa"/>
            <w:vAlign w:val="top"/>
          </w:tcPr>
          <w:p>
            <w:pPr>
              <w:jc w:val="center"/>
              <w:rPr>
                <w:rFonts w:ascii="仿宋_GB2312" w:eastAsia="仿宋_GB2312" w:cs="Times New Roman"/>
                <w:kern w:val="0"/>
                <w:sz w:val="18"/>
                <w:szCs w:val="18"/>
              </w:rPr>
            </w:pPr>
            <w:r>
              <w:rPr>
                <w:rFonts w:hint="eastAsia" w:ascii="仿宋_GB2312" w:hAnsi="宋体" w:eastAsia="仿宋_GB2312"/>
                <w:kern w:val="0"/>
                <w:sz w:val="18"/>
                <w:szCs w:val="18"/>
              </w:rPr>
              <w:t>财政补助事业单位</w:t>
            </w:r>
          </w:p>
        </w:tc>
        <w:tc>
          <w:tcPr>
            <w:tcW w:w="2665" w:type="dxa"/>
            <w:vAlign w:val="top"/>
          </w:tcPr>
          <w:p>
            <w:pPr>
              <w:jc w:val="center"/>
              <w:rPr>
                <w:rFonts w:ascii="仿宋_GB2312" w:eastAsia="仿宋_GB2312" w:cs="Times New Roman"/>
                <w:kern w:val="0"/>
                <w:sz w:val="18"/>
                <w:szCs w:val="18"/>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exact"/>
          <w:jc w:val="center"/>
        </w:trPr>
        <w:tc>
          <w:tcPr>
            <w:tcW w:w="985" w:type="dxa"/>
            <w:vAlign w:val="top"/>
          </w:tcPr>
          <w:p>
            <w:pPr>
              <w:spacing w:line="560" w:lineRule="exact"/>
              <w:jc w:val="center"/>
              <w:rPr>
                <w:rFonts w:ascii="仿宋_GB2312" w:eastAsia="仿宋_GB2312" w:cs="仿宋_GB2312"/>
                <w:kern w:val="0"/>
                <w:sz w:val="28"/>
                <w:szCs w:val="28"/>
              </w:rPr>
            </w:pPr>
            <w:r>
              <w:rPr>
                <w:rFonts w:hint="eastAsia" w:ascii="仿宋_GB2312" w:hAnsi="Calibri" w:eastAsia="仿宋_GB2312" w:cs="ArialUnicodeMS"/>
                <w:kern w:val="0"/>
                <w:sz w:val="28"/>
                <w:szCs w:val="28"/>
              </w:rPr>
              <w:t>3</w:t>
            </w:r>
          </w:p>
        </w:tc>
        <w:tc>
          <w:tcPr>
            <w:tcW w:w="3485" w:type="dxa"/>
            <w:vAlign w:val="center"/>
          </w:tcPr>
          <w:p>
            <w:pPr>
              <w:jc w:val="center"/>
              <w:rPr>
                <w:rFonts w:ascii="仿宋_GB2312" w:eastAsia="仿宋_GB2312" w:cs="Times New Roman"/>
                <w:kern w:val="0"/>
                <w:sz w:val="18"/>
                <w:szCs w:val="18"/>
              </w:rPr>
            </w:pPr>
            <w:r>
              <w:rPr>
                <w:rFonts w:hint="eastAsia" w:ascii="仿宋_GB2312" w:hAnsi="宋体" w:eastAsia="仿宋_GB2312"/>
                <w:kern w:val="0"/>
                <w:sz w:val="18"/>
                <w:szCs w:val="18"/>
              </w:rPr>
              <w:t>鹿泉区第二中学</w:t>
            </w:r>
          </w:p>
        </w:tc>
        <w:tc>
          <w:tcPr>
            <w:tcW w:w="2445" w:type="dxa"/>
            <w:vAlign w:val="top"/>
          </w:tcPr>
          <w:p>
            <w:pPr>
              <w:jc w:val="center"/>
              <w:rPr>
                <w:rFonts w:ascii="仿宋_GB2312" w:eastAsia="仿宋_GB2312" w:cs="Times New Roman"/>
                <w:kern w:val="0"/>
                <w:sz w:val="18"/>
                <w:szCs w:val="18"/>
              </w:rPr>
            </w:pPr>
            <w:r>
              <w:rPr>
                <w:rFonts w:hint="eastAsia" w:ascii="仿宋_GB2312" w:hAnsi="宋体" w:eastAsia="仿宋_GB2312"/>
                <w:kern w:val="0"/>
                <w:sz w:val="18"/>
                <w:szCs w:val="18"/>
              </w:rPr>
              <w:t>财政补助事业单位</w:t>
            </w:r>
          </w:p>
        </w:tc>
        <w:tc>
          <w:tcPr>
            <w:tcW w:w="2665" w:type="dxa"/>
            <w:vAlign w:val="top"/>
          </w:tcPr>
          <w:p>
            <w:pPr>
              <w:jc w:val="center"/>
              <w:rPr>
                <w:rFonts w:ascii="仿宋_GB2312" w:eastAsia="仿宋_GB2312" w:cs="Times New Roman"/>
                <w:kern w:val="0"/>
                <w:sz w:val="18"/>
                <w:szCs w:val="18"/>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vAlign w:val="top"/>
          </w:tcPr>
          <w:p>
            <w:pPr>
              <w:spacing w:line="560" w:lineRule="exact"/>
              <w:jc w:val="center"/>
              <w:rPr>
                <w:rFonts w:ascii="仿宋_GB2312" w:eastAsia="仿宋_GB2312" w:cs="Times New Roman"/>
                <w:kern w:val="0"/>
                <w:sz w:val="28"/>
                <w:szCs w:val="28"/>
              </w:rPr>
            </w:pPr>
            <w:r>
              <w:rPr>
                <w:rFonts w:hint="eastAsia" w:ascii="仿宋_GB2312" w:hAnsi="Calibri" w:eastAsia="仿宋_GB2312" w:cs="ArialUnicodeMS"/>
                <w:kern w:val="0"/>
                <w:sz w:val="28"/>
                <w:szCs w:val="28"/>
              </w:rPr>
              <w:t>4</w:t>
            </w:r>
          </w:p>
        </w:tc>
        <w:tc>
          <w:tcPr>
            <w:tcW w:w="3485" w:type="dxa"/>
            <w:vAlign w:val="center"/>
          </w:tcPr>
          <w:p>
            <w:pPr>
              <w:jc w:val="center"/>
              <w:rPr>
                <w:rFonts w:ascii="仿宋_GB2312" w:eastAsia="仿宋_GB2312" w:cs="Times New Roman"/>
                <w:kern w:val="0"/>
                <w:sz w:val="18"/>
                <w:szCs w:val="18"/>
              </w:rPr>
            </w:pPr>
            <w:r>
              <w:rPr>
                <w:rFonts w:hint="eastAsia" w:ascii="仿宋_GB2312" w:hAnsi="宋体" w:eastAsia="仿宋_GB2312"/>
                <w:kern w:val="0"/>
                <w:sz w:val="18"/>
                <w:szCs w:val="18"/>
              </w:rPr>
              <w:t>鹿泉区第三中学</w:t>
            </w:r>
          </w:p>
        </w:tc>
        <w:tc>
          <w:tcPr>
            <w:tcW w:w="2445" w:type="dxa"/>
            <w:vAlign w:val="top"/>
          </w:tcPr>
          <w:p>
            <w:pPr>
              <w:jc w:val="center"/>
              <w:rPr>
                <w:rFonts w:ascii="仿宋_GB2312" w:eastAsia="仿宋_GB2312" w:cs="Times New Roman"/>
                <w:kern w:val="0"/>
                <w:sz w:val="18"/>
                <w:szCs w:val="18"/>
              </w:rPr>
            </w:pPr>
            <w:r>
              <w:rPr>
                <w:rFonts w:hint="eastAsia" w:ascii="仿宋_GB2312" w:hAnsi="宋体" w:eastAsia="仿宋_GB2312"/>
                <w:kern w:val="0"/>
                <w:sz w:val="18"/>
                <w:szCs w:val="18"/>
              </w:rPr>
              <w:t>财政补助事业单位</w:t>
            </w:r>
          </w:p>
        </w:tc>
        <w:tc>
          <w:tcPr>
            <w:tcW w:w="2665" w:type="dxa"/>
            <w:vAlign w:val="top"/>
          </w:tcPr>
          <w:p>
            <w:pPr>
              <w:jc w:val="center"/>
              <w:rPr>
                <w:rFonts w:ascii="仿宋_GB2312" w:eastAsia="仿宋_GB2312" w:cs="Times New Roman"/>
                <w:kern w:val="0"/>
                <w:sz w:val="18"/>
                <w:szCs w:val="18"/>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hAnsi="Calibri" w:eastAsia="仿宋_GB2312" w:cs="ArialUnicodeMS"/>
                <w:kern w:val="0"/>
                <w:sz w:val="28"/>
                <w:szCs w:val="28"/>
                <w:lang w:val="en-US" w:eastAsia="zh-CN" w:bidi="ar-SA"/>
              </w:rPr>
            </w:pPr>
            <w:r>
              <w:rPr>
                <w:rFonts w:hint="eastAsia" w:ascii="仿宋_GB2312" w:hAnsi="Calibri" w:eastAsia="仿宋_GB2312" w:cs="ArialUnicodeMS"/>
                <w:kern w:val="0"/>
                <w:sz w:val="28"/>
                <w:szCs w:val="28"/>
              </w:rPr>
              <w:t>5</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鹿泉区实验高级中学（职业中专）</w:t>
            </w:r>
          </w:p>
        </w:tc>
        <w:tc>
          <w:tcPr>
            <w:tcW w:w="2445" w:type="dxa"/>
            <w:tcBorders>
              <w:left w:val="single" w:color="auto" w:sz="4" w:space="0"/>
              <w:right w:val="single" w:color="auto" w:sz="4" w:space="0"/>
            </w:tcBorders>
            <w:vAlign w:val="top"/>
          </w:tcPr>
          <w:p>
            <w:pPr>
              <w:jc w:val="center"/>
              <w:rPr>
                <w:rFonts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hAnsi="Calibri" w:eastAsia="仿宋_GB2312" w:cs="ArialUnicodeMS"/>
                <w:kern w:val="0"/>
                <w:sz w:val="28"/>
                <w:szCs w:val="28"/>
                <w:lang w:val="en-US" w:eastAsia="zh-CN" w:bidi="ar-SA"/>
              </w:rPr>
            </w:pPr>
            <w:r>
              <w:rPr>
                <w:rFonts w:hint="eastAsia" w:ascii="仿宋_GB2312" w:hAnsi="Calibri" w:eastAsia="仿宋_GB2312" w:cs="ArialUnicodeMS"/>
                <w:kern w:val="0"/>
                <w:sz w:val="28"/>
                <w:szCs w:val="28"/>
              </w:rPr>
              <w:t>6</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鹿泉区职教中心</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7</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鹿泉区第一幼儿园</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8</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鹿泉区幼儿园</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9</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鹿泉区育才小学</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10</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鹿泉区实践中心</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11</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鹿泉区实验初级中学</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12</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鹿泉区教师进修学校</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13</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鹿泉区青少年校外活动中心</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14</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鹿泉区特教学校</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15</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鹿泉区白鹿泉中心校</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16</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鹿泉区石井中心校</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17</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鹿泉区获鹿中心校</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18</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鹿泉经济开发区中心校</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19</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鹿泉区大河中心校</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20</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鹿泉区上庄中心校</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21</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鹿泉区铜冶中心校</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22</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鹿泉区上寨中心校</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23</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鹿泉区寺家庄中心校</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24</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鹿泉区宜安中心校</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25</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鹿泉区李村中心校</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26</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鹿泉区黄壁庄中心校</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kern w:val="0"/>
                <w:sz w:val="28"/>
                <w:szCs w:val="28"/>
              </w:rPr>
              <w:t>27</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鹿泉区山尹村中心校</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85" w:type="dxa"/>
            <w:tcBorders>
              <w:left w:val="single" w:color="auto" w:sz="4" w:space="0"/>
              <w:right w:val="single" w:color="auto" w:sz="4" w:space="0"/>
            </w:tcBorders>
            <w:vAlign w:val="top"/>
          </w:tcPr>
          <w:p>
            <w:pPr>
              <w:spacing w:line="560" w:lineRule="exact"/>
              <w:jc w:val="center"/>
              <w:rPr>
                <w:rFonts w:hint="default" w:ascii="仿宋_GB2312" w:eastAsia="仿宋_GB2312" w:cs="ArialUnicodeMS" w:hAnsiTheme="minorHAnsi"/>
                <w:kern w:val="0"/>
                <w:sz w:val="28"/>
                <w:szCs w:val="28"/>
                <w:lang w:val="en-US" w:eastAsia="zh-CN" w:bidi="ar-SA"/>
              </w:rPr>
            </w:pPr>
            <w:r>
              <w:rPr>
                <w:rFonts w:hint="eastAsia" w:ascii="仿宋_GB2312" w:eastAsia="仿宋_GB2312" w:cs="ArialUnicodeMS" w:hAnsiTheme="minorHAnsi"/>
                <w:kern w:val="0"/>
                <w:sz w:val="28"/>
                <w:szCs w:val="28"/>
                <w:lang w:val="en-US" w:eastAsia="zh-CN" w:bidi="ar-SA"/>
              </w:rPr>
              <w:t>28</w:t>
            </w:r>
          </w:p>
        </w:tc>
        <w:tc>
          <w:tcPr>
            <w:tcW w:w="3485" w:type="dxa"/>
            <w:tcBorders>
              <w:left w:val="single" w:color="auto" w:sz="4" w:space="0"/>
              <w:right w:val="single" w:color="auto" w:sz="4" w:space="0"/>
            </w:tcBorders>
            <w:vAlign w:val="center"/>
          </w:tcPr>
          <w:p>
            <w:pPr>
              <w:jc w:val="center"/>
              <w:rPr>
                <w:rFonts w:hint="eastAsia" w:ascii="仿宋_GB2312" w:eastAsia="仿宋_GB2312" w:cs="ArialUnicodeMS" w:hAnsiTheme="minorHAnsi"/>
                <w:kern w:val="0"/>
                <w:sz w:val="18"/>
                <w:szCs w:val="18"/>
                <w:lang w:val="en-US" w:eastAsia="zh-CN" w:bidi="ar-SA"/>
              </w:rPr>
            </w:pPr>
            <w:r>
              <w:rPr>
                <w:rFonts w:hint="eastAsia" w:ascii="仿宋_GB2312" w:eastAsia="仿宋_GB2312" w:cs="ArialUnicodeMS" w:hAnsiTheme="minorHAnsi"/>
                <w:kern w:val="0"/>
                <w:sz w:val="18"/>
                <w:szCs w:val="18"/>
                <w:lang w:val="en-US" w:eastAsia="zh-CN" w:bidi="ar-SA"/>
              </w:rPr>
              <w:t>鹿泉区育才中学</w:t>
            </w:r>
          </w:p>
        </w:tc>
        <w:tc>
          <w:tcPr>
            <w:tcW w:w="244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财政补助事业单位</w:t>
            </w:r>
          </w:p>
        </w:tc>
        <w:tc>
          <w:tcPr>
            <w:tcW w:w="2665" w:type="dxa"/>
            <w:tcBorders>
              <w:left w:val="single" w:color="auto" w:sz="4" w:space="0"/>
              <w:right w:val="single" w:color="auto" w:sz="4" w:space="0"/>
            </w:tcBorders>
            <w:vAlign w:val="top"/>
          </w:tcPr>
          <w:p>
            <w:pPr>
              <w:jc w:val="center"/>
              <w:rPr>
                <w:rFonts w:hint="eastAsia" w:ascii="仿宋_GB2312" w:eastAsia="仿宋_GB2312" w:cs="ArialUnicodeMS" w:hAnsiTheme="minorHAnsi"/>
                <w:kern w:val="0"/>
                <w:sz w:val="18"/>
                <w:szCs w:val="18"/>
                <w:lang w:val="en-US" w:eastAsia="zh-CN" w:bidi="ar-SA"/>
              </w:rPr>
            </w:pPr>
            <w:r>
              <w:rPr>
                <w:rFonts w:hint="eastAsia" w:ascii="仿宋_GB2312" w:hAnsi="宋体" w:eastAsia="仿宋_GB2312"/>
                <w:kern w:val="0"/>
                <w:sz w:val="18"/>
                <w:szCs w:val="1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vAlign w:val="top"/>
          </w:tcPr>
          <w:p>
            <w:pPr>
              <w:spacing w:line="560" w:lineRule="exact"/>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注：1、单位基本性质分为行政单位、参公事业单位、财政补助事业单位、经费自理事业单位四类。</w:t>
            </w:r>
          </w:p>
          <w:p>
            <w:pPr>
              <w:spacing w:line="560" w:lineRule="exact"/>
              <w:jc w:val="left"/>
              <w:rPr>
                <w:rFonts w:hint="eastAsia" w:ascii="仿宋_GB2312" w:hAnsi="宋体" w:eastAsia="仿宋_GB2312"/>
                <w:kern w:val="0"/>
                <w:sz w:val="21"/>
                <w:szCs w:val="21"/>
              </w:rPr>
            </w:pPr>
            <w:r>
              <w:rPr>
                <w:rFonts w:hint="eastAsia" w:ascii="仿宋_GB2312" w:eastAsia="仿宋_GB2312" w:cs="Arial Black"/>
                <w:kern w:val="0"/>
                <w:sz w:val="28"/>
                <w:szCs w:val="28"/>
                <w:lang w:val="en-US" w:eastAsia="zh-CN"/>
              </w:rPr>
              <w:t xml:space="preserve">   </w:t>
            </w:r>
            <w:r>
              <w:rPr>
                <w:rFonts w:hint="eastAsia" w:ascii="仿宋_GB2312" w:hAnsi="Calibri" w:eastAsia="仿宋_GB2312" w:cs="Arial Black"/>
                <w:kern w:val="0"/>
                <w:sz w:val="28"/>
                <w:szCs w:val="28"/>
              </w:rPr>
              <w:t>2、经费形式分为财政拨款、财政性资金基本保证、财政性资金定额或定项补助、财政性资金零补助四类。</w:t>
            </w:r>
          </w:p>
        </w:tc>
      </w:tr>
    </w:tbl>
    <w:p>
      <w:pPr>
        <w:numPr>
          <w:ilvl w:val="0"/>
          <w:numId w:val="1"/>
        </w:numPr>
        <w:adjustRightInd w:val="0"/>
        <w:snapToGrid w:val="0"/>
        <w:spacing w:line="560" w:lineRule="exact"/>
        <w:ind w:firstLine="640" w:firstLineChars="200"/>
        <w:rPr>
          <w:rFonts w:hint="eastAsia" w:ascii="黑体" w:hAnsi="黑体" w:eastAsia="黑体" w:cs="黑体"/>
          <w:sz w:val="32"/>
          <w:szCs w:val="32"/>
          <w:lang w:eastAsia="zh-CN"/>
        </w:rPr>
      </w:pPr>
      <w:r>
        <w:rPr>
          <w:rFonts w:hint="eastAsia" w:ascii="黑体" w:hAnsi="黑体" w:eastAsia="黑体" w:cs="黑体"/>
          <w:sz w:val="32"/>
          <w:szCs w:val="32"/>
          <w:lang w:eastAsia="zh-CN"/>
        </w:rPr>
        <w:t>资产占用情况</w:t>
      </w:r>
    </w:p>
    <w:p>
      <w:pPr>
        <w:numPr>
          <w:ilvl w:val="0"/>
          <w:numId w:val="0"/>
        </w:numPr>
        <w:adjustRightInd w:val="0"/>
        <w:snapToGrid w:val="0"/>
        <w:spacing w:line="560" w:lineRule="exact"/>
        <w:ind w:firstLine="640" w:firstLineChars="200"/>
        <w:rPr>
          <w:rFonts w:ascii="仿宋" w:hAnsi="仿宋" w:eastAsia="仿宋"/>
          <w:sz w:val="32"/>
          <w:szCs w:val="32"/>
        </w:rPr>
      </w:pPr>
      <w:r>
        <w:rPr>
          <w:rFonts w:hint="eastAsia" w:ascii="仿宋_GB2312" w:hAnsi="Times New Roman" w:eastAsia="仿宋_GB2312" w:cs="仿宋_GB2312"/>
          <w:sz w:val="32"/>
          <w:szCs w:val="32"/>
        </w:rPr>
        <w:t>截至</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3</w:t>
      </w:r>
      <w:r>
        <w:rPr>
          <w:rFonts w:hint="eastAsia" w:ascii="仿宋_GB2312" w:hAnsi="Times New Roman" w:eastAsia="仿宋_GB2312" w:cs="仿宋_GB2312"/>
          <w:sz w:val="32"/>
          <w:szCs w:val="32"/>
        </w:rPr>
        <w:t>年</w:t>
      </w:r>
      <w:r>
        <w:rPr>
          <w:rFonts w:ascii="仿宋_GB2312" w:hAnsi="Times New Roman" w:eastAsia="仿宋_GB2312" w:cs="仿宋_GB2312"/>
          <w:sz w:val="32"/>
          <w:szCs w:val="32"/>
        </w:rPr>
        <w:t>12</w:t>
      </w:r>
      <w:r>
        <w:rPr>
          <w:rFonts w:hint="eastAsia" w:ascii="仿宋_GB2312" w:hAnsi="Times New Roman" w:eastAsia="仿宋_GB2312" w:cs="仿宋_GB2312"/>
          <w:sz w:val="32"/>
          <w:szCs w:val="32"/>
        </w:rPr>
        <w:t>月</w:t>
      </w:r>
      <w:r>
        <w:rPr>
          <w:rFonts w:ascii="仿宋_GB2312" w:hAnsi="Times New Roman" w:eastAsia="仿宋_GB2312" w:cs="仿宋_GB2312"/>
          <w:sz w:val="32"/>
          <w:szCs w:val="32"/>
        </w:rPr>
        <w:t>31</w:t>
      </w:r>
      <w:r>
        <w:rPr>
          <w:rFonts w:hint="eastAsia" w:ascii="仿宋_GB2312" w:hAnsi="Times New Roman" w:eastAsia="仿宋_GB2312" w:cs="仿宋_GB2312"/>
          <w:sz w:val="32"/>
          <w:szCs w:val="32"/>
        </w:rPr>
        <w:t>日，本部门共有车辆</w:t>
      </w:r>
      <w:r>
        <w:rPr>
          <w:rFonts w:hint="eastAsia" w:ascii="仿宋_GB2312" w:hAnsi="Times New Roman" w:eastAsia="仿宋_GB2312" w:cs="仿宋_GB2312"/>
          <w:sz w:val="32"/>
          <w:szCs w:val="32"/>
          <w:lang w:val="en-US" w:eastAsia="zh-CN"/>
        </w:rPr>
        <w:t>30</w:t>
      </w:r>
      <w:r>
        <w:rPr>
          <w:rFonts w:hint="eastAsia" w:ascii="仿宋_GB2312" w:hAnsi="Times New Roman" w:eastAsia="仿宋_GB2312" w:cs="仿宋_GB2312"/>
          <w:sz w:val="32"/>
          <w:szCs w:val="32"/>
        </w:rPr>
        <w:t>辆，</w:t>
      </w:r>
      <w:r>
        <w:rPr>
          <w:rFonts w:hint="eastAsia" w:ascii="仿宋_GB2312" w:hAnsi="Times New Roman" w:eastAsia="仿宋_GB2312" w:cs="仿宋_GB2312"/>
          <w:sz w:val="32"/>
          <w:szCs w:val="32"/>
          <w:lang w:eastAsia="zh-CN"/>
        </w:rPr>
        <w:t>与</w:t>
      </w:r>
      <w:r>
        <w:rPr>
          <w:rFonts w:hint="eastAsia" w:ascii="仿宋_GB2312" w:hAnsi="Times New Roman" w:eastAsia="仿宋_GB2312" w:cs="仿宋_GB2312"/>
          <w:sz w:val="32"/>
          <w:szCs w:val="32"/>
        </w:rPr>
        <w:t>上年</w:t>
      </w:r>
      <w:r>
        <w:rPr>
          <w:rFonts w:hint="eastAsia" w:ascii="仿宋_GB2312" w:hAnsi="Times New Roman" w:eastAsia="仿宋_GB2312" w:cs="仿宋_GB2312"/>
          <w:sz w:val="32"/>
          <w:szCs w:val="32"/>
          <w:lang w:eastAsia="zh-CN"/>
        </w:rPr>
        <w:t>持平，</w:t>
      </w:r>
      <w:r>
        <w:rPr>
          <w:rFonts w:hint="eastAsia" w:ascii="仿宋_GB2312" w:hAnsi="Times New Roman" w:eastAsia="仿宋_GB2312" w:cs="仿宋_GB2312"/>
          <w:sz w:val="32"/>
          <w:szCs w:val="32"/>
        </w:rPr>
        <w:t>其中，副部（省）级及以上领导用车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辆，主要领导干部用车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辆，机要通信用车</w:t>
      </w:r>
      <w:r>
        <w:rPr>
          <w:rFonts w:hint="eastAsia" w:ascii="仿宋_GB2312" w:hAnsi="Times New Roman" w:eastAsia="仿宋_GB2312" w:cs="仿宋_GB2312"/>
          <w:sz w:val="32"/>
          <w:szCs w:val="32"/>
          <w:lang w:val="en-US" w:eastAsia="zh-CN"/>
        </w:rPr>
        <w:t>11</w:t>
      </w:r>
      <w:r>
        <w:rPr>
          <w:rFonts w:hint="eastAsia" w:ascii="仿宋_GB2312" w:hAnsi="Times New Roman" w:eastAsia="仿宋_GB2312" w:cs="仿宋_GB2312"/>
          <w:sz w:val="32"/>
          <w:szCs w:val="32"/>
        </w:rPr>
        <w:t>辆，应急保障用车</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辆，执法执勤用车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辆，特种专业技术用车</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辆，离退休干部用车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辆，其他用车</w:t>
      </w:r>
      <w:r>
        <w:rPr>
          <w:rFonts w:hint="eastAsia" w:ascii="仿宋_GB2312" w:hAnsi="Times New Roman" w:eastAsia="仿宋_GB2312" w:cs="仿宋_GB2312"/>
          <w:sz w:val="32"/>
          <w:szCs w:val="32"/>
          <w:lang w:val="en-US" w:eastAsia="zh-CN"/>
        </w:rPr>
        <w:t>15</w:t>
      </w:r>
      <w:r>
        <w:rPr>
          <w:rFonts w:hint="eastAsia" w:ascii="仿宋_GB2312" w:hAnsi="Times New Roman" w:eastAsia="仿宋_GB2312" w:cs="仿宋_GB2312"/>
          <w:sz w:val="32"/>
          <w:szCs w:val="32"/>
        </w:rPr>
        <w:t>辆，其他用车主要是</w:t>
      </w:r>
      <w:r>
        <w:rPr>
          <w:rFonts w:hint="eastAsia" w:ascii="仿宋_GB2312" w:hAnsi="Times New Roman" w:eastAsia="仿宋_GB2312" w:cs="仿宋_GB2312"/>
          <w:sz w:val="32"/>
          <w:szCs w:val="32"/>
          <w:lang w:eastAsia="zh-CN"/>
        </w:rPr>
        <w:t>各单位日常办公用车</w:t>
      </w:r>
      <w:r>
        <w:rPr>
          <w:rFonts w:hint="eastAsia" w:ascii="仿宋_GB2312" w:hAnsi="Times New Roman" w:eastAsia="仿宋_GB2312" w:cs="仿宋_GB2312"/>
          <w:sz w:val="32"/>
          <w:szCs w:val="32"/>
        </w:rPr>
        <w:t>；单位价值</w:t>
      </w:r>
      <w:r>
        <w:rPr>
          <w:rFonts w:ascii="仿宋_GB2312" w:hAnsi="Times New Roman" w:eastAsia="仿宋_GB2312" w:cs="仿宋_GB2312"/>
          <w:sz w:val="32"/>
          <w:szCs w:val="32"/>
        </w:rPr>
        <w:t>100</w:t>
      </w:r>
      <w:r>
        <w:rPr>
          <w:rFonts w:hint="eastAsia" w:ascii="仿宋_GB2312" w:hAnsi="Times New Roman" w:eastAsia="仿宋_GB2312" w:cs="仿宋_GB2312"/>
          <w:sz w:val="32"/>
          <w:szCs w:val="32"/>
        </w:rPr>
        <w:t>万元以上设备</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台（套）。</w:t>
      </w:r>
    </w:p>
    <w:p>
      <w:pPr>
        <w:adjustRightInd w:val="0"/>
        <w:snapToGrid w:val="0"/>
        <w:spacing w:line="560" w:lineRule="exact"/>
        <w:ind w:firstLine="643" w:firstLineChars="200"/>
        <w:rPr>
          <w:rFonts w:hint="eastAsia" w:ascii="仿宋" w:hAnsi="仿宋" w:eastAsia="仿宋" w:cs="楷体_GB2312"/>
          <w:b/>
          <w:bCs/>
          <w:sz w:val="32"/>
          <w:szCs w:val="32"/>
        </w:rPr>
      </w:pPr>
      <w:r>
        <w:rPr>
          <w:rFonts w:hint="eastAsia" w:ascii="仿宋" w:hAnsi="仿宋" w:eastAsia="仿宋" w:cs="楷体_GB2312"/>
          <w:b/>
          <w:bCs/>
          <w:sz w:val="32"/>
          <w:szCs w:val="32"/>
        </w:rPr>
        <w:t>（二）单位收支预决算情况</w:t>
      </w:r>
    </w:p>
    <w:p>
      <w:pPr>
        <w:autoSpaceDE w:val="0"/>
        <w:autoSpaceDN w:val="0"/>
        <w:adjustRightInd w:val="0"/>
        <w:ind w:firstLine="640" w:firstLineChars="200"/>
        <w:jc w:val="left"/>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3</w:t>
      </w:r>
      <w:r>
        <w:rPr>
          <w:rFonts w:hint="eastAsia" w:ascii="仿宋_GB2312" w:hAnsi="Times New Roman" w:eastAsia="仿宋_GB2312" w:cs="仿宋_GB2312"/>
          <w:sz w:val="32"/>
          <w:szCs w:val="32"/>
        </w:rPr>
        <w:t>年度收入合计</w:t>
      </w:r>
      <w:r>
        <w:rPr>
          <w:rFonts w:hint="eastAsia" w:ascii="仿宋_GB2312" w:hAnsi="Times New Roman" w:eastAsia="仿宋_GB2312" w:cs="仿宋_GB2312"/>
          <w:sz w:val="32"/>
          <w:szCs w:val="32"/>
          <w:lang w:val="en-US" w:eastAsia="zh-CN"/>
        </w:rPr>
        <w:t>141815.74</w:t>
      </w:r>
      <w:r>
        <w:rPr>
          <w:rFonts w:hint="eastAsia" w:ascii="仿宋_GB2312" w:hAnsi="Times New Roman" w:eastAsia="仿宋_GB2312" w:cs="仿宋_GB2312"/>
          <w:sz w:val="32"/>
          <w:szCs w:val="32"/>
        </w:rPr>
        <w:t>万元，其中：</w:t>
      </w:r>
      <w:r>
        <w:rPr>
          <w:rFonts w:hint="eastAsia" w:ascii="仿宋_GB2312" w:hAnsi="Times New Roman" w:eastAsia="仿宋_GB2312" w:cs="仿宋_GB2312"/>
          <w:sz w:val="32"/>
          <w:szCs w:val="32"/>
          <w:lang w:eastAsia="zh-CN"/>
        </w:rPr>
        <w:t>一般公共预算</w:t>
      </w:r>
      <w:r>
        <w:rPr>
          <w:rFonts w:hint="eastAsia" w:ascii="仿宋_GB2312" w:hAnsi="Times New Roman" w:eastAsia="仿宋_GB2312" w:cs="仿宋_GB2312"/>
          <w:sz w:val="32"/>
          <w:szCs w:val="32"/>
        </w:rPr>
        <w:t>财政拨款收入</w:t>
      </w:r>
      <w:r>
        <w:rPr>
          <w:rFonts w:hint="eastAsia" w:ascii="仿宋_GB2312" w:hAnsi="Times New Roman" w:eastAsia="仿宋_GB2312" w:cs="仿宋_GB2312"/>
          <w:sz w:val="32"/>
          <w:szCs w:val="32"/>
          <w:lang w:val="en-US" w:eastAsia="zh-CN"/>
        </w:rPr>
        <w:t>140793.05</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99.28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政府性基金预算财政拨款收入</w:t>
      </w:r>
      <w:r>
        <w:rPr>
          <w:rFonts w:hint="eastAsia" w:ascii="仿宋_GB2312" w:hAnsi="Times New Roman" w:eastAsia="仿宋_GB2312" w:cs="仿宋_GB2312"/>
          <w:sz w:val="32"/>
          <w:szCs w:val="32"/>
          <w:lang w:val="en-US" w:eastAsia="zh-CN"/>
        </w:rPr>
        <w:t>123.89万元；占0.09%；</w:t>
      </w:r>
      <w:r>
        <w:rPr>
          <w:rFonts w:hint="eastAsia" w:ascii="仿宋_GB2312" w:hAnsi="Times New Roman" w:eastAsia="仿宋_GB2312" w:cs="仿宋_GB2312"/>
          <w:sz w:val="32"/>
          <w:szCs w:val="32"/>
          <w:lang w:eastAsia="zh-CN"/>
        </w:rPr>
        <w:t>上级单位补助收入</w:t>
      </w:r>
      <w:r>
        <w:rPr>
          <w:rFonts w:hint="eastAsia" w:ascii="仿宋_GB2312" w:hAnsi="Times New Roman" w:eastAsia="仿宋_GB2312" w:cs="仿宋_GB2312"/>
          <w:sz w:val="32"/>
          <w:szCs w:val="32"/>
          <w:lang w:val="en-US" w:eastAsia="zh-CN"/>
        </w:rPr>
        <w:t>0万元，占0%；</w:t>
      </w:r>
      <w:r>
        <w:rPr>
          <w:rFonts w:hint="eastAsia" w:ascii="仿宋_GB2312" w:hAnsi="Times New Roman" w:eastAsia="仿宋_GB2312" w:cs="仿宋_GB2312"/>
          <w:sz w:val="32"/>
          <w:szCs w:val="32"/>
        </w:rPr>
        <w:t>事业收入</w:t>
      </w:r>
      <w:r>
        <w:rPr>
          <w:rFonts w:hint="eastAsia" w:ascii="仿宋_GB2312" w:hAnsi="Times New Roman" w:eastAsia="仿宋_GB2312" w:cs="仿宋_GB2312"/>
          <w:sz w:val="32"/>
          <w:szCs w:val="32"/>
          <w:lang w:val="en-US" w:eastAsia="zh-CN"/>
        </w:rPr>
        <w:t>739.52</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0.52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；经营收入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；附属单位上缴收入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；其他收入</w:t>
      </w:r>
      <w:r>
        <w:rPr>
          <w:rFonts w:hint="eastAsia" w:ascii="仿宋_GB2312" w:hAnsi="Times New Roman" w:eastAsia="仿宋_GB2312" w:cs="仿宋_GB2312"/>
          <w:sz w:val="32"/>
          <w:szCs w:val="32"/>
          <w:lang w:val="en-US" w:eastAsia="zh-CN"/>
        </w:rPr>
        <w:t>159.28</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0.11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pPr>
        <w:autoSpaceDE w:val="0"/>
        <w:autoSpaceDN w:val="0"/>
        <w:adjustRightInd w:val="0"/>
        <w:ind w:firstLine="640" w:firstLineChars="200"/>
        <w:jc w:val="left"/>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3</w:t>
      </w:r>
      <w:r>
        <w:rPr>
          <w:rFonts w:hint="eastAsia" w:ascii="仿宋_GB2312" w:hAnsi="Times New Roman" w:eastAsia="仿宋_GB2312" w:cs="仿宋_GB2312"/>
          <w:sz w:val="32"/>
          <w:szCs w:val="32"/>
        </w:rPr>
        <w:t>年度支出合计</w:t>
      </w:r>
      <w:r>
        <w:rPr>
          <w:rFonts w:hint="eastAsia" w:ascii="仿宋_GB2312" w:hAnsi="Times New Roman" w:eastAsia="仿宋_GB2312" w:cs="仿宋_GB2312"/>
          <w:sz w:val="32"/>
          <w:szCs w:val="32"/>
          <w:lang w:val="en-US" w:eastAsia="zh-CN"/>
        </w:rPr>
        <w:t>141781.89</w:t>
      </w:r>
      <w:r>
        <w:rPr>
          <w:rFonts w:hint="eastAsia" w:ascii="仿宋_GB2312" w:hAnsi="Times New Roman" w:eastAsia="仿宋_GB2312" w:cs="仿宋_GB2312"/>
          <w:sz w:val="32"/>
          <w:szCs w:val="32"/>
        </w:rPr>
        <w:t>万元，其中：基本支出</w:t>
      </w:r>
      <w:r>
        <w:rPr>
          <w:rFonts w:hint="eastAsia" w:ascii="仿宋_GB2312" w:hAnsi="Times New Roman" w:eastAsia="仿宋_GB2312" w:cs="仿宋_GB2312"/>
          <w:sz w:val="32"/>
          <w:szCs w:val="32"/>
          <w:lang w:val="en-US" w:eastAsia="zh-CN"/>
        </w:rPr>
        <w:t>112476.38</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79.33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；项目支出</w:t>
      </w:r>
      <w:r>
        <w:rPr>
          <w:rFonts w:hint="eastAsia" w:ascii="仿宋_GB2312" w:hAnsi="Times New Roman" w:eastAsia="仿宋_GB2312" w:cs="仿宋_GB2312"/>
          <w:sz w:val="32"/>
          <w:szCs w:val="32"/>
          <w:lang w:val="en-US" w:eastAsia="zh-CN"/>
        </w:rPr>
        <w:t>29305.51</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20.67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；经营支出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；对附属单位补助支出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cs="仿宋"/>
          <w:sz w:val="32"/>
          <w:szCs w:val="32"/>
        </w:rPr>
        <w:t>本次评价通过客观公正地核查项目经费使用情况及预期目标实现程度，考评资金支出效率和综合效果，及时总结经验，分析存在的问题及原因，进一步推进财政资金科学化、精细化管理，不断提高财政专项资金管理水平和使用效率。</w:t>
      </w:r>
    </w:p>
    <w:p>
      <w:pPr>
        <w:numPr>
          <w:ilvl w:val="0"/>
          <w:numId w:val="2"/>
        </w:numPr>
        <w:spacing w:line="560" w:lineRule="exact"/>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评价原则：1、评估的客观公正性原则。在项目评估中尊重客观规律，深入调查研究，不带主观随意性，讲求科学性。2、分析的系统性原则。从项目内部要素的内在联系，以及与外部条件的广泛联系入手，进行全面的动态的分析论证。3、评估的效益性原则。投入与产出的经济社会效益比例。4、评估方法的规范化原则。所采用的定性和定量分析方法，必须符合客观实际，体现事物的内在联系。5、评估指标的科学性。确定指标体系中权重集合的科学合理程度，评估指标具有可操作性。</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评价指标体系：主要从项目资金的投入、业务管理和财务管理过程、项目计划产出和项目计划效益四个方面对评价目标进行逐步分解，从定性和定量两个角度综合考量。</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评价方法：绩效评价工作采用单位自评价和财政再评价相结合的方式开展。自评价采取数据收集汇总、指标分析、询问查证等方法，形成了自评价报告。</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（三）评价工作过程</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本次绩效评价自评价工作分为三个阶段：</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第一阶段：成立评价工作小组，制定项目绩效评价具体实施方案。</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第二阶段：按照区财政局要求，进行自查。</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第三阶段：由评价工作小组对项目进行抽样核查，总结评价结论，最终形成自评价报告，报区财政局。</w:t>
      </w:r>
    </w:p>
    <w:p>
      <w:pPr>
        <w:spacing w:line="560" w:lineRule="exact"/>
        <w:ind w:firstLine="643" w:firstLineChars="200"/>
        <w:jc w:val="left"/>
        <w:rPr>
          <w:rFonts w:ascii="仿宋" w:hAnsi="仿宋" w:eastAsia="仿宋" w:cs="楷体_GB2312"/>
          <w:b/>
          <w:bCs/>
          <w:sz w:val="32"/>
          <w:szCs w:val="32"/>
        </w:rPr>
      </w:pPr>
    </w:p>
    <w:p>
      <w:pPr>
        <w:spacing w:line="560" w:lineRule="exact"/>
        <w:rPr>
          <w:rFonts w:ascii="黑体" w:hAnsi="黑体" w:eastAsia="黑体"/>
          <w:b/>
          <w:bCs/>
          <w:sz w:val="32"/>
          <w:szCs w:val="32"/>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三、单位整体支出绩效目标实现情况及指标分析</w:t>
      </w:r>
    </w:p>
    <w:p>
      <w:pPr>
        <w:numPr>
          <w:ilvl w:val="0"/>
          <w:numId w:val="3"/>
        </w:numPr>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总体绩效目标实现情况</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根据各自评情况，我</w:t>
      </w:r>
      <w:r>
        <w:rPr>
          <w:rFonts w:hint="eastAsia" w:ascii="仿宋" w:hAnsi="仿宋" w:eastAsia="仿宋"/>
          <w:sz w:val="32"/>
          <w:szCs w:val="32"/>
          <w:lang w:eastAsia="zh-CN"/>
        </w:rPr>
        <w:t>局</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年整体绩效目标良好。</w:t>
      </w:r>
    </w:p>
    <w:p>
      <w:pPr>
        <w:spacing w:line="560" w:lineRule="exact"/>
        <w:rPr>
          <w:rFonts w:ascii="仿宋" w:hAnsi="仿宋" w:eastAsia="仿宋"/>
          <w:b/>
          <w:bCs/>
          <w:sz w:val="32"/>
          <w:szCs w:val="32"/>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（二）分项绩效目标实现情况及指标分析</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根据各自评情况，各分项绩效目标、指标，完成情况较好，除</w:t>
      </w:r>
      <w:r>
        <w:rPr>
          <w:rFonts w:hint="eastAsia" w:ascii="仿宋" w:hAnsi="仿宋" w:eastAsia="仿宋"/>
          <w:sz w:val="32"/>
          <w:szCs w:val="32"/>
          <w:lang w:eastAsia="zh-CN"/>
        </w:rPr>
        <w:t>个别项目未实现年初绩效目标</w:t>
      </w:r>
      <w:r>
        <w:rPr>
          <w:rFonts w:hint="eastAsia" w:ascii="仿宋" w:hAnsi="仿宋" w:eastAsia="仿宋"/>
          <w:sz w:val="32"/>
          <w:szCs w:val="32"/>
        </w:rPr>
        <w:t>外，其余项目无论从完成数量、质量、时效、成本效益等方面都较好的完成了既定目标，得分依据充分。</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根据部门职责定位和各项工作履职情况进行综合评价，给出总得分，满分100分，得出综合绩效评价等级。其中优秀等级：</w:t>
      </w:r>
      <w:r>
        <w:rPr>
          <w:rFonts w:hint="eastAsia" w:ascii="仿宋" w:hAnsi="仿宋" w:eastAsia="仿宋"/>
          <w:sz w:val="32"/>
          <w:szCs w:val="32"/>
          <w:lang w:val="en-US" w:eastAsia="zh-CN"/>
        </w:rPr>
        <w:t>854</w:t>
      </w:r>
      <w:r>
        <w:rPr>
          <w:rFonts w:hint="eastAsia" w:ascii="仿宋" w:hAnsi="仿宋" w:eastAsia="仿宋"/>
          <w:sz w:val="32"/>
          <w:szCs w:val="32"/>
        </w:rPr>
        <w:t>个，</w:t>
      </w:r>
      <w:r>
        <w:rPr>
          <w:rFonts w:hint="eastAsia" w:ascii="仿宋" w:hAnsi="仿宋" w:eastAsia="仿宋"/>
          <w:sz w:val="32"/>
          <w:szCs w:val="32"/>
          <w:lang w:eastAsia="zh-CN"/>
        </w:rPr>
        <w:t>良好</w:t>
      </w:r>
      <w:r>
        <w:rPr>
          <w:rFonts w:hint="eastAsia" w:ascii="仿宋" w:hAnsi="仿宋" w:eastAsia="仿宋"/>
          <w:sz w:val="32"/>
          <w:szCs w:val="32"/>
          <w:lang w:val="en-US" w:eastAsia="zh-CN"/>
        </w:rPr>
        <w:t>17个，一般7个，</w:t>
      </w:r>
      <w:r>
        <w:rPr>
          <w:rFonts w:hint="eastAsia" w:ascii="仿宋" w:hAnsi="仿宋" w:eastAsia="仿宋"/>
          <w:sz w:val="32"/>
          <w:szCs w:val="32"/>
        </w:rPr>
        <w:t>较差等级</w:t>
      </w:r>
      <w:r>
        <w:rPr>
          <w:rFonts w:hint="eastAsia" w:ascii="仿宋" w:hAnsi="仿宋" w:eastAsia="仿宋"/>
          <w:sz w:val="32"/>
          <w:szCs w:val="32"/>
          <w:lang w:val="en-US" w:eastAsia="zh-CN"/>
        </w:rPr>
        <w:t>39</w:t>
      </w:r>
      <w:r>
        <w:rPr>
          <w:rFonts w:hint="eastAsia" w:ascii="仿宋" w:hAnsi="仿宋" w:eastAsia="仿宋"/>
          <w:sz w:val="32"/>
          <w:szCs w:val="32"/>
        </w:rPr>
        <w:t>个。</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3" w:firstLineChars="200"/>
        <w:rPr>
          <w:rFonts w:hint="eastAsia" w:ascii="仿宋" w:hAnsi="仿宋" w:eastAsia="仿宋"/>
          <w:b/>
          <w:bCs/>
          <w:sz w:val="32"/>
          <w:szCs w:val="32"/>
        </w:rPr>
      </w:pPr>
      <w:r>
        <w:rPr>
          <w:rFonts w:hint="eastAsia" w:ascii="仿宋" w:hAnsi="仿宋" w:eastAsia="仿宋"/>
          <w:b/>
          <w:bCs/>
          <w:sz w:val="32"/>
          <w:szCs w:val="32"/>
        </w:rPr>
        <w:t>（一）存在的主要问题</w:t>
      </w:r>
    </w:p>
    <w:p>
      <w:pPr>
        <w:spacing w:line="560" w:lineRule="exact"/>
        <w:ind w:firstLine="643" w:firstLineChars="200"/>
        <w:rPr>
          <w:rFonts w:ascii="仿宋" w:hAnsi="仿宋" w:eastAsia="仿宋"/>
          <w:b/>
          <w:bCs/>
          <w:sz w:val="32"/>
          <w:szCs w:val="32"/>
        </w:rPr>
      </w:pPr>
      <w:r>
        <w:rPr>
          <w:rFonts w:hint="eastAsia" w:ascii="仿宋" w:hAnsi="仿宋" w:eastAsia="仿宋"/>
          <w:b/>
          <w:bCs/>
          <w:sz w:val="32"/>
          <w:szCs w:val="32"/>
        </w:rPr>
        <w:t xml:space="preserve"> 无</w:t>
      </w:r>
    </w:p>
    <w:p>
      <w:pPr>
        <w:spacing w:line="560" w:lineRule="exact"/>
        <w:ind w:firstLine="643" w:firstLineChars="200"/>
        <w:rPr>
          <w:rFonts w:hint="eastAsia" w:ascii="仿宋" w:hAnsi="仿宋" w:eastAsia="仿宋"/>
          <w:b/>
          <w:bCs/>
          <w:sz w:val="32"/>
          <w:szCs w:val="32"/>
        </w:rPr>
      </w:pPr>
      <w:r>
        <w:rPr>
          <w:rFonts w:hint="eastAsia" w:ascii="仿宋" w:hAnsi="仿宋" w:eastAsia="仿宋"/>
          <w:b/>
          <w:bCs/>
          <w:sz w:val="32"/>
          <w:szCs w:val="32"/>
        </w:rPr>
        <w:t>（二）针对问题提出具体的改进措施或建议</w:t>
      </w:r>
    </w:p>
    <w:p>
      <w:pPr>
        <w:spacing w:line="560" w:lineRule="exact"/>
        <w:ind w:firstLine="643" w:firstLineChars="200"/>
        <w:rPr>
          <w:rFonts w:ascii="仿宋" w:hAnsi="仿宋" w:eastAsia="仿宋"/>
          <w:b/>
          <w:bCs/>
          <w:sz w:val="32"/>
          <w:szCs w:val="32"/>
        </w:rPr>
      </w:pPr>
      <w:r>
        <w:rPr>
          <w:rFonts w:hint="eastAsia" w:ascii="仿宋" w:hAnsi="仿宋" w:eastAsia="仿宋"/>
          <w:b/>
          <w:bCs/>
          <w:sz w:val="32"/>
          <w:szCs w:val="32"/>
        </w:rPr>
        <w:t>无</w:t>
      </w:r>
    </w:p>
    <w:p>
      <w:pPr>
        <w:widowControl w:val="0"/>
        <w:wordWrap/>
        <w:spacing w:line="560" w:lineRule="exact"/>
        <w:ind w:left="0" w:leftChars="0" w:right="0"/>
        <w:textAlignment w:val="auto"/>
        <w:outlineLvl w:val="9"/>
        <w:rPr>
          <w:rFonts w:ascii="仿宋" w:hAnsi="仿宋" w:eastAsia="仿宋"/>
        </w:rPr>
      </w:pPr>
    </w:p>
    <w:p>
      <w:pPr>
        <w:widowControl w:val="0"/>
        <w:wordWrap/>
        <w:spacing w:line="560" w:lineRule="exact"/>
        <w:ind w:left="0" w:leftChars="0" w:right="0"/>
        <w:textAlignment w:val="auto"/>
        <w:outlineLvl w:val="9"/>
        <w:rPr>
          <w:rFonts w:ascii="仿宋" w:hAnsi="仿宋" w:eastAsia="仿宋"/>
        </w:rPr>
      </w:pPr>
    </w:p>
    <w:p>
      <w:pPr>
        <w:widowControl w:val="0"/>
        <w:wordWrap/>
        <w:spacing w:line="560" w:lineRule="exact"/>
        <w:ind w:left="0" w:leftChars="0" w:right="0"/>
        <w:textAlignment w:val="auto"/>
        <w:outlineLvl w:val="9"/>
        <w:rPr>
          <w:rFonts w:ascii="仿宋" w:hAnsi="仿宋" w:eastAsia="仿宋"/>
        </w:rPr>
      </w:pPr>
    </w:p>
    <w:p>
      <w:pPr>
        <w:widowControl w:val="0"/>
        <w:wordWrap/>
        <w:spacing w:line="560" w:lineRule="exact"/>
        <w:ind w:left="0" w:leftChars="0" w:right="0"/>
        <w:textAlignment w:val="auto"/>
        <w:outlineLvl w:val="9"/>
        <w:rPr>
          <w:rFonts w:ascii="仿宋" w:hAnsi="仿宋" w:eastAsia="仿宋"/>
        </w:rPr>
      </w:pPr>
    </w:p>
    <w:p>
      <w:pPr>
        <w:widowControl w:val="0"/>
        <w:wordWrap/>
        <w:spacing w:line="560" w:lineRule="exact"/>
        <w:ind w:left="0" w:leftChars="0" w:right="0"/>
        <w:textAlignment w:val="auto"/>
        <w:outlineLvl w:val="9"/>
        <w:rPr>
          <w:rFonts w:ascii="仿宋" w:hAnsi="仿宋" w:eastAsia="仿宋"/>
        </w:rPr>
      </w:pPr>
    </w:p>
    <w:p>
      <w:pPr>
        <w:widowControl w:val="0"/>
        <w:wordWrap/>
        <w:spacing w:line="560" w:lineRule="exact"/>
        <w:ind w:left="0" w:leftChars="0" w:right="0"/>
        <w:textAlignment w:val="auto"/>
        <w:outlineLvl w:val="9"/>
        <w:rPr>
          <w:rFonts w:hint="eastAsia" w:ascii="仿宋_GB2312" w:hAnsi="仿宋_GB2312" w:eastAsia="仿宋_GB2312" w:cs="仿宋_GB2312"/>
          <w:sz w:val="32"/>
          <w:szCs w:val="32"/>
          <w:lang w:val="en-US" w:eastAsia="zh-CN"/>
        </w:rPr>
      </w:pPr>
      <w:r>
        <w:rPr>
          <w:rFonts w:hint="eastAsia" w:ascii="仿宋" w:hAnsi="仿宋" w:eastAsia="仿宋"/>
          <w:lang w:val="en-US" w:eastAsia="zh-CN"/>
        </w:rPr>
        <w:t xml:space="preserve">                                                </w:t>
      </w:r>
      <w:r>
        <w:rPr>
          <w:rFonts w:hint="eastAsia" w:ascii="仿宋_GB2312" w:hAnsi="仿宋_GB2312" w:eastAsia="仿宋_GB2312" w:cs="仿宋_GB2312"/>
          <w:sz w:val="32"/>
          <w:szCs w:val="32"/>
          <w:lang w:val="en-US" w:eastAsia="zh-CN"/>
        </w:rPr>
        <w:t>石家庄市鹿泉区教育局</w:t>
      </w:r>
    </w:p>
    <w:p>
      <w:pPr>
        <w:widowControl w:val="0"/>
        <w:wordWrap/>
        <w:spacing w:line="560" w:lineRule="exact"/>
        <w:ind w:left="0" w:leftChars="0" w:right="0"/>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2024年5月8日</w:t>
      </w: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A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Arial Black">
    <w:panose1 w:val="020B0A04020102020204"/>
    <w:charset w:val="00"/>
    <w:family w:val="swiss"/>
    <w:pitch w:val="default"/>
    <w:sig w:usb0="00000287" w:usb1="00000000" w:usb2="00000000" w:usb3="00000000" w:csb0="2000009F" w:csb1="DFD70000"/>
  </w:font>
  <w:font w:name="ArialUnicodeMS">
    <w:altName w:val="Malgun Gothic"/>
    <w:panose1 w:val="00000000000000000000"/>
    <w:charset w:val="81"/>
    <w:family w:val="auto"/>
    <w:pitch w:val="default"/>
    <w:sig w:usb0="00000000" w:usb1="00000000" w:usb2="00000010" w:usb3="00000000" w:csb0="00080001"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1">
    <w:nsid w:val="45D3862F"/>
    <w:multiLevelType w:val="singleLevel"/>
    <w:tmpl w:val="45D3862F"/>
    <w:lvl w:ilvl="0" w:tentative="0">
      <w:start w:val="3"/>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llNjM0OTUzNmJhZDY2YzJhMjQ5MGJkY2M0OTAxMmQifQ=="/>
  </w:docVars>
  <w:rsids>
    <w:rsidRoot w:val="0EBD2122"/>
    <w:rsid w:val="007E6C1F"/>
    <w:rsid w:val="00AF566A"/>
    <w:rsid w:val="00B6553A"/>
    <w:rsid w:val="01B104CA"/>
    <w:rsid w:val="02106AB0"/>
    <w:rsid w:val="02B43A28"/>
    <w:rsid w:val="046F331E"/>
    <w:rsid w:val="07956271"/>
    <w:rsid w:val="09721397"/>
    <w:rsid w:val="0BB63BED"/>
    <w:rsid w:val="0EB97A43"/>
    <w:rsid w:val="0EBD2122"/>
    <w:rsid w:val="0F214EAE"/>
    <w:rsid w:val="0FE41F35"/>
    <w:rsid w:val="11B71E6A"/>
    <w:rsid w:val="157E0040"/>
    <w:rsid w:val="1AAF0063"/>
    <w:rsid w:val="1BE140DE"/>
    <w:rsid w:val="21346987"/>
    <w:rsid w:val="21D5717B"/>
    <w:rsid w:val="248C197D"/>
    <w:rsid w:val="252959AF"/>
    <w:rsid w:val="277A6671"/>
    <w:rsid w:val="283A3EBB"/>
    <w:rsid w:val="292D35B7"/>
    <w:rsid w:val="29625DA1"/>
    <w:rsid w:val="2A594280"/>
    <w:rsid w:val="33EB6CFF"/>
    <w:rsid w:val="35A12947"/>
    <w:rsid w:val="37387040"/>
    <w:rsid w:val="3B400EC8"/>
    <w:rsid w:val="3B625C0A"/>
    <w:rsid w:val="3CEE1963"/>
    <w:rsid w:val="3F2F156C"/>
    <w:rsid w:val="44C9647E"/>
    <w:rsid w:val="48AF1AE5"/>
    <w:rsid w:val="4C9C27FE"/>
    <w:rsid w:val="4ECF7A46"/>
    <w:rsid w:val="512260B4"/>
    <w:rsid w:val="52BD6ACB"/>
    <w:rsid w:val="53AF6BFF"/>
    <w:rsid w:val="55537534"/>
    <w:rsid w:val="55744A29"/>
    <w:rsid w:val="56190220"/>
    <w:rsid w:val="561A74F1"/>
    <w:rsid w:val="597244E8"/>
    <w:rsid w:val="5A596185"/>
    <w:rsid w:val="5C140A9D"/>
    <w:rsid w:val="5EB71C30"/>
    <w:rsid w:val="66AF0CE5"/>
    <w:rsid w:val="6AC537CF"/>
    <w:rsid w:val="6CCD33BF"/>
    <w:rsid w:val="6E5B14A6"/>
    <w:rsid w:val="711B255E"/>
    <w:rsid w:val="7317199D"/>
    <w:rsid w:val="731F531E"/>
    <w:rsid w:val="7A7819F3"/>
    <w:rsid w:val="7BB51E06"/>
    <w:rsid w:val="7C387F7C"/>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autoRedefine/>
    <w:unhideWhenUsed/>
    <w:qFormat/>
    <w:uiPriority w:val="1"/>
  </w:style>
  <w:style w:type="table" w:default="1" w:styleId="4">
    <w:name w:val="Normal Table"/>
    <w:autoRedefine/>
    <w:unhideWhenUsed/>
    <w:qFormat/>
    <w:uiPriority w:val="99"/>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2945</Words>
  <Characters>3094</Characters>
  <Lines>7</Lines>
  <Paragraphs>2</Paragraphs>
  <TotalTime>21</TotalTime>
  <ScaleCrop>false</ScaleCrop>
  <LinksUpToDate>false</LinksUpToDate>
  <CharactersWithSpaces>3203</CharactersWithSpaces>
  <Application>WPS Office_12.1.0.16910_F1E327BC-269C-435d-A152-05C5408002CA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2024-01-07T07:11:00Z</cp:lastPrinted>
  <dcterms:modified xsi:type="dcterms:W3CDTF">2024-05-17T06:32:00Z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2052-12.1.0.16910</vt:lpwstr>
  </property>
  <property fmtid="{D5CDD505-2E9C-101B-9397-08002B2CF9AE}" pid="3" name="ICV">
    <vt:lpwstr>978B7A84771D4A0395CEE5F1B6C40783_12</vt:lpwstr>
  </property>
</Properties>
</file>