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石家庄市鹿泉区交通运输局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年度部门整体支出绩效自评报告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石家庄市鹿泉区交通运输局</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（1）拟订全区交通运输行业发展规划并组织实施；参与拟订有关物流业发展规划并监督实施。</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（5）承担管辖水域水上交通安全监管责任。负责全区渔船检验和监督管理工作，会同有关部门，依法组织或参与事故调查处理。</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（7）制订全区交通运输行业科技发展规划，组织行业科技创新应用，推动行业科技进步。负责交通运输行业信息化建设，监测分析运行情况，开展相关统计工作。指导交通运输行业环境保护和节能减排。</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（8）负责全区交通运输综合行政执法和队伍建设有关工作；统筹协调交通运输综合行政执法工作；负责交通运输行业体制改革工作。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9）负责交通运输系统安全生产和应急管理工作；牵头负责铁路沿线环境安全监管职责；按规定组织协调国家、省、市、区重点物资和紧急客货运输；负责区内国、省重点干线公路网运行监测和应急处置协调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（10）负责全区交通运输行业的涉外事宜，指导利用外资，开展交通运输经济技术合作与交流。</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（11）推进京津冀协同发展交通一体化工作。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（12）完成区委、区政府交办的其他任务。</w:t>
      </w:r>
    </w:p>
    <w:p>
      <w:pPr>
        <w:pStyle w:val="6"/>
        <w:rPr>
          <w:rFonts w:hint="eastAsia" w:ascii="方正楷体_GBK" w:hAnsi="方正楷体_GBK" w:eastAsia="方正楷体_GBK" w:cs="方正楷体_GBK"/>
          <w:b/>
          <w:color w:val="000000"/>
          <w:kern w:val="2"/>
          <w:sz w:val="32"/>
          <w:szCs w:val="22"/>
          <w:lang w:val="en-US" w:eastAsia="zh-CN" w:bidi="ar-SA"/>
        </w:rPr>
      </w:pPr>
      <w:r>
        <w:rPr>
          <w:rFonts w:hint="eastAsia" w:ascii="方正楷体_GBK" w:hAnsi="方正楷体_GBK" w:eastAsia="方正楷体_GBK" w:cs="方正楷体_GBK"/>
          <w:b/>
          <w:color w:val="000000"/>
          <w:kern w:val="2"/>
          <w:sz w:val="32"/>
          <w:szCs w:val="22"/>
          <w:lang w:val="en-US" w:eastAsia="zh-CN" w:bidi="ar-SA"/>
        </w:rPr>
        <w:t>2、机构设置</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75"/>
        <w:gridCol w:w="1166"/>
        <w:gridCol w:w="2126"/>
        <w:gridCol w:w="30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75" w:type="dxa"/>
            <w:vAlign w:val="center"/>
          </w:tcPr>
          <w:p>
            <w:pPr>
              <w:pStyle w:val="7"/>
            </w:pPr>
            <w:r>
              <w:t>单位名称</w:t>
            </w:r>
          </w:p>
        </w:tc>
        <w:tc>
          <w:tcPr>
            <w:tcW w:w="1166" w:type="dxa"/>
            <w:vAlign w:val="center"/>
          </w:tcPr>
          <w:p>
            <w:pPr>
              <w:pStyle w:val="7"/>
            </w:pPr>
            <w:r>
              <w:t>单位性质</w:t>
            </w:r>
          </w:p>
        </w:tc>
        <w:tc>
          <w:tcPr>
            <w:tcW w:w="2126" w:type="dxa"/>
            <w:vAlign w:val="center"/>
          </w:tcPr>
          <w:p>
            <w:pPr>
              <w:pStyle w:val="7"/>
            </w:pPr>
            <w:r>
              <w:t>单位规格</w:t>
            </w:r>
          </w:p>
        </w:tc>
        <w:tc>
          <w:tcPr>
            <w:tcW w:w="3026"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石家庄市鹿泉区交通运输局本级</w:t>
            </w:r>
          </w:p>
        </w:tc>
        <w:tc>
          <w:tcPr>
            <w:tcW w:w="1166" w:type="dxa"/>
            <w:vAlign w:val="center"/>
          </w:tcPr>
          <w:p>
            <w:pPr>
              <w:pStyle w:val="9"/>
            </w:pPr>
            <w:r>
              <w:t>行政</w:t>
            </w:r>
          </w:p>
        </w:tc>
        <w:tc>
          <w:tcPr>
            <w:tcW w:w="2126" w:type="dxa"/>
            <w:vAlign w:val="center"/>
          </w:tcPr>
          <w:p>
            <w:pPr>
              <w:pStyle w:val="9"/>
            </w:pPr>
            <w:r>
              <w:t>正科级</w:t>
            </w:r>
          </w:p>
        </w:tc>
        <w:tc>
          <w:tcPr>
            <w:tcW w:w="3026" w:type="dxa"/>
            <w:vAlign w:val="center"/>
          </w:tcPr>
          <w:p>
            <w:pPr>
              <w:pStyle w:val="9"/>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石家庄市鹿泉区交通运输综合执法大队</w:t>
            </w:r>
          </w:p>
        </w:tc>
        <w:tc>
          <w:tcPr>
            <w:tcW w:w="1166" w:type="dxa"/>
            <w:vAlign w:val="center"/>
          </w:tcPr>
          <w:p>
            <w:pPr>
              <w:pStyle w:val="9"/>
            </w:pPr>
            <w:r>
              <w:t>事业</w:t>
            </w:r>
          </w:p>
        </w:tc>
        <w:tc>
          <w:tcPr>
            <w:tcW w:w="2126" w:type="dxa"/>
            <w:vAlign w:val="center"/>
          </w:tcPr>
          <w:p>
            <w:pPr>
              <w:pStyle w:val="9"/>
            </w:pPr>
            <w:r>
              <w:t>副科级</w:t>
            </w:r>
          </w:p>
        </w:tc>
        <w:tc>
          <w:tcPr>
            <w:tcW w:w="3026" w:type="dxa"/>
            <w:vAlign w:val="center"/>
          </w:tcPr>
          <w:p>
            <w:pPr>
              <w:pStyle w:val="9"/>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石家庄市鹿泉区交通运输服务中心</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石家庄市鹿泉区公路绿化管理中心</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石家庄市鹿泉区公路管理站</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石家庄市鹿泉区地方公路管理站</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石家庄市鹿泉区公路设计质监中心</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财政性资金零补助</w:t>
            </w:r>
            <w:bookmarkStart w:id="0" w:name="_GoBack"/>
            <w:bookmarkEnd w:id="0"/>
          </w:p>
        </w:tc>
      </w:tr>
    </w:tbl>
    <w:p>
      <w:pPr>
        <w:pStyle w:val="6"/>
        <w:numPr>
          <w:ilvl w:val="0"/>
          <w:numId w:val="1"/>
        </w:numPr>
        <w:rPr>
          <w:rFonts w:hint="eastAsia" w:ascii="方正楷体_GBK" w:hAnsi="方正楷体_GBK" w:eastAsia="方正楷体_GBK" w:cs="方正楷体_GBK"/>
          <w:b/>
          <w:color w:val="000000"/>
          <w:kern w:val="2"/>
          <w:sz w:val="32"/>
          <w:szCs w:val="22"/>
          <w:lang w:val="en-US" w:eastAsia="zh-CN" w:bidi="ar-SA"/>
        </w:rPr>
      </w:pPr>
      <w:r>
        <w:rPr>
          <w:rFonts w:hint="eastAsia" w:ascii="方正楷体_GBK" w:hAnsi="方正楷体_GBK" w:eastAsia="方正楷体_GBK" w:cs="方正楷体_GBK"/>
          <w:b/>
          <w:color w:val="000000"/>
          <w:kern w:val="2"/>
          <w:sz w:val="32"/>
          <w:szCs w:val="22"/>
          <w:lang w:val="en-US" w:eastAsia="zh-CN" w:bidi="ar-SA"/>
        </w:rPr>
        <w:t>人员情况</w:t>
      </w:r>
    </w:p>
    <w:p>
      <w:pPr>
        <w:pStyle w:val="6"/>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截至2023年底，我部门共有在职人员215人。</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全年</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为47955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75</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元，其中：一般公共预算拨款收入42254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7万</w:t>
      </w:r>
      <w:r>
        <w:rPr>
          <w:rFonts w:hint="eastAsia" w:ascii="仿宋_GB2312" w:hAnsi="仿宋_GB2312" w:eastAsia="仿宋_GB2312" w:cs="仿宋_GB2312"/>
          <w:sz w:val="32"/>
          <w:szCs w:val="32"/>
        </w:rPr>
        <w:t>元、财政拨款年初结转和结余109</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4万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eastAsia="zh-CN"/>
        </w:rPr>
        <w:t>全年</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为47955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75</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元，其中：基本支出5824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94</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元、项目支出42130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1万</w:t>
      </w:r>
      <w:r>
        <w:rPr>
          <w:rFonts w:hint="eastAsia" w:ascii="仿宋_GB2312" w:hAnsi="仿宋_GB2312" w:eastAsia="仿宋_GB2312" w:cs="仿宋_GB2312"/>
          <w:sz w:val="32"/>
          <w:szCs w:val="32"/>
        </w:rPr>
        <w:t>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决算数为</w:t>
      </w:r>
      <w:r>
        <w:rPr>
          <w:rFonts w:hint="eastAsia" w:ascii="仿宋_GB2312" w:hAnsi="仿宋_GB2312" w:eastAsia="仿宋_GB2312" w:cs="仿宋_GB2312"/>
          <w:sz w:val="32"/>
          <w:szCs w:val="32"/>
        </w:rPr>
        <w:t>47955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75</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元，其中：财政拨款年初结转和结余109</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4万</w:t>
      </w:r>
      <w:r>
        <w:rPr>
          <w:rFonts w:hint="eastAsia" w:ascii="仿宋_GB2312" w:hAnsi="仿宋_GB2312" w:eastAsia="仿宋_GB2312" w:cs="仿宋_GB2312"/>
          <w:sz w:val="32"/>
          <w:szCs w:val="32"/>
        </w:rPr>
        <w:t>元，本年收入47846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51</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元；支出</w:t>
      </w:r>
      <w:r>
        <w:rPr>
          <w:rFonts w:hint="eastAsia" w:ascii="仿宋_GB2312" w:hAnsi="仿宋_GB2312" w:eastAsia="仿宋_GB2312" w:cs="仿宋_GB2312"/>
          <w:sz w:val="32"/>
          <w:szCs w:val="32"/>
          <w:lang w:eastAsia="zh-CN"/>
        </w:rPr>
        <w:t>决算数为</w:t>
      </w:r>
      <w:r>
        <w:rPr>
          <w:rFonts w:hint="eastAsia" w:ascii="仿宋_GB2312" w:hAnsi="仿宋_GB2312" w:eastAsia="仿宋_GB2312" w:cs="仿宋_GB2312"/>
          <w:sz w:val="32"/>
          <w:szCs w:val="32"/>
        </w:rPr>
        <w:t>47955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75</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元，其中：本年支出47850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val="en-US" w:eastAsia="zh-CN"/>
        </w:rPr>
        <w:t>7万</w:t>
      </w:r>
      <w:r>
        <w:rPr>
          <w:rFonts w:hint="eastAsia" w:ascii="仿宋_GB2312" w:hAnsi="仿宋_GB2312" w:eastAsia="仿宋_GB2312" w:cs="仿宋_GB2312"/>
          <w:sz w:val="32"/>
          <w:szCs w:val="32"/>
        </w:rPr>
        <w:t>元，财政拨款年末结转和结余104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9万</w:t>
      </w:r>
      <w:r>
        <w:rPr>
          <w:rFonts w:hint="eastAsia" w:ascii="仿宋_GB2312" w:hAnsi="仿宋_GB2312" w:eastAsia="仿宋_GB2312" w:cs="仿宋_GB2312"/>
          <w:sz w:val="32"/>
          <w:szCs w:val="32"/>
        </w:rPr>
        <w:t>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总体绩效目标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分项绩效目标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）普通干线公路养护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绩效目标：通过实施普通国省干线公路的预防性养护及沿线配套设施等的养护，确保路面完好率及植被成活率，提升公路运行质量，使国省干线公路保持良好的服务水平。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绩效指标：完成道路养护工程量不低于327.97万平方米，养护道路12条，路面洒扫清洁达标率不低于90%；路面完好率及植被成活率均达90%以上；群众对公路运行整体满意度不低于90%。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）农村公路建设养护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绩效目标：通过实施农村公路改建工程、大中修工程和日常养护，优化和改善农村公路路网结构和路况，加强鹿泉生态交通建设，提高公路运行质量，提升农村公路服务民生水平。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绩效指标：改造农村公路26条，养护公路23条；路面及设施完好率不低于90%；服务对象对项目实施效果的满意程度不低于90%。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）交通综合执法管理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绩效目标：开展交通运输综合执法工作，治理超限运输，建设联合治超站宜安分站，维护道路安全设施，保障通行能力。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绩效指标：有效治理超限超载，超限超载率不超过2%；保障公路安全设施完好；保障公路超限检测站正常运行。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）公共交通运输管理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通过实施公交站亭、站牌的维护保洁，方便群众出行，为市民提供舒适候车、乘车环境，提升城市形象；保障乡镇和建制村通客车的农村客运班车和城市公共汽电车向农村延伸覆盖的公交车的运营补助，强化农村客运安全运行监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绩效指标：维护保洁的公交站亭33座，维护保洁的公交站牌409块，形成常态化管理服务；具备通客车条件的乡镇和建制村全部通客车，安装智能视频监控终端设备和纳入动态监控的车辆数不少15辆。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）综合事务管理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绩效目标：对铁路环境安全隐患进行整治，保障铁路沿线两侧环境安全；完成山前大道PPP项目委托跟踪审计和最终审计工作。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绩效指标：铁路沿线两侧500米范围内整治长度不少于77.75公里， 安全隐患整治率不低于95%；出具6篇山前大道PPP项目委托跟踪审计报告、2本最终审计报告，确保山前大道总投资合理，准确，为支付可用性服务费提供准确金额。</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pageBreakBefore w:val="0"/>
        <w:kinsoku/>
        <w:wordWrap/>
        <w:overflowPunct/>
        <w:topLinePunct w:val="0"/>
        <w:autoSpaceDE/>
        <w:autoSpaceDN/>
        <w:bidi w:val="0"/>
        <w:spacing w:line="560" w:lineRule="exact"/>
        <w:ind w:firstLine="640" w:firstLineChars="200"/>
        <w:rPr>
          <w:rFonts w:ascii="仿宋" w:hAnsi="仿宋" w:eastAsia="仿宋"/>
          <w:sz w:val="32"/>
          <w:szCs w:val="32"/>
        </w:rPr>
      </w:pPr>
      <w:r>
        <w:rPr>
          <w:rFonts w:hint="eastAsia" w:ascii="仿宋_GB2312" w:hAnsi="仿宋_GB2312" w:eastAsia="仿宋_GB2312" w:cs="仿宋_GB2312"/>
          <w:b w:val="0"/>
          <w:bCs w:val="0"/>
          <w:sz w:val="32"/>
          <w:szCs w:val="32"/>
        </w:rPr>
        <w:t>为做好20</w:t>
      </w:r>
      <w:r>
        <w:rPr>
          <w:rFonts w:hint="eastAsia" w:ascii="仿宋_GB2312" w:hAnsi="仿宋_GB2312" w:eastAsia="仿宋_GB2312" w:cs="仿宋_GB2312"/>
          <w:b w:val="0"/>
          <w:bCs w:val="0"/>
          <w:sz w:val="32"/>
          <w:szCs w:val="32"/>
          <w:lang w:val="en-US" w:eastAsia="zh-CN"/>
        </w:rPr>
        <w:t>23</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b w:val="0"/>
          <w:bCs w:val="0"/>
          <w:sz w:val="32"/>
          <w:szCs w:val="32"/>
          <w:lang w:eastAsia="zh-CN"/>
        </w:rPr>
        <w:t>预算项目</w:t>
      </w:r>
      <w:r>
        <w:rPr>
          <w:rFonts w:hint="eastAsia" w:ascii="仿宋_GB2312" w:hAnsi="仿宋_GB2312" w:eastAsia="仿宋_GB2312" w:cs="仿宋_GB2312"/>
          <w:b w:val="0"/>
          <w:bCs w:val="0"/>
          <w:sz w:val="32"/>
          <w:szCs w:val="32"/>
        </w:rPr>
        <w:t>绩效自评工作，</w:t>
      </w:r>
      <w:r>
        <w:rPr>
          <w:rFonts w:hint="eastAsia" w:ascii="仿宋_GB2312" w:hAnsi="仿宋_GB2312" w:eastAsia="仿宋_GB2312" w:cs="仿宋_GB2312"/>
          <w:b w:val="0"/>
          <w:bCs w:val="0"/>
          <w:sz w:val="32"/>
          <w:szCs w:val="32"/>
          <w:lang w:eastAsia="zh-CN"/>
        </w:rPr>
        <w:t>我部门</w:t>
      </w:r>
      <w:r>
        <w:rPr>
          <w:rFonts w:hint="eastAsia" w:ascii="仿宋_GB2312" w:hAnsi="仿宋_GB2312" w:eastAsia="仿宋_GB2312" w:cs="仿宋_GB2312"/>
          <w:b w:val="0"/>
          <w:bCs w:val="0"/>
          <w:sz w:val="32"/>
          <w:szCs w:val="32"/>
        </w:rPr>
        <w:t>各单位分别研究制定工作实施方案，成立绩效评价工作领导小组，统筹谋划、精心组织，对202</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年度资金进行了全面梳理，明确了评价项目内容和具体职责分工。</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ageBreakBefore w:val="0"/>
        <w:kinsoku/>
        <w:wordWrap/>
        <w:overflowPunct/>
        <w:topLinePunct w:val="0"/>
        <w:autoSpaceDE/>
        <w:autoSpaceDN/>
        <w:bidi w:val="0"/>
        <w:spacing w:line="560" w:lineRule="exact"/>
        <w:ind w:firstLine="640" w:firstLineChars="200"/>
        <w:rPr>
          <w:rFonts w:ascii="楷体" w:hAnsi="楷体" w:eastAsia="楷体" w:cs="楷体_GB2312"/>
          <w:bCs/>
          <w:sz w:val="32"/>
          <w:szCs w:val="32"/>
        </w:rPr>
      </w:pPr>
      <w:r>
        <w:rPr>
          <w:rFonts w:hint="eastAsia" w:ascii="仿宋_GB2312" w:hAnsi="仿宋_GB2312" w:eastAsia="仿宋_GB2312" w:cs="仿宋_GB2312"/>
          <w:b w:val="0"/>
          <w:bCs w:val="0"/>
          <w:sz w:val="32"/>
          <w:szCs w:val="32"/>
        </w:rPr>
        <w:t>各单位对照年初确定的绩效目标、指标和评价标准，结合项目完成情况，对202</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b w:val="0"/>
          <w:bCs w:val="0"/>
          <w:sz w:val="32"/>
          <w:szCs w:val="32"/>
          <w:lang w:eastAsia="zh-CN"/>
        </w:rPr>
        <w:t>预算项目</w:t>
      </w:r>
      <w:r>
        <w:rPr>
          <w:rFonts w:hint="eastAsia" w:ascii="仿宋_GB2312" w:hAnsi="仿宋_GB2312" w:eastAsia="仿宋_GB2312" w:cs="仿宋_GB2312"/>
          <w:b w:val="0"/>
          <w:bCs w:val="0"/>
          <w:sz w:val="32"/>
          <w:szCs w:val="32"/>
        </w:rPr>
        <w:t>逐项进行了绩效自评，形成绩效自评报告。评价过程中各单位对各项目的支出情况进行了分析，同时查看相关文件，严格按照项目计划和规定用途专款专用，并严格按照会计法律法规及公司规定的制度执行，自评过程科学合理，结果公平、公正。</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完成了对国省干线道路、农村公路道路建设养护，大气污染治理</w:t>
      </w:r>
      <w:r>
        <w:rPr>
          <w:rFonts w:hint="eastAsia" w:ascii="仿宋_GB2312" w:hAnsi="仿宋_GB2312" w:eastAsia="仿宋_GB2312" w:cs="仿宋_GB2312"/>
          <w:b w:val="0"/>
          <w:bCs w:val="0"/>
          <w:sz w:val="32"/>
          <w:szCs w:val="32"/>
          <w:lang w:eastAsia="zh-CN"/>
        </w:rPr>
        <w:t>成效明显</w:t>
      </w:r>
      <w:r>
        <w:rPr>
          <w:rFonts w:hint="eastAsia" w:ascii="仿宋_GB2312" w:hAnsi="仿宋_GB2312" w:eastAsia="仿宋_GB2312" w:cs="仿宋_GB2312"/>
          <w:sz w:val="32"/>
          <w:szCs w:val="32"/>
          <w:lang w:eastAsia="zh-CN"/>
        </w:rPr>
        <w:t>，公路路网结构和路况得到了优化和改善，改善了道路通行环境，有效提升了鹿泉生态交通建设。加强行业管理，有效保障了交通运输行业健康发展；通过开展交通运输综合执法工作，严格控制了超限超载率。通过行之有效的措施，公路辐射带动社会经济发展能力明显提升，人民群众获得感、幸福感、安全感不断增强。</w:t>
      </w:r>
    </w:p>
    <w:p>
      <w:pPr>
        <w:spacing w:line="560" w:lineRule="exact"/>
        <w:rPr>
          <w:rFonts w:ascii="楷体" w:hAnsi="楷体" w:eastAsia="楷体"/>
          <w:bCs/>
          <w:sz w:val="32"/>
          <w:szCs w:val="32"/>
          <w:highlight w:val="none"/>
        </w:rPr>
      </w:pPr>
      <w:r>
        <w:rPr>
          <w:rFonts w:hint="eastAsia" w:ascii="仿宋" w:hAnsi="仿宋" w:eastAsia="仿宋" w:cs="楷体_GB2312"/>
          <w:b/>
          <w:bCs/>
          <w:sz w:val="32"/>
          <w:szCs w:val="32"/>
          <w:highlight w:val="none"/>
        </w:rPr>
        <w:t xml:space="preserve">    </w:t>
      </w:r>
      <w:r>
        <w:rPr>
          <w:rFonts w:hint="eastAsia" w:ascii="楷体" w:hAnsi="楷体" w:eastAsia="楷体" w:cs="楷体_GB2312"/>
          <w:bCs/>
          <w:sz w:val="32"/>
          <w:szCs w:val="32"/>
          <w:highlight w:val="none"/>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普通干线公路养护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绩效目标：通过实施普通国省干线公路的预防性养护及沿线配套设施等的养护，路面完好率及植被成活率较高，提升了公路运行质量，国省干线公路保持良好的服务水平。</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绩效指标：完成道路养护工程量约327.97万平方米，养护道路12条，路面洒扫清洁达标率</w:t>
      </w:r>
      <w:r>
        <w:rPr>
          <w:rFonts w:hint="eastAsia" w:ascii="仿宋_GB2312" w:hAnsi="仿宋_GB2312" w:eastAsia="仿宋_GB2312" w:cs="仿宋_GB2312"/>
          <w:b w:val="0"/>
          <w:bCs w:val="0"/>
          <w:sz w:val="32"/>
          <w:szCs w:val="32"/>
          <w:lang w:eastAsia="zh-CN"/>
        </w:rPr>
        <w:t>达到了规定标准</w:t>
      </w:r>
      <w:r>
        <w:rPr>
          <w:rFonts w:hint="eastAsia" w:ascii="仿宋_GB2312" w:hAnsi="仿宋_GB2312" w:eastAsia="仿宋_GB2312" w:cs="仿宋_GB2312"/>
          <w:sz w:val="32"/>
          <w:szCs w:val="32"/>
          <w:lang w:eastAsia="zh-CN"/>
        </w:rPr>
        <w:t>；路面完好率及植被成活率均达90%以上；群众对公路运行整体满意度为90%。</w:t>
      </w:r>
      <w:r>
        <w:rPr>
          <w:rFonts w:hint="eastAsia" w:ascii="仿宋_GB2312" w:hAnsi="仿宋_GB2312" w:eastAsia="仿宋_GB2312" w:cs="仿宋_GB2312"/>
          <w:b w:val="0"/>
          <w:bCs w:val="0"/>
          <w:sz w:val="32"/>
          <w:szCs w:val="32"/>
          <w:lang w:eastAsia="zh-CN"/>
        </w:rPr>
        <w:t>综合得分为</w:t>
      </w:r>
      <w:r>
        <w:rPr>
          <w:rFonts w:hint="eastAsia" w:ascii="仿宋_GB2312" w:hAnsi="仿宋_GB2312" w:eastAsia="仿宋_GB2312" w:cs="仿宋_GB2312"/>
          <w:b w:val="0"/>
          <w:bCs w:val="0"/>
          <w:sz w:val="32"/>
          <w:szCs w:val="32"/>
          <w:lang w:val="en-US" w:eastAsia="zh-CN"/>
        </w:rPr>
        <w:t>97分。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农村公路建设养护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绩效目标：通过实施农村公路改建工程、大中修工程和日常养护，农村公路路网结构和路况得到了优化和改善，鹿泉生态交通建设得到加强，提高了公路运行质量，提升了农村公路服务民生水平。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绩效指标：改造农村公路26条，养护公路23条；路面及设施完好率为100%；服务对象对项目实施效果的满意程度为95%。综合得分为96分。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（3）交通综合执法管理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绩效目标：开展交通运输综合执法工作，有效治理了超限运输，道路安全设施维护良好，保障了通行能力。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绩效指标：有效治理了超限超载，超限超载率不超过2%；公路安全设施完好；保障了公路超限检测站正常运行。综合得分为95分。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公共交通运输管理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通过实施公交站亭、站牌的维护保洁，方便了群众出行，为市民提供了舒适候车、乘车环境，提升了城市形象；保障了乡镇和建制村通客车的农村客运班车和城市公共汽电车向农村延伸覆盖的公交车的运营补助，强化了农村客运安全运行监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绩效指标：维护保洁的公交站亭33座，维护保洁的公交站牌409块，形成了常态化管理服务；具备通客车条件的乡镇和建制村全部通客车，安装智能视频监控终端设备和纳入动态监控的车辆数</w:t>
      </w:r>
      <w:r>
        <w:rPr>
          <w:rFonts w:hint="eastAsia" w:ascii="仿宋_GB2312" w:hAnsi="仿宋_GB2312" w:eastAsia="仿宋_GB2312" w:cs="仿宋_GB2312"/>
          <w:b w:val="0"/>
          <w:bCs w:val="0"/>
          <w:sz w:val="32"/>
          <w:szCs w:val="32"/>
          <w:lang w:eastAsia="zh-CN"/>
        </w:rPr>
        <w:t>为</w:t>
      </w:r>
      <w:r>
        <w:rPr>
          <w:rFonts w:hint="eastAsia" w:ascii="仿宋_GB2312" w:hAnsi="仿宋_GB2312" w:eastAsia="仿宋_GB2312" w:cs="仿宋_GB2312"/>
          <w:b w:val="0"/>
          <w:bCs w:val="0"/>
          <w:sz w:val="32"/>
          <w:szCs w:val="32"/>
        </w:rPr>
        <w:t>15辆。</w:t>
      </w:r>
      <w:r>
        <w:rPr>
          <w:rFonts w:hint="eastAsia" w:ascii="仿宋_GB2312" w:hAnsi="仿宋_GB2312" w:eastAsia="仿宋_GB2312" w:cs="仿宋_GB2312"/>
          <w:b w:val="0"/>
          <w:bCs w:val="0"/>
          <w:sz w:val="32"/>
          <w:szCs w:val="32"/>
          <w:lang w:eastAsia="zh-CN"/>
        </w:rPr>
        <w:t>综合得分为</w:t>
      </w:r>
      <w:r>
        <w:rPr>
          <w:rFonts w:hint="eastAsia" w:ascii="仿宋_GB2312" w:hAnsi="仿宋_GB2312" w:eastAsia="仿宋_GB2312" w:cs="仿宋_GB2312"/>
          <w:b w:val="0"/>
          <w:bCs w:val="0"/>
          <w:sz w:val="32"/>
          <w:szCs w:val="32"/>
          <w:lang w:val="en-US" w:eastAsia="zh-CN"/>
        </w:rPr>
        <w:t>98分。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综合事务管理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绩效目标：对铁路环境安全隐患进行整治，保障铁路沿线两侧环境安全；完成山前大道PPP项目委托跟踪审计和最终审计工作。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绩效指标：铁路沿线两侧500米范围内整治长度不少于77.75公里，安全隐患整治率为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%；已出具6篇山前大道PPP项目委托跟踪审计报告、2本最终审计报告，确保山前大道总投资合理，准确，为支付可用性服务费提供了准确金额。</w:t>
      </w:r>
      <w:r>
        <w:rPr>
          <w:rFonts w:hint="eastAsia" w:ascii="仿宋_GB2312" w:hAnsi="仿宋_GB2312" w:eastAsia="仿宋_GB2312" w:cs="仿宋_GB2312"/>
          <w:b w:val="0"/>
          <w:bCs w:val="0"/>
          <w:sz w:val="32"/>
          <w:szCs w:val="32"/>
          <w:lang w:eastAsia="zh-CN"/>
        </w:rPr>
        <w:t>综合得分为</w:t>
      </w:r>
      <w:r>
        <w:rPr>
          <w:rFonts w:hint="eastAsia" w:ascii="仿宋_GB2312" w:hAnsi="仿宋_GB2312" w:eastAsia="仿宋_GB2312" w:cs="仿宋_GB2312"/>
          <w:b w:val="0"/>
          <w:bCs w:val="0"/>
          <w:sz w:val="32"/>
          <w:szCs w:val="32"/>
          <w:lang w:val="en-US" w:eastAsia="zh-CN"/>
        </w:rPr>
        <w:t>95分。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pageBreakBefore w:val="0"/>
        <w:kinsoku/>
        <w:wordWrap/>
        <w:overflowPunct/>
        <w:topLinePunct w:val="0"/>
        <w:autoSpaceDE/>
        <w:autoSpaceDN/>
        <w:bidi w:val="0"/>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根据部门职责定位和各项工作履职情况进行综合评价，</w:t>
      </w:r>
      <w:r>
        <w:rPr>
          <w:rFonts w:hint="eastAsia" w:ascii="仿宋_GB2312" w:hAnsi="仿宋_GB2312" w:eastAsia="仿宋_GB2312" w:cs="仿宋_GB2312"/>
          <w:sz w:val="32"/>
          <w:szCs w:val="32"/>
          <w:lang w:val="en-US" w:eastAsia="zh-CN"/>
        </w:rPr>
        <w:t>2023年预算项目绩效自评得分为96</w:t>
      </w:r>
      <w:r>
        <w:rPr>
          <w:rFonts w:hint="eastAsia" w:ascii="仿宋_GB2312" w:hAnsi="仿宋_GB2312" w:eastAsia="仿宋_GB2312" w:cs="仿宋_GB2312"/>
          <w:sz w:val="32"/>
          <w:szCs w:val="32"/>
        </w:rPr>
        <w:t>分，综合绩效评价等级</w:t>
      </w:r>
      <w:r>
        <w:rPr>
          <w:rFonts w:hint="eastAsia" w:ascii="仿宋_GB2312" w:hAnsi="仿宋_GB2312" w:eastAsia="仿宋_GB2312" w:cs="仿宋_GB2312"/>
          <w:sz w:val="32"/>
          <w:szCs w:val="32"/>
          <w:lang w:eastAsia="zh-CN"/>
        </w:rPr>
        <w:t>为优秀</w:t>
      </w:r>
      <w:r>
        <w:rPr>
          <w:rFonts w:hint="eastAsia" w:ascii="仿宋_GB2312" w:hAnsi="仿宋_GB2312" w:eastAsia="仿宋_GB2312" w:cs="仿宋_GB2312"/>
          <w:sz w:val="32"/>
          <w:szCs w:val="32"/>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ageBreakBefore w:val="0"/>
        <w:kinsoku/>
        <w:wordWrap/>
        <w:overflowPunct/>
        <w:topLinePunct w:val="0"/>
        <w:autoSpaceDE/>
        <w:autoSpaceDN/>
        <w:bidi w:val="0"/>
        <w:adjustRightInd w:val="0"/>
        <w:snapToGrid w:val="0"/>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rPr>
        <w:t>通过绩效自评结果对比年初绩效目标设定情况看，年初设定的绩效目标整体清晰准确，绩效指标全面完整、科学合理，绩效标准恰当适宜、易于评价。但是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部分指标设定</w:t>
      </w:r>
      <w:r>
        <w:rPr>
          <w:rFonts w:hint="eastAsia" w:ascii="仿宋_GB2312" w:hAnsi="仿宋_GB2312" w:eastAsia="仿宋_GB2312" w:cs="仿宋_GB2312"/>
          <w:sz w:val="32"/>
          <w:szCs w:val="32"/>
          <w:lang w:eastAsia="zh-CN"/>
        </w:rPr>
        <w:t>不够合理，</w:t>
      </w:r>
      <w:r>
        <w:rPr>
          <w:rFonts w:hint="eastAsia" w:ascii="仿宋_GB2312" w:hAnsi="仿宋_GB2312" w:eastAsia="仿宋_GB2312" w:cs="仿宋_GB2312"/>
          <w:sz w:val="32"/>
          <w:szCs w:val="32"/>
        </w:rPr>
        <w:t>应结合项目实际情况</w:t>
      </w:r>
      <w:r>
        <w:rPr>
          <w:rFonts w:hint="eastAsia" w:ascii="仿宋_GB2312" w:hAnsi="仿宋_GB2312" w:eastAsia="仿宋_GB2312" w:cs="仿宋_GB2312"/>
          <w:sz w:val="32"/>
          <w:szCs w:val="32"/>
          <w:lang w:eastAsia="zh-CN"/>
        </w:rPr>
        <w:t>分别</w:t>
      </w:r>
      <w:r>
        <w:rPr>
          <w:rFonts w:hint="eastAsia" w:ascii="仿宋_GB2312" w:hAnsi="仿宋_GB2312" w:eastAsia="仿宋_GB2312" w:cs="仿宋_GB2312"/>
          <w:sz w:val="32"/>
          <w:szCs w:val="32"/>
        </w:rPr>
        <w:t>设定分数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设定指标。</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合理设置绩效目标，突出预算编制环节绩效导向，从源头上提高预算编制的科学性和精准性，做好</w:t>
      </w:r>
      <w:r>
        <w:rPr>
          <w:rFonts w:hint="eastAsia" w:ascii="仿宋_GB2312" w:hAnsi="仿宋_GB2312" w:eastAsia="仿宋_GB2312" w:cs="仿宋_GB2312"/>
          <w:bCs/>
          <w:sz w:val="32"/>
          <w:szCs w:val="32"/>
          <w:lang w:eastAsia="zh-CN"/>
        </w:rPr>
        <w:t>以后年度</w:t>
      </w:r>
      <w:r>
        <w:rPr>
          <w:rFonts w:hint="eastAsia" w:ascii="仿宋_GB2312" w:hAnsi="仿宋_GB2312" w:eastAsia="仿宋_GB2312" w:cs="仿宋_GB2312"/>
          <w:bCs/>
          <w:sz w:val="32"/>
          <w:szCs w:val="32"/>
        </w:rPr>
        <w:t>预算项目绩效目标管理</w:t>
      </w:r>
      <w:r>
        <w:rPr>
          <w:rFonts w:hint="eastAsia" w:ascii="仿宋_GB2312" w:hAnsi="仿宋_GB2312" w:eastAsia="仿宋_GB2312" w:cs="仿宋_GB2312"/>
          <w:bCs/>
          <w:sz w:val="32"/>
          <w:szCs w:val="32"/>
          <w:lang w:eastAsia="zh-CN"/>
        </w:rPr>
        <w:t>，同时</w:t>
      </w:r>
      <w:r>
        <w:rPr>
          <w:rFonts w:hint="eastAsia" w:ascii="仿宋_GB2312" w:hAnsi="仿宋_GB2312" w:eastAsia="仿宋_GB2312" w:cs="仿宋_GB2312"/>
          <w:bCs/>
          <w:sz w:val="32"/>
          <w:szCs w:val="32"/>
        </w:rPr>
        <w:t>强化评价结果应用，逐步形成反馈、整改、提升绩效的良性循环。</w:t>
      </w:r>
    </w:p>
    <w:p>
      <w:pPr>
        <w:pageBreakBefore w:val="0"/>
        <w:kinsoku/>
        <w:wordWrap/>
        <w:overflowPunct/>
        <w:topLinePunct w:val="0"/>
        <w:autoSpaceDE/>
        <w:autoSpaceDN/>
        <w:bidi w:val="0"/>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建议组织相关部门人员统一进行培训，提高绩效评价报告的编报水平。同时规范</w:t>
      </w:r>
      <w:r>
        <w:rPr>
          <w:rFonts w:hint="eastAsia" w:ascii="仿宋_GB2312" w:hAnsi="仿宋_GB2312" w:eastAsia="仿宋_GB2312" w:cs="仿宋_GB2312"/>
          <w:sz w:val="32"/>
          <w:szCs w:val="32"/>
          <w:lang w:eastAsia="zh-CN"/>
        </w:rPr>
        <w:t>各预算</w:t>
      </w:r>
      <w:r>
        <w:rPr>
          <w:rFonts w:hint="eastAsia" w:ascii="仿宋_GB2312" w:hAnsi="仿宋_GB2312" w:eastAsia="仿宋_GB2312" w:cs="仿宋_GB2312"/>
          <w:sz w:val="32"/>
          <w:szCs w:val="32"/>
        </w:rPr>
        <w:t>项目指标、完善</w:t>
      </w:r>
      <w:r>
        <w:rPr>
          <w:rFonts w:hint="eastAsia" w:ascii="仿宋_GB2312" w:hAnsi="仿宋_GB2312" w:eastAsia="仿宋_GB2312" w:cs="仿宋_GB2312"/>
          <w:sz w:val="32"/>
          <w:szCs w:val="32"/>
          <w:lang w:eastAsia="zh-CN"/>
        </w:rPr>
        <w:t>特殊项目的</w:t>
      </w:r>
      <w:r>
        <w:rPr>
          <w:rFonts w:hint="eastAsia" w:ascii="仿宋_GB2312" w:hAnsi="仿宋_GB2312" w:eastAsia="仿宋_GB2312" w:cs="仿宋_GB2312"/>
          <w:sz w:val="32"/>
          <w:szCs w:val="32"/>
        </w:rPr>
        <w:t>评价指标，以期合理对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项目进行评价</w:t>
      </w:r>
      <w:r>
        <w:rPr>
          <w:rFonts w:hint="eastAsia" w:ascii="仿宋_GB2312" w:hAnsi="仿宋_GB2312" w:eastAsia="仿宋_GB2312" w:cs="仿宋_GB2312"/>
          <w:sz w:val="32"/>
          <w:szCs w:val="32"/>
          <w:lang w:eastAsia="zh-CN"/>
        </w:rPr>
        <w:t>。</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米丽娟</w:t>
      </w:r>
      <w:r>
        <w:rPr>
          <w:rFonts w:hint="eastAsia" w:ascii="仿宋_GB2312" w:hAnsi="仿宋_GB2312" w:eastAsia="仿宋_GB2312" w:cs="仿宋_GB2312"/>
          <w:sz w:val="32"/>
          <w:szCs w:val="32"/>
          <w:lang w:val="en-US" w:eastAsia="zh-CN"/>
        </w:rPr>
        <w:t xml:space="preserve">   局财务股负责人</w:t>
      </w:r>
    </w:p>
    <w:p>
      <w:pPr>
        <w:spacing w:line="360" w:lineRule="auto"/>
        <w:ind w:firstLine="640" w:firstLineChars="200"/>
        <w:jc w:val="left"/>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杨立新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办公室主任</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highlight w:val="none"/>
          <w:lang w:val="en-US" w:eastAsia="zh-CN"/>
        </w:rPr>
        <w:t xml:space="preserve">王立娜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highlight w:val="none"/>
          <w:lang w:val="en-US" w:eastAsia="zh-CN"/>
        </w:rPr>
        <w:t>工</w:t>
      </w:r>
      <w:r>
        <w:rPr>
          <w:rFonts w:hint="eastAsia" w:ascii="仿宋_GB2312" w:eastAsia="仿宋_GB2312"/>
          <w:sz w:val="32"/>
          <w:szCs w:val="32"/>
          <w:lang w:val="en-US" w:eastAsia="zh-CN"/>
        </w:rPr>
        <w:t>程股负责人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李  勇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政策法规股负责人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张  霞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综规股负责人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王晓亮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运输监督股股长</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张建军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招标办负责人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焦  柳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政工股负责人</w:t>
      </w:r>
    </w:p>
    <w:p>
      <w:pPr>
        <w:spacing w:line="360" w:lineRule="auto"/>
        <w:ind w:firstLine="640" w:firstLineChars="200"/>
        <w:jc w:val="left"/>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 xml:space="preserve">张  勇   </w:t>
      </w:r>
      <w:r>
        <w:rPr>
          <w:rFonts w:hint="eastAsia" w:ascii="仿宋_GB2312" w:hAnsi="仿宋_GB2312" w:eastAsia="仿宋_GB2312" w:cs="仿宋_GB2312"/>
          <w:sz w:val="32"/>
          <w:szCs w:val="32"/>
          <w:highlight w:val="none"/>
          <w:lang w:val="en-US" w:eastAsia="zh-CN"/>
        </w:rPr>
        <w:t>局</w:t>
      </w:r>
      <w:r>
        <w:rPr>
          <w:rFonts w:hint="eastAsia" w:ascii="仿宋_GB2312" w:eastAsia="仿宋_GB2312"/>
          <w:sz w:val="32"/>
          <w:szCs w:val="32"/>
          <w:highlight w:val="none"/>
          <w:lang w:val="en-US" w:eastAsia="zh-CN"/>
        </w:rPr>
        <w:t>大气办负责人</w:t>
      </w:r>
    </w:p>
    <w:p>
      <w:pPr>
        <w:spacing w:line="360" w:lineRule="auto"/>
        <w:ind w:firstLine="640" w:firstLineChars="200"/>
        <w:jc w:val="left"/>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 xml:space="preserve">左吉尚   </w:t>
      </w:r>
      <w:r>
        <w:rPr>
          <w:rFonts w:hint="eastAsia" w:ascii="仿宋_GB2312" w:hAnsi="仿宋_GB2312" w:eastAsia="仿宋_GB2312" w:cs="仿宋_GB2312"/>
          <w:sz w:val="32"/>
          <w:szCs w:val="32"/>
          <w:highlight w:val="none"/>
          <w:lang w:val="en-US" w:eastAsia="zh-CN"/>
        </w:rPr>
        <w:t>局</w:t>
      </w:r>
      <w:r>
        <w:rPr>
          <w:rFonts w:hint="eastAsia" w:ascii="仿宋_GB2312" w:eastAsia="仿宋_GB2312"/>
          <w:sz w:val="32"/>
          <w:szCs w:val="32"/>
          <w:highlight w:val="none"/>
          <w:lang w:val="en-US" w:eastAsia="zh-CN"/>
        </w:rPr>
        <w:t>督查室负责人</w:t>
      </w:r>
    </w:p>
    <w:p>
      <w:pPr>
        <w:spacing w:line="360" w:lineRule="auto"/>
        <w:ind w:firstLine="640" w:firstLineChars="200"/>
        <w:jc w:val="left"/>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曹东亮   局路灯办负责人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冯立军   综合执法大队书记</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聂为民   运输服务中心书记</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张  平   地方公路管理站书记</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李正军   公路管理站书记</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马军花   公路设计质监中心主任</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温春艳   公路绿化管理中心书记</w:t>
      </w:r>
    </w:p>
    <w:p>
      <w:pPr>
        <w:spacing w:line="360" w:lineRule="auto"/>
        <w:ind w:left="1440" w:hanging="1440" w:hangingChars="45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王永伟   滨河路景观管理中心书记</w:t>
      </w:r>
    </w:p>
    <w:p>
      <w:pPr>
        <w:spacing w:line="360" w:lineRule="auto"/>
        <w:ind w:left="1438" w:leftChars="304" w:hanging="800" w:hangingChars="250"/>
        <w:jc w:val="left"/>
        <w:rPr>
          <w:rFonts w:ascii="仿宋" w:hAnsi="仿宋" w:eastAsia="仿宋"/>
        </w:rPr>
      </w:pPr>
      <w:r>
        <w:rPr>
          <w:rFonts w:hint="eastAsia" w:ascii="仿宋_GB2312" w:eastAsia="仿宋_GB2312"/>
          <w:sz w:val="32"/>
          <w:szCs w:val="32"/>
          <w:lang w:val="en-US" w:eastAsia="zh-CN"/>
        </w:rPr>
        <w:t xml:space="preserve">范博慧   </w:t>
      </w:r>
      <w:r>
        <w:rPr>
          <w:rFonts w:hint="eastAsia" w:ascii="仿宋_GB2312" w:hAnsi="仿宋_GB2312" w:eastAsia="仿宋_GB2312" w:cs="仿宋_GB2312"/>
          <w:sz w:val="32"/>
          <w:szCs w:val="32"/>
          <w:lang w:val="en-US" w:eastAsia="zh-CN"/>
        </w:rPr>
        <w:t>局财务股会计</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22D8545"/>
    <w:multiLevelType w:val="singleLevel"/>
    <w:tmpl w:val="E22D8545"/>
    <w:lvl w:ilvl="0" w:tentative="0">
      <w:start w:val="3"/>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382C26"/>
    <w:rsid w:val="07956271"/>
    <w:rsid w:val="09721397"/>
    <w:rsid w:val="0BB63BED"/>
    <w:rsid w:val="0E0442A1"/>
    <w:rsid w:val="0EB97A43"/>
    <w:rsid w:val="0EBD2122"/>
    <w:rsid w:val="0F214EAE"/>
    <w:rsid w:val="11B71E6A"/>
    <w:rsid w:val="1AAF0063"/>
    <w:rsid w:val="1BE140DE"/>
    <w:rsid w:val="248C197D"/>
    <w:rsid w:val="252959AF"/>
    <w:rsid w:val="277A6671"/>
    <w:rsid w:val="292D35B7"/>
    <w:rsid w:val="2A5C49D0"/>
    <w:rsid w:val="32817910"/>
    <w:rsid w:val="33BD4065"/>
    <w:rsid w:val="33EB6CFF"/>
    <w:rsid w:val="345B7055"/>
    <w:rsid w:val="35A12947"/>
    <w:rsid w:val="37387040"/>
    <w:rsid w:val="3B625C0A"/>
    <w:rsid w:val="3CEE1963"/>
    <w:rsid w:val="3CF9393A"/>
    <w:rsid w:val="436B78D3"/>
    <w:rsid w:val="4C6004AF"/>
    <w:rsid w:val="4C903146"/>
    <w:rsid w:val="4C9C27FE"/>
    <w:rsid w:val="512260B4"/>
    <w:rsid w:val="52BD6ACB"/>
    <w:rsid w:val="55537534"/>
    <w:rsid w:val="561A74F1"/>
    <w:rsid w:val="596939B0"/>
    <w:rsid w:val="597244E8"/>
    <w:rsid w:val="5EB71C30"/>
    <w:rsid w:val="66AF0CE5"/>
    <w:rsid w:val="6AC537CF"/>
    <w:rsid w:val="6E5B14A6"/>
    <w:rsid w:val="711B255E"/>
    <w:rsid w:val="7BB51E06"/>
    <w:rsid w:val="7C387F7C"/>
    <w:rsid w:val="7CE938FE"/>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spacing w:line="500" w:lineRule="exact"/>
      <w:ind w:firstLine="560"/>
    </w:pPr>
    <w:rPr>
      <w:rFonts w:eastAsia="方正仿宋_GBK"/>
      <w:sz w:val="28"/>
    </w:rPr>
  </w:style>
  <w:style w:type="paragraph" w:customStyle="1" w:styleId="7">
    <w:name w:val="单元格样式1"/>
    <w:basedOn w:val="1"/>
    <w:qFormat/>
    <w:uiPriority w:val="0"/>
    <w:pPr>
      <w:jc w:val="center"/>
    </w:pPr>
    <w:rPr>
      <w:rFonts w:ascii="方正书宋_GBK" w:hAnsi="方正书宋_GBK" w:eastAsia="方正书宋_GBK" w:cs="方正书宋_GBK"/>
      <w:b/>
      <w:sz w:val="21"/>
    </w:rPr>
  </w:style>
  <w:style w:type="paragraph" w:customStyle="1" w:styleId="8">
    <w:name w:val="单元格样式2"/>
    <w:basedOn w:val="1"/>
    <w:qFormat/>
    <w:uiPriority w:val="0"/>
    <w:rPr>
      <w:rFonts w:ascii="方正书宋_GBK" w:hAnsi="方正书宋_GBK" w:eastAsia="方正书宋_GBK" w:cs="方正书宋_GBK"/>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插入文本样式-插入总体目标文件"/>
    <w:basedOn w:val="1"/>
    <w:qFormat/>
    <w:uiPriority w:val="0"/>
    <w:pPr>
      <w:spacing w:line="500" w:lineRule="exact"/>
      <w:ind w:firstLine="560"/>
    </w:pPr>
    <w:rPr>
      <w:rFonts w:eastAsia="方正仿宋_GBK"/>
      <w:sz w:val="28"/>
    </w:rPr>
  </w:style>
  <w:style w:type="paragraph" w:customStyle="1" w:styleId="11">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0</TotalTime>
  <ScaleCrop>false</ScaleCrop>
  <LinksUpToDate>false</LinksUpToDate>
  <CharactersWithSpaces>669</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2024-05-11T08:53:00Z</cp:lastPrinted>
  <dcterms:modified xsi:type="dcterms:W3CDTF">2024-05-17T02:34:13Z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96934721B1514D3FBAA28020338CE855_12</vt:lpwstr>
  </property>
</Properties>
</file>