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石家庄市鹿泉区交通运输局部门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2022年度整体支出绩效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石家庄市鹿泉区交通运输局部门对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2022年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  <w:highlight w:val="none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highlight w:val="none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highlight w:val="none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  <w:highlight w:val="none"/>
        </w:rPr>
        <w:t>概况</w:t>
      </w:r>
    </w:p>
    <w:p>
      <w:pPr>
        <w:ind w:firstLine="640"/>
      </w:pPr>
      <w:r>
        <w:rPr>
          <w:rFonts w:hint="eastAsia" w:ascii="方正楷体_GBK" w:hAnsi="方正楷体_GBK" w:eastAsia="方正楷体_GBK" w:cs="方正楷体_GBK"/>
          <w:b/>
          <w:color w:val="000000"/>
          <w:sz w:val="32"/>
          <w:lang w:val="en-US" w:eastAsia="zh-CN"/>
        </w:rPr>
        <w:t>1、</w:t>
      </w:r>
      <w:r>
        <w:rPr>
          <w:rFonts w:ascii="方正楷体_GBK" w:hAnsi="方正楷体_GBK" w:eastAsia="方正楷体_GBK" w:cs="方正楷体_GBK"/>
          <w:b/>
          <w:color w:val="000000"/>
          <w:sz w:val="32"/>
        </w:rPr>
        <w:t>部门职责</w:t>
      </w:r>
    </w:p>
    <w:p>
      <w:pPr>
        <w:pStyle w:val="9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（1）拟订全区交通运输行业发展规划并组织实施；参与拟订有关物流业发展规划并监督实施。</w:t>
      </w:r>
    </w:p>
    <w:p>
      <w:pPr>
        <w:pStyle w:val="9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（2）会同有关部门编制全区综合运输体系发展规划并组织实施。协调规划全区综合运输体系建设，组织协调相关运输方式的合理布局和有效衔接；建立完善交通运输行业联运服务体系；拟订全区公路建设、城市公共交通（不含轨道交通，下同）建设和道路（含水路，下同）运输中长期发展规划，拟订公路建设与养护年度指令性计划并组织实施；负责交通运输枢纽规划和管理。</w:t>
      </w:r>
    </w:p>
    <w:p>
      <w:pPr>
        <w:pStyle w:val="9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（3）承担全区公路建设市场监管责任。负责全区国省干线公路（含国防公路）的规划、建设、养护、管理，依法维护路产路权、保护公路设施，开发公路用地；依法查处超限超载运输车辆；负责交通运输工程建设、工程质量和安全生产的监管；负责全区交通基本建设项目招投标活动的监督管理；配合做好国防交通有关工作。</w:t>
      </w:r>
    </w:p>
    <w:p>
      <w:pPr>
        <w:pStyle w:val="9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（4）承担道路运输市场监管责任。负责道路运输经营、道路运输相关业务和城市公共交通等行业管理工作；负责区内公交站、场、点的规划、建设和管理，依法保护和支持合法经营，取缔非法运输；指导城乡客运及有关设施规划和管理；承担有关物流市场管理。</w:t>
      </w:r>
    </w:p>
    <w:p>
      <w:pPr>
        <w:pStyle w:val="9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（5）承担管辖水域水上交通安全监管责任。负责全区渔船检验和监督管理工作，会同有关部门，依法组织或参与事故调查处理。</w:t>
      </w:r>
    </w:p>
    <w:p>
      <w:pPr>
        <w:pStyle w:val="9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（6）负责提出全区交通运输行业固定资产投资规模和方向、区财政性资金安排意见；负责监督区交通运输系统国有资产经营管理工作；负责全区交通运输资金的管理、使用和投资开发工作；指导交通系统内部审计工作；承担交通运输行业财政预算资金的绩效监督和管理工作。</w:t>
      </w:r>
    </w:p>
    <w:p>
      <w:pPr>
        <w:pStyle w:val="9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（7）制订全区交通运输行业科技发展规划，组织行业科技创新应用，推动行业科技进步。负责交通运输行业信息化建设，监测分析运行情况，开展相关统计工作。指导交通运输行业环境保护和节能减排。</w:t>
      </w:r>
    </w:p>
    <w:p>
      <w:pPr>
        <w:pStyle w:val="9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（8）负责全区交通运输综合行政执法和队伍建设有关工作；统筹协调交通运输综合行政执法工作；负责交通运输行业体制改革工作。</w:t>
      </w:r>
    </w:p>
    <w:p>
      <w:pPr>
        <w:pStyle w:val="9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（9）负责交通运输系统安全生产和应急管理工作；牵头负责铁路沿线环境安全监管职责；按规定组织协调国家、省、市、区重点物资和紧急客货运输；负责区内国、省重点干线公路网运行监测和应急处置协调工作。</w:t>
      </w:r>
    </w:p>
    <w:p>
      <w:pPr>
        <w:pStyle w:val="9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（10）负责全区交通运输行业的涉外事宜，指导利用外资，开展交通运输经济技术合作与交流。</w:t>
      </w:r>
    </w:p>
    <w:p>
      <w:pPr>
        <w:pStyle w:val="9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（11）推进京津冀协同发展交通一体化工作。</w:t>
      </w:r>
    </w:p>
    <w:p>
      <w:pPr>
        <w:pStyle w:val="9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（12）完成区委、区政府交办的其他任务。</w:t>
      </w:r>
    </w:p>
    <w:p>
      <w:pPr>
        <w:pStyle w:val="9"/>
        <w:rPr>
          <w:rFonts w:hint="eastAsia" w:ascii="方正楷体_GBK" w:hAnsi="方正楷体_GBK" w:eastAsia="方正楷体_GBK" w:cs="方正楷体_GBK"/>
          <w:b/>
          <w:color w:val="000000"/>
          <w:kern w:val="2"/>
          <w:sz w:val="32"/>
          <w:szCs w:val="22"/>
          <w:lang w:val="en-US" w:eastAsia="zh-CN" w:bidi="ar-SA"/>
        </w:rPr>
      </w:pPr>
      <w:r>
        <w:rPr>
          <w:rFonts w:hint="eastAsia" w:ascii="方正楷体_GBK" w:hAnsi="方正楷体_GBK" w:eastAsia="方正楷体_GBK" w:cs="方正楷体_GBK"/>
          <w:b/>
          <w:color w:val="000000"/>
          <w:kern w:val="2"/>
          <w:sz w:val="32"/>
          <w:szCs w:val="22"/>
          <w:lang w:val="en-US" w:eastAsia="zh-CN" w:bidi="ar-SA"/>
        </w:rPr>
        <w:t>2、机构设置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75"/>
        <w:gridCol w:w="1166"/>
        <w:gridCol w:w="2126"/>
        <w:gridCol w:w="302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3175" w:type="dxa"/>
            <w:vAlign w:val="center"/>
          </w:tcPr>
          <w:p>
            <w:pPr>
              <w:pStyle w:val="10"/>
            </w:pPr>
            <w:r>
              <w:t>单位名称</w:t>
            </w:r>
          </w:p>
        </w:tc>
        <w:tc>
          <w:tcPr>
            <w:tcW w:w="1166" w:type="dxa"/>
            <w:vAlign w:val="center"/>
          </w:tcPr>
          <w:p>
            <w:pPr>
              <w:pStyle w:val="10"/>
            </w:pPr>
            <w:r>
              <w:t>单位性质</w:t>
            </w:r>
          </w:p>
        </w:tc>
        <w:tc>
          <w:tcPr>
            <w:tcW w:w="2126" w:type="dxa"/>
            <w:vAlign w:val="center"/>
          </w:tcPr>
          <w:p>
            <w:pPr>
              <w:pStyle w:val="10"/>
            </w:pPr>
            <w:r>
              <w:t>单位规格</w:t>
            </w:r>
          </w:p>
        </w:tc>
        <w:tc>
          <w:tcPr>
            <w:tcW w:w="3026" w:type="dxa"/>
            <w:vAlign w:val="center"/>
          </w:tcPr>
          <w:p>
            <w:pPr>
              <w:pStyle w:val="10"/>
            </w:pPr>
            <w: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175" w:type="dxa"/>
            <w:vAlign w:val="center"/>
          </w:tcPr>
          <w:p>
            <w:pPr>
              <w:pStyle w:val="11"/>
            </w:pPr>
            <w:r>
              <w:t>石家庄市鹿泉区交通运输局本级</w:t>
            </w:r>
          </w:p>
        </w:tc>
        <w:tc>
          <w:tcPr>
            <w:tcW w:w="1166" w:type="dxa"/>
            <w:vAlign w:val="center"/>
          </w:tcPr>
          <w:p>
            <w:pPr>
              <w:pStyle w:val="12"/>
            </w:pPr>
            <w:r>
              <w:t>行政</w:t>
            </w:r>
          </w:p>
        </w:tc>
        <w:tc>
          <w:tcPr>
            <w:tcW w:w="2126" w:type="dxa"/>
            <w:vAlign w:val="center"/>
          </w:tcPr>
          <w:p>
            <w:pPr>
              <w:pStyle w:val="12"/>
            </w:pPr>
            <w:r>
              <w:t>正科级</w:t>
            </w:r>
          </w:p>
        </w:tc>
        <w:tc>
          <w:tcPr>
            <w:tcW w:w="3026" w:type="dxa"/>
            <w:vAlign w:val="center"/>
          </w:tcPr>
          <w:p>
            <w:pPr>
              <w:pStyle w:val="12"/>
            </w:pPr>
            <w:r>
              <w:t>财政拨款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175" w:type="dxa"/>
            <w:vAlign w:val="center"/>
          </w:tcPr>
          <w:p>
            <w:pPr>
              <w:pStyle w:val="11"/>
            </w:pPr>
            <w:r>
              <w:t>石家庄市鹿泉区交通运输综合执法大队</w:t>
            </w:r>
          </w:p>
        </w:tc>
        <w:tc>
          <w:tcPr>
            <w:tcW w:w="1166" w:type="dxa"/>
            <w:vAlign w:val="center"/>
          </w:tcPr>
          <w:p>
            <w:pPr>
              <w:pStyle w:val="12"/>
            </w:pPr>
            <w:r>
              <w:t>事业</w:t>
            </w:r>
          </w:p>
        </w:tc>
        <w:tc>
          <w:tcPr>
            <w:tcW w:w="2126" w:type="dxa"/>
            <w:vAlign w:val="center"/>
          </w:tcPr>
          <w:p>
            <w:pPr>
              <w:pStyle w:val="12"/>
            </w:pPr>
            <w:r>
              <w:t>副科级</w:t>
            </w:r>
          </w:p>
        </w:tc>
        <w:tc>
          <w:tcPr>
            <w:tcW w:w="3026" w:type="dxa"/>
            <w:vAlign w:val="center"/>
          </w:tcPr>
          <w:p>
            <w:pPr>
              <w:pStyle w:val="12"/>
            </w:pPr>
            <w:r>
              <w:t>财政性资金定额或定项补助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175" w:type="dxa"/>
            <w:vAlign w:val="center"/>
          </w:tcPr>
          <w:p>
            <w:pPr>
              <w:pStyle w:val="11"/>
            </w:pPr>
            <w:r>
              <w:t>石家庄市鹿泉区交通运输服务中心</w:t>
            </w:r>
          </w:p>
        </w:tc>
        <w:tc>
          <w:tcPr>
            <w:tcW w:w="1166" w:type="dxa"/>
            <w:vAlign w:val="center"/>
          </w:tcPr>
          <w:p>
            <w:pPr>
              <w:pStyle w:val="12"/>
            </w:pPr>
            <w:r>
              <w:t>事业</w:t>
            </w:r>
          </w:p>
        </w:tc>
        <w:tc>
          <w:tcPr>
            <w:tcW w:w="2126" w:type="dxa"/>
            <w:vAlign w:val="center"/>
          </w:tcPr>
          <w:p>
            <w:pPr>
              <w:pStyle w:val="12"/>
            </w:pPr>
            <w:r>
              <w:t>股级</w:t>
            </w:r>
          </w:p>
        </w:tc>
        <w:tc>
          <w:tcPr>
            <w:tcW w:w="3026" w:type="dxa"/>
            <w:vAlign w:val="center"/>
          </w:tcPr>
          <w:p>
            <w:pPr>
              <w:pStyle w:val="12"/>
            </w:pPr>
            <w:r>
              <w:t>财政性资金定额或定项补助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175" w:type="dxa"/>
            <w:vAlign w:val="center"/>
          </w:tcPr>
          <w:p>
            <w:pPr>
              <w:pStyle w:val="11"/>
            </w:pPr>
            <w:r>
              <w:t>石家庄市鹿泉区公路绿化管理中心</w:t>
            </w:r>
          </w:p>
        </w:tc>
        <w:tc>
          <w:tcPr>
            <w:tcW w:w="1166" w:type="dxa"/>
            <w:vAlign w:val="center"/>
          </w:tcPr>
          <w:p>
            <w:pPr>
              <w:pStyle w:val="12"/>
            </w:pPr>
            <w:r>
              <w:t>事业</w:t>
            </w:r>
          </w:p>
        </w:tc>
        <w:tc>
          <w:tcPr>
            <w:tcW w:w="2126" w:type="dxa"/>
            <w:vAlign w:val="center"/>
          </w:tcPr>
          <w:p>
            <w:pPr>
              <w:pStyle w:val="12"/>
            </w:pPr>
            <w:r>
              <w:t>股级</w:t>
            </w:r>
          </w:p>
        </w:tc>
        <w:tc>
          <w:tcPr>
            <w:tcW w:w="3026" w:type="dxa"/>
            <w:vAlign w:val="center"/>
          </w:tcPr>
          <w:p>
            <w:pPr>
              <w:pStyle w:val="12"/>
            </w:pPr>
            <w:r>
              <w:t>财政性资金定额或定项补助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175" w:type="dxa"/>
            <w:vAlign w:val="center"/>
          </w:tcPr>
          <w:p>
            <w:pPr>
              <w:pStyle w:val="11"/>
            </w:pPr>
            <w:r>
              <w:t>石家庄市鹿泉区公路管理站</w:t>
            </w:r>
          </w:p>
        </w:tc>
        <w:tc>
          <w:tcPr>
            <w:tcW w:w="1166" w:type="dxa"/>
            <w:vAlign w:val="center"/>
          </w:tcPr>
          <w:p>
            <w:pPr>
              <w:pStyle w:val="12"/>
            </w:pPr>
            <w:r>
              <w:t>事业</w:t>
            </w:r>
          </w:p>
        </w:tc>
        <w:tc>
          <w:tcPr>
            <w:tcW w:w="2126" w:type="dxa"/>
            <w:vAlign w:val="center"/>
          </w:tcPr>
          <w:p>
            <w:pPr>
              <w:pStyle w:val="12"/>
            </w:pPr>
            <w:r>
              <w:t>股级</w:t>
            </w:r>
          </w:p>
        </w:tc>
        <w:tc>
          <w:tcPr>
            <w:tcW w:w="3026" w:type="dxa"/>
            <w:vAlign w:val="center"/>
          </w:tcPr>
          <w:p>
            <w:pPr>
              <w:pStyle w:val="12"/>
            </w:pPr>
            <w:r>
              <w:t>财政性资金零补助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175" w:type="dxa"/>
            <w:vAlign w:val="center"/>
          </w:tcPr>
          <w:p>
            <w:pPr>
              <w:pStyle w:val="11"/>
            </w:pPr>
            <w:r>
              <w:t>石家庄市鹿泉区地方公路管理站</w:t>
            </w:r>
          </w:p>
        </w:tc>
        <w:tc>
          <w:tcPr>
            <w:tcW w:w="1166" w:type="dxa"/>
            <w:vAlign w:val="center"/>
          </w:tcPr>
          <w:p>
            <w:pPr>
              <w:pStyle w:val="12"/>
            </w:pPr>
            <w:r>
              <w:t>事业</w:t>
            </w:r>
          </w:p>
        </w:tc>
        <w:tc>
          <w:tcPr>
            <w:tcW w:w="2126" w:type="dxa"/>
            <w:vAlign w:val="center"/>
          </w:tcPr>
          <w:p>
            <w:pPr>
              <w:pStyle w:val="12"/>
            </w:pPr>
            <w:r>
              <w:t>股级</w:t>
            </w:r>
          </w:p>
        </w:tc>
        <w:tc>
          <w:tcPr>
            <w:tcW w:w="3026" w:type="dxa"/>
            <w:vAlign w:val="center"/>
          </w:tcPr>
          <w:p>
            <w:pPr>
              <w:pStyle w:val="12"/>
            </w:pPr>
            <w:r>
              <w:t>财政性资金零补助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175" w:type="dxa"/>
            <w:vAlign w:val="center"/>
          </w:tcPr>
          <w:p>
            <w:pPr>
              <w:pStyle w:val="11"/>
            </w:pPr>
            <w:r>
              <w:t>石家庄市鹿泉区公路设计质监中心</w:t>
            </w:r>
          </w:p>
        </w:tc>
        <w:tc>
          <w:tcPr>
            <w:tcW w:w="1166" w:type="dxa"/>
            <w:vAlign w:val="center"/>
          </w:tcPr>
          <w:p>
            <w:pPr>
              <w:pStyle w:val="12"/>
            </w:pPr>
            <w:r>
              <w:t>事业</w:t>
            </w:r>
          </w:p>
        </w:tc>
        <w:tc>
          <w:tcPr>
            <w:tcW w:w="2126" w:type="dxa"/>
            <w:vAlign w:val="center"/>
          </w:tcPr>
          <w:p>
            <w:pPr>
              <w:pStyle w:val="12"/>
            </w:pPr>
            <w:r>
              <w:t>股级</w:t>
            </w:r>
          </w:p>
        </w:tc>
        <w:tc>
          <w:tcPr>
            <w:tcW w:w="3026" w:type="dxa"/>
            <w:vAlign w:val="center"/>
          </w:tcPr>
          <w:p>
            <w:pPr>
              <w:pStyle w:val="12"/>
            </w:pPr>
            <w:r>
              <w:t>财政性资金零补助</w:t>
            </w:r>
            <w:bookmarkStart w:id="0" w:name="_GoBack"/>
            <w:bookmarkEnd w:id="0"/>
          </w:p>
        </w:tc>
      </w:tr>
    </w:tbl>
    <w:p>
      <w:pPr>
        <w:pStyle w:val="9"/>
        <w:numPr>
          <w:ilvl w:val="0"/>
          <w:numId w:val="1"/>
        </w:numPr>
        <w:rPr>
          <w:rFonts w:hint="eastAsia" w:ascii="方正楷体_GBK" w:hAnsi="方正楷体_GBK" w:eastAsia="方正楷体_GBK" w:cs="方正楷体_GBK"/>
          <w:b/>
          <w:color w:val="000000"/>
          <w:kern w:val="2"/>
          <w:sz w:val="32"/>
          <w:szCs w:val="22"/>
          <w:lang w:val="en-US" w:eastAsia="zh-CN" w:bidi="ar-SA"/>
        </w:rPr>
      </w:pPr>
      <w:r>
        <w:rPr>
          <w:rFonts w:hint="eastAsia" w:ascii="方正楷体_GBK" w:hAnsi="方正楷体_GBK" w:eastAsia="方正楷体_GBK" w:cs="方正楷体_GBK"/>
          <w:b/>
          <w:color w:val="000000"/>
          <w:kern w:val="2"/>
          <w:sz w:val="32"/>
          <w:szCs w:val="22"/>
          <w:lang w:val="en-US" w:eastAsia="zh-CN" w:bidi="ar-SA"/>
        </w:rPr>
        <w:t>人员情况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截至2022年底，我部门共有在职人员224人。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highlight w:val="none"/>
          <w:lang w:eastAsia="zh-CN"/>
        </w:rPr>
        <w:t>部门收支预决算情况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>我部门2022年预算收入53385.32万元，其中：一般公共预算收入48025.57万元，基金预算收入4199.81万元，上年结转结余1159.94万元。我部门2022年度支出合计56995.78万元。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（三）部门整体支出绩效目标、指标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总体绩效目标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完成对国省干线道路、农村公路道路建设养护，加强大气污染治理，优化和改善公路路网结构和路况，改善道路通行环境，有效提升鹿泉生态交通建设。加强行业管理，保障交通运输行业健康发展；通过开展交通运输综合执法工作，严格控制超限超载率。通过行之有效的措施，确保公路辐射带动社会经济发展能力明显提升，不断增强人民群众获得感、幸福感、安全感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分项绩效目标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）普通干线公路养护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绩效目标：通过实施普通国省干线公路的预防性养护及沿线配套设施等的养护，确保路面完好率及植被成活率，提升公路运行质量，使国省干线公路保持良好的服务水平。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绩效指标：完成道路养护工程量不低于327.97万平方米，养护道路12条，路面洒扫清洁达标率不低于90%；路面完好率及植被成活率均达90%以上；群众对公路运行整体满意度不低于90%。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2、农村公路建设养护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绩效目标：通过实施农村公路改建工程、大中修工程和日常养护，优化和改善农村公路路网结构和路况，加强鹿泉生态交通建设，提高公路运行质量，提升农村公路服务民生水平。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绩效指标：改造农村公路70多条，养护公路23条，公路路面清扫达标率不低于90%；绿化及设施完好率不低于95%；服务对象对项目实施效果的满意程度不低于90%。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3、交通综合执法管理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绩效目标：开展交通运输综合执法工作，治理超限运输，建设联合治超站宜安分站，实施科技治超建设工程，维护道路安全设施，保障通行能力。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绩效指标：有效治理超限超载，超限超载率不超过2%；保障公路安全设施完好；保障公路超限检测站政策运行。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4、公交站亭建设养护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绩效目标：通过实施公交站亭建设工程和公交站亭、站牌的维护保洁，方便群众出行，为市民提供舒适候车、乘车环境，提升城市形象。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绩效指标：建设公交站亭30个，公交站亭工程验收合格率；维护保洁的公交站亭33座，维护保洁的公交站牌409块，形成常态化管理服务。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5、综合事务管理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绩效目标：对鹿泉境内高速口进行疫情防控；对铁路环境安全隐患进行整治，保障铁路沿线两侧环境安全；完成鹿泉区“十四五”期间主要道路建设规划编制；完成山前大道PPP项目委托跟踪审计和最终审计工作。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绩效指标：13个高速口所需防控人次不少于2600人，突发公共卫生事件0件；铁路沿线两侧500米范围内整治长度不少于77.75公里， 安全隐患整治率不低于95%；编制2套鹿泉区“十四五”期间主要道路建设规划及交通专项发展规划（2021-2035）；出具6篇山前大道PPP项目委托跟踪审计报告、2本最终审计报告，确保山前大道总投资合理，准确，为支付可用性服务费提供准确金额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为做好202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预算项目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绩效自评工作，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我部门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各单位分别研究制定工作实施方案，成立绩效评价工作领导小组，统筹谋划、精心组织，对202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年度资金进行了全面梳理，明确了评价项目内容和具体职责分工。</w:t>
      </w:r>
    </w:p>
    <w:p>
      <w:pPr>
        <w:widowControl w:val="0"/>
        <w:numPr>
          <w:ilvl w:val="0"/>
          <w:numId w:val="3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各单位对照年初确定的绩效目标、指标和评价标准，结合项目完成情况，对202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预算项目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逐项进行了绩效自评，形成绩效自评报告。评价过程中各单位对各项目的支出情况进行了分析，同时查看相关文件，严格按照项目计划和规定用途专款专用，并严格按照会计法律法规及公司规定的制度执行，自评过程科学合理，结果公平、公正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>
      <w:pPr>
        <w:widowControl w:val="0"/>
        <w:numPr>
          <w:ilvl w:val="0"/>
          <w:numId w:val="4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完成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对国省干线道路、农村公路道路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建设养护，大气污染治理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成效明显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，公路路网结构和路况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得到了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优化和改善，改善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道路通行环境，有效提升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鹿泉生态交通建设。加强行业管理，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有效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保障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交通运输行业健康发展；通过开展交通运输综合执法工作，严格控制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超限超载率。通过行之有效的措施，公路辐射带动社会经济发展能力明显提升，人民群众获得感、幸福感、安全感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得到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不断增强。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分项绩效目标实现情况及指标分析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1、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普通干线公路养护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绩效目标：通过实施普通国省干线公路的预防性养护及沿线配套设施等的养护，路面完好率及植被成活率较高，提升了公路运行质量，使国省干线公路保持良好的服务水平。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绩效指标：完成道路养护工程量327.97万平方米，养护道路12条，路面洒扫清洁达标率为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%；路面完好率及植被成活率均达90%以上；群众对公路运行整体满意度为9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%。综合得分为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97分。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2、农村公路建设养护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绩效目标：通过实施农村公路改建工程、大中修工程和日常养护，农村公路路网结构和路况得到了优化和改善，有效提升了鹿泉生态交通建设水平，提高了公路运行质量，农村公路服务民生水平得到提高。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绩效指标：改造农村公路70余条，养护公路23条，公路路面清扫达标率为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%；绿化及设施完好率为95%；服务对象对项目实施效果的满意程度为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%。综合得分为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96分。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3、交通综合执法管理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绩效目标：开展交通运输综合执法工作，治理超限运输，建设联合治超站宜安分站，实施科技治超建设工程，维护道路安全设施，保障通行能力。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绩效指标：有效治理了超限超载，超限超载率低于2%；公路安全设施完好；保障了公路超限检测站正常运行。综合得分为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96分。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4、公交站亭建设养护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绩效目标：通过实施公交站亭建设工程和公交站亭、站牌的维护保洁，方便了群众出行，为市民提供了舒适候车、乘车环境，提升了城市形象。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绩效指标：建设公交站亭30个，公交站亭工程验收合格；维护保洁的公交站亭33座，维护保洁的公交站牌409块，形成了常态化管理服务。综合得分为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97分。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5、综合事务管理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绩效目标：对鹿泉境内高速口进行疫情防控；对铁路环境安全隐患进行整治，保障了铁路沿线两侧环境安全；完成山前大道PPP项目委托跟踪审计和最终审计工作。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绩效指标：13个高速口所需防控人次2600余人，突发公共卫生事件0件；铁路沿线两侧500米范围内整治长度77.75公里，安全隐患整治率为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%；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山前大道PPP项目委托跟踪审计和最终审计工作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eastAsia="zh-CN"/>
        </w:rPr>
        <w:t>有序推进，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确保山前大道总投资合理准确，为支付可用性服务费提供准确金额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eastAsia="zh-CN"/>
        </w:rPr>
        <w:t>。综合得分为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93分。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根据部门职责定位和各项工作履职情况进行综合评价，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2022年预算项目绩效自评得分为97</w:t>
      </w:r>
      <w:r>
        <w:rPr>
          <w:rFonts w:hint="eastAsia" w:ascii="仿宋_GB2312" w:hAnsi="仿宋_GB2312" w:eastAsia="仿宋_GB2312" w:cs="仿宋_GB2312"/>
          <w:sz w:val="32"/>
          <w:szCs w:val="32"/>
        </w:rPr>
        <w:t>分，综合绩效评价等级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为优秀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通过绩效自评结果对比年初绩效目标设定情况看，年初设定的绩效目标整体清晰准确，绩效指标全面完整、科学合理，绩效标准恰当适宜、易于评价。但是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部分指标设定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不够合理，</w:t>
      </w:r>
      <w:r>
        <w:rPr>
          <w:rFonts w:hint="eastAsia" w:ascii="仿宋_GB2312" w:hAnsi="仿宋_GB2312" w:eastAsia="仿宋_GB2312" w:cs="仿宋_GB2312"/>
          <w:sz w:val="32"/>
          <w:szCs w:val="32"/>
        </w:rPr>
        <w:t>应结合项目实际情况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分别</w:t>
      </w:r>
      <w:r>
        <w:rPr>
          <w:rFonts w:hint="eastAsia" w:ascii="仿宋_GB2312" w:hAnsi="仿宋_GB2312" w:eastAsia="仿宋_GB2312" w:cs="仿宋_GB2312"/>
          <w:sz w:val="32"/>
          <w:szCs w:val="32"/>
        </w:rPr>
        <w:t>设定分数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设定指标。</w:t>
      </w:r>
    </w:p>
    <w:p>
      <w:pPr>
        <w:widowControl w:val="0"/>
        <w:numPr>
          <w:ilvl w:val="0"/>
          <w:numId w:val="4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针对问题提出具体的改进措施或建议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合理设置绩效目标，突出预算编制环节绩效导向，从源头上提高预算编制的科学性和精准性，做好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以后年度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预算项目绩效目标管理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，同时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强化评价结果应用，逐步形成反馈、整改、提升绩效的良性循环。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sz w:val="32"/>
          <w:szCs w:val="32"/>
        </w:rPr>
        <w:t>建议组织相关部门人员统一进行培训，提高绩效评价报告的编报水平。同时规范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各预算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项目指标、完善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特殊项目的</w:t>
      </w:r>
      <w:r>
        <w:rPr>
          <w:rFonts w:hint="eastAsia" w:ascii="仿宋_GB2312" w:hAnsi="仿宋_GB2312" w:eastAsia="仿宋_GB2312" w:cs="仿宋_GB2312"/>
          <w:sz w:val="32"/>
          <w:szCs w:val="32"/>
        </w:rPr>
        <w:t>评价指标，以期合理对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预算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项目进行评价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六、评价工作组人员名单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米丽娟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财务股负责人</w:t>
      </w:r>
    </w:p>
    <w:p>
      <w:pPr>
        <w:spacing w:line="360" w:lineRule="auto"/>
        <w:ind w:firstLine="640" w:firstLineChars="200"/>
        <w:jc w:val="left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杨立新   办公室主任</w:t>
      </w:r>
    </w:p>
    <w:p>
      <w:pPr>
        <w:spacing w:line="360" w:lineRule="auto"/>
        <w:ind w:firstLine="640" w:firstLineChars="20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王立娜   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程股负责人</w:t>
      </w:r>
    </w:p>
    <w:p>
      <w:pPr>
        <w:spacing w:line="360" w:lineRule="auto"/>
        <w:ind w:firstLine="640" w:firstLineChars="20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李  勇   政策法规股负责人</w:t>
      </w:r>
    </w:p>
    <w:p>
      <w:pPr>
        <w:spacing w:line="360" w:lineRule="auto"/>
        <w:ind w:firstLine="640" w:firstLineChars="20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张  霞   综规股负责人</w:t>
      </w:r>
    </w:p>
    <w:p>
      <w:pPr>
        <w:spacing w:line="360" w:lineRule="auto"/>
        <w:ind w:firstLine="640" w:firstLineChars="20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王晓亮   运输监督股股长</w:t>
      </w:r>
    </w:p>
    <w:p>
      <w:pPr>
        <w:spacing w:line="360" w:lineRule="auto"/>
        <w:ind w:firstLine="640" w:firstLineChars="20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张建军   招标办主任</w:t>
      </w:r>
    </w:p>
    <w:p>
      <w:pPr>
        <w:spacing w:line="360" w:lineRule="auto"/>
        <w:ind w:firstLine="640" w:firstLineChars="20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焦  柳   政工股负责人</w:t>
      </w:r>
    </w:p>
    <w:p>
      <w:pPr>
        <w:spacing w:line="360" w:lineRule="auto"/>
        <w:ind w:firstLine="640" w:firstLineChars="20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冯立军   综合执法大队书记</w:t>
      </w:r>
    </w:p>
    <w:p>
      <w:pPr>
        <w:spacing w:line="360" w:lineRule="auto"/>
        <w:ind w:firstLine="640" w:firstLineChars="20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聂为民   运输服务中心书记</w:t>
      </w:r>
    </w:p>
    <w:p>
      <w:pPr>
        <w:spacing w:line="360" w:lineRule="auto"/>
        <w:ind w:firstLine="640" w:firstLineChars="20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张  平   地方公路管理站书记</w:t>
      </w:r>
    </w:p>
    <w:p>
      <w:pPr>
        <w:spacing w:line="360" w:lineRule="auto"/>
        <w:ind w:firstLine="640" w:firstLineChars="20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李正军   公路管理站书记</w:t>
      </w:r>
    </w:p>
    <w:p>
      <w:pPr>
        <w:spacing w:line="360" w:lineRule="auto"/>
        <w:ind w:firstLine="640" w:firstLineChars="20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马军花   公路设计质监中心主任</w:t>
      </w:r>
    </w:p>
    <w:p>
      <w:pPr>
        <w:spacing w:line="360" w:lineRule="auto"/>
        <w:ind w:firstLine="640" w:firstLineChars="20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温春艳   公路绿化管理中心书记</w:t>
      </w:r>
    </w:p>
    <w:p>
      <w:pPr>
        <w:spacing w:line="360" w:lineRule="auto"/>
        <w:ind w:left="1440" w:hanging="1440" w:hangingChars="45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王永伟   滨河路景观管理中心书记</w:t>
      </w:r>
    </w:p>
    <w:p>
      <w:pPr>
        <w:spacing w:line="360" w:lineRule="auto"/>
        <w:ind w:left="1438" w:leftChars="304" w:hanging="800" w:hangingChars="250"/>
        <w:jc w:val="left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范博慧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财务股会计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方正书宋_GBK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楷体_GBK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22D8545"/>
    <w:multiLevelType w:val="singleLevel"/>
    <w:tmpl w:val="E22D8545"/>
    <w:lvl w:ilvl="0" w:tentative="0">
      <w:start w:val="3"/>
      <w:numFmt w:val="decimal"/>
      <w:suff w:val="nothing"/>
      <w:lvlText w:val="%1、"/>
      <w:lvlJc w:val="left"/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2">
    <w:nsid w:val="50A8598E"/>
    <w:multiLevelType w:val="singleLevel"/>
    <w:tmpl w:val="50A8598E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7E6C1F"/>
    <w:rsid w:val="00AF566A"/>
    <w:rsid w:val="00B6553A"/>
    <w:rsid w:val="01494B11"/>
    <w:rsid w:val="01B104CA"/>
    <w:rsid w:val="02106AB0"/>
    <w:rsid w:val="02B43A28"/>
    <w:rsid w:val="046F331E"/>
    <w:rsid w:val="07956271"/>
    <w:rsid w:val="09721397"/>
    <w:rsid w:val="0BB63BED"/>
    <w:rsid w:val="0DD70F61"/>
    <w:rsid w:val="0EB97A43"/>
    <w:rsid w:val="0EBD2122"/>
    <w:rsid w:val="0F214EAE"/>
    <w:rsid w:val="10D91DBB"/>
    <w:rsid w:val="119F0EDE"/>
    <w:rsid w:val="11B71E6A"/>
    <w:rsid w:val="163C4A59"/>
    <w:rsid w:val="1AAF0063"/>
    <w:rsid w:val="1BE140DE"/>
    <w:rsid w:val="1D9559F0"/>
    <w:rsid w:val="1E096169"/>
    <w:rsid w:val="1EF3510C"/>
    <w:rsid w:val="24554EC4"/>
    <w:rsid w:val="248C197D"/>
    <w:rsid w:val="252959AF"/>
    <w:rsid w:val="277A6671"/>
    <w:rsid w:val="292D35B7"/>
    <w:rsid w:val="2A594280"/>
    <w:rsid w:val="33EB6CFF"/>
    <w:rsid w:val="35A12947"/>
    <w:rsid w:val="35B43AC3"/>
    <w:rsid w:val="37387040"/>
    <w:rsid w:val="3B625C0A"/>
    <w:rsid w:val="3CEE1963"/>
    <w:rsid w:val="3D167218"/>
    <w:rsid w:val="3DE06D44"/>
    <w:rsid w:val="40E961A7"/>
    <w:rsid w:val="41BF116B"/>
    <w:rsid w:val="45D93495"/>
    <w:rsid w:val="4C9C27FE"/>
    <w:rsid w:val="4CD725CC"/>
    <w:rsid w:val="4D1F3DD5"/>
    <w:rsid w:val="512260B4"/>
    <w:rsid w:val="52BD6ACB"/>
    <w:rsid w:val="55537534"/>
    <w:rsid w:val="561A74F1"/>
    <w:rsid w:val="597244E8"/>
    <w:rsid w:val="59A41664"/>
    <w:rsid w:val="5BD533D3"/>
    <w:rsid w:val="5D6C78EF"/>
    <w:rsid w:val="5E330771"/>
    <w:rsid w:val="5EB71C30"/>
    <w:rsid w:val="5FB43848"/>
    <w:rsid w:val="61867C74"/>
    <w:rsid w:val="634D377C"/>
    <w:rsid w:val="63820F10"/>
    <w:rsid w:val="644C5E84"/>
    <w:rsid w:val="66AF0CE5"/>
    <w:rsid w:val="6AC537CF"/>
    <w:rsid w:val="6E5B14A6"/>
    <w:rsid w:val="6FB4583A"/>
    <w:rsid w:val="711B255E"/>
    <w:rsid w:val="71376FBD"/>
    <w:rsid w:val="7317199D"/>
    <w:rsid w:val="76256B20"/>
    <w:rsid w:val="78D60D85"/>
    <w:rsid w:val="7AE64756"/>
    <w:rsid w:val="7BB51E06"/>
    <w:rsid w:val="7C387F7C"/>
    <w:rsid w:val="7C8907C4"/>
    <w:rsid w:val="7DEF7946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7">
    <w:name w:val="插入文本样式-插入总体目标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8">
    <w:name w:val="插入文本样式-插入职责分类绩效目标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9">
    <w:name w:val="插入文本样式-插入部门职责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10">
    <w:name w:val="单元格样式1"/>
    <w:basedOn w:val="1"/>
    <w:qFormat/>
    <w:uiPriority w:val="0"/>
    <w:pPr>
      <w:jc w:val="center"/>
    </w:pPr>
    <w:rPr>
      <w:rFonts w:ascii="方正书宋_GBK" w:hAnsi="方正书宋_GBK" w:eastAsia="方正书宋_GBK" w:cs="方正书宋_GBK"/>
      <w:b/>
      <w:sz w:val="21"/>
    </w:rPr>
  </w:style>
  <w:style w:type="paragraph" w:customStyle="1" w:styleId="11">
    <w:name w:val="单元格样式2"/>
    <w:basedOn w:val="1"/>
    <w:qFormat/>
    <w:uiPriority w:val="0"/>
    <w:rPr>
      <w:rFonts w:ascii="方正书宋_GBK" w:hAnsi="方正书宋_GBK" w:eastAsia="方正书宋_GBK" w:cs="方正书宋_GBK"/>
      <w:sz w:val="21"/>
    </w:rPr>
  </w:style>
  <w:style w:type="paragraph" w:customStyle="1" w:styleId="12">
    <w:name w:val="单元格样式3"/>
    <w:basedOn w:val="1"/>
    <w:qFormat/>
    <w:uiPriority w:val="0"/>
    <w:pPr>
      <w:jc w:val="center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TotalTime>0</TotalTime>
  <ScaleCrop>false</ScaleCrop>
  <LinksUpToDate>false</LinksUpToDate>
  <CharactersWithSpaces>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2023-09-28T01:47:00Z</cp:lastPrinted>
  <dcterms:modified xsi:type="dcterms:W3CDTF">2024-05-17T02:34:51Z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