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spacing w:before="0" w:beforeLines="0" w:after="0" w:afterLines="0" w:line="360" w:lineRule="auto"/>
        <w:ind w:right="0"/>
        <w:jc w:val="both"/>
        <w:textAlignment w:val="auto"/>
        <w:outlineLvl w:val="9"/>
        <w:rPr>
          <w:rFonts w:hint="eastAsia" w:ascii="黑体" w:hAnsi="黑体" w:eastAsia="黑体" w:cs="黑体"/>
          <w:b w:val="0"/>
          <w:bCs w:val="0"/>
          <w:sz w:val="32"/>
          <w:szCs w:val="32"/>
          <w:lang w:val="en-US" w:eastAsia="zh-CN"/>
        </w:rPr>
      </w:pPr>
    </w:p>
    <w:p>
      <w:pPr>
        <w:widowControl w:val="0"/>
        <w:wordWrap/>
        <w:adjustRightInd/>
        <w:snapToGrid/>
        <w:spacing w:line="600" w:lineRule="exact"/>
        <w:ind w:left="0" w:leftChars="0" w:right="0" w:firstLine="0" w:firstLine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高校毕业生到村任职补贴项目</w:t>
      </w:r>
      <w:r>
        <w:rPr>
          <w:rFonts w:hint="eastAsia" w:ascii="方正小标宋简体" w:hAnsi="方正小标宋简体" w:eastAsia="方正小标宋简体" w:cs="方正小标宋简体"/>
          <w:b w:val="0"/>
          <w:bCs w:val="0"/>
          <w:sz w:val="44"/>
          <w:szCs w:val="44"/>
        </w:rPr>
        <w:t>绩效评价报告</w:t>
      </w:r>
    </w:p>
    <w:p>
      <w:pPr>
        <w:spacing w:line="360" w:lineRule="auto"/>
        <w:ind w:left="0" w:leftChars="0" w:right="0" w:firstLine="0" w:firstLineChars="0"/>
        <w:jc w:val="both"/>
        <w:rPr>
          <w:rFonts w:hint="eastAsia" w:ascii="华文楷体" w:eastAsia="华文楷体"/>
          <w:sz w:val="32"/>
          <w:szCs w:val="32"/>
          <w:lang w:eastAsia="zh-CN"/>
        </w:rPr>
      </w:pPr>
    </w:p>
    <w:p>
      <w:pPr>
        <w:widowControl w:val="0"/>
        <w:wordWrap/>
        <w:adjustRightInd w:val="0"/>
        <w:snapToGrid w:val="0"/>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村干部、好青年基础职务补贴经费项目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widowControl w:val="0"/>
        <w:wordWrap/>
        <w:adjustRightInd w:val="0"/>
        <w:snapToGrid w:val="0"/>
        <w:spacing w:line="600" w:lineRule="exact"/>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600"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widowControl w:val="0"/>
        <w:wordWrap/>
        <w:adjustRightInd w:val="0"/>
        <w:snapToGrid w:val="0"/>
        <w:spacing w:line="60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1.</w:t>
      </w:r>
      <w:r>
        <w:rPr>
          <w:rFonts w:hint="eastAsia" w:ascii="仿宋_GB2312" w:eastAsia="仿宋_GB2312"/>
          <w:sz w:val="32"/>
          <w:szCs w:val="32"/>
          <w:lang w:eastAsia="zh-CN"/>
        </w:rPr>
        <w:t>项目实施单位：区委组织部组织科。</w:t>
      </w:r>
    </w:p>
    <w:p>
      <w:pPr>
        <w:widowControl w:val="0"/>
        <w:wordWrap/>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widowControl w:val="0"/>
        <w:wordWrap/>
        <w:adjustRightInd w:val="0"/>
        <w:snapToGrid w:val="0"/>
        <w:spacing w:line="600" w:lineRule="exact"/>
        <w:ind w:firstLine="640" w:firstLineChars="200"/>
        <w:textAlignment w:val="auto"/>
        <w:rPr>
          <w:rFonts w:hint="eastAsia" w:ascii="宋体" w:hAnsi="宋体" w:eastAsia="仿宋_GB2312" w:cs="仿宋_GB2312"/>
          <w:sz w:val="32"/>
          <w:szCs w:val="32"/>
          <w:u w:val="none" w:color="auto"/>
          <w:lang w:eastAsia="zh-CN"/>
        </w:rPr>
      </w:pPr>
      <w:r>
        <w:rPr>
          <w:rFonts w:hint="eastAsia" w:ascii="仿宋_GB2312" w:eastAsia="仿宋_GB2312"/>
          <w:color w:val="000000"/>
          <w:sz w:val="32"/>
          <w:szCs w:val="32"/>
          <w:highlight w:val="none"/>
        </w:rPr>
        <w:t>按照《中共石家庄市委组织部、石家庄市教育局、石家庄市财政局、石家庄市人事局、石家庄市劳动和社会保障局关于选聘高校毕业生到村任职工作的具体实施意见（试行）》要求，为</w:t>
      </w:r>
      <w:r>
        <w:rPr>
          <w:rFonts w:hint="eastAsia" w:ascii="仿宋_GB2312" w:eastAsia="仿宋_GB2312"/>
          <w:color w:val="000000"/>
          <w:sz w:val="32"/>
          <w:szCs w:val="32"/>
          <w:highlight w:val="none"/>
          <w:lang w:eastAsia="zh-CN"/>
        </w:rPr>
        <w:t>我区</w:t>
      </w:r>
      <w:r>
        <w:rPr>
          <w:rFonts w:hint="eastAsia" w:ascii="仿宋_GB2312" w:eastAsia="仿宋_GB2312"/>
          <w:color w:val="000000"/>
          <w:sz w:val="32"/>
          <w:szCs w:val="32"/>
          <w:highlight w:val="none"/>
        </w:rPr>
        <w:t>在岗大学生</w:t>
      </w:r>
      <w:r>
        <w:rPr>
          <w:rFonts w:hint="eastAsia" w:ascii="仿宋_GB2312" w:eastAsia="仿宋_GB2312"/>
          <w:color w:val="000000"/>
          <w:sz w:val="32"/>
          <w:szCs w:val="32"/>
          <w:highlight w:val="none"/>
          <w:lang w:eastAsia="zh-CN"/>
        </w:rPr>
        <w:t>到村任职</w:t>
      </w:r>
      <w:r>
        <w:rPr>
          <w:rFonts w:hint="eastAsia" w:ascii="仿宋_GB2312" w:eastAsia="仿宋_GB2312"/>
          <w:color w:val="000000"/>
          <w:sz w:val="32"/>
          <w:szCs w:val="32"/>
          <w:highlight w:val="none"/>
        </w:rPr>
        <w:t>发放工作生活补贴。</w:t>
      </w:r>
    </w:p>
    <w:p>
      <w:pPr>
        <w:widowControl w:val="0"/>
        <w:wordWrap/>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3.项目资金投入情况：</w:t>
      </w:r>
    </w:p>
    <w:p>
      <w:pPr>
        <w:widowControl w:val="0"/>
        <w:wordWrap/>
        <w:adjustRightInd w:val="0"/>
        <w:snapToGrid w:val="0"/>
        <w:spacing w:line="60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color w:val="000000"/>
          <w:sz w:val="32"/>
          <w:szCs w:val="32"/>
          <w:lang w:eastAsia="zh-CN"/>
        </w:rPr>
        <w:t>截至</w:t>
      </w:r>
      <w:r>
        <w:rPr>
          <w:rFonts w:hint="eastAsia" w:ascii="仿宋_GB2312" w:eastAsia="仿宋_GB2312"/>
          <w:color w:val="000000"/>
          <w:sz w:val="32"/>
          <w:szCs w:val="32"/>
          <w:lang w:val="en-US" w:eastAsia="zh-CN"/>
        </w:rPr>
        <w:t>2018年11月</w:t>
      </w:r>
      <w:r>
        <w:rPr>
          <w:rFonts w:hint="eastAsia" w:ascii="仿宋_GB2312" w:eastAsia="仿宋_GB2312"/>
          <w:color w:val="000000"/>
          <w:sz w:val="32"/>
          <w:szCs w:val="32"/>
        </w:rPr>
        <w:t>，</w:t>
      </w:r>
      <w:r>
        <w:rPr>
          <w:rFonts w:hint="eastAsia" w:ascii="仿宋_GB2312" w:eastAsia="仿宋_GB2312"/>
          <w:color w:val="000000"/>
          <w:sz w:val="32"/>
          <w:szCs w:val="32"/>
          <w:lang w:eastAsia="zh-CN"/>
        </w:rPr>
        <w:t>我区</w:t>
      </w:r>
      <w:r>
        <w:rPr>
          <w:rFonts w:hint="eastAsia" w:ascii="仿宋_GB2312" w:eastAsia="仿宋_GB2312"/>
          <w:color w:val="000000"/>
          <w:sz w:val="32"/>
          <w:szCs w:val="32"/>
        </w:rPr>
        <w:t>在岗大学生</w:t>
      </w:r>
      <w:r>
        <w:rPr>
          <w:rFonts w:hint="eastAsia" w:ascii="仿宋_GB2312" w:eastAsia="仿宋_GB2312"/>
          <w:color w:val="000000"/>
          <w:sz w:val="32"/>
          <w:szCs w:val="32"/>
          <w:lang w:eastAsia="zh-CN"/>
        </w:rPr>
        <w:t>到村任职</w:t>
      </w:r>
      <w:r>
        <w:rPr>
          <w:rFonts w:hint="eastAsia" w:ascii="仿宋_GB2312" w:eastAsia="仿宋_GB2312"/>
          <w:color w:val="000000"/>
          <w:sz w:val="32"/>
          <w:szCs w:val="32"/>
        </w:rPr>
        <w:t>共</w:t>
      </w:r>
      <w:r>
        <w:rPr>
          <w:rFonts w:hint="eastAsia" w:ascii="仿宋_GB2312" w:eastAsia="仿宋_GB2312"/>
          <w:color w:val="000000"/>
          <w:sz w:val="32"/>
          <w:szCs w:val="32"/>
          <w:u w:val="none" w:color="auto"/>
          <w:lang w:val="en-US" w:eastAsia="zh-CN"/>
        </w:rPr>
        <w:t>48</w:t>
      </w:r>
      <w:r>
        <w:rPr>
          <w:rFonts w:hint="eastAsia" w:ascii="仿宋_GB2312" w:eastAsia="仿宋_GB2312"/>
          <w:color w:val="000000"/>
          <w:sz w:val="32"/>
          <w:szCs w:val="32"/>
        </w:rPr>
        <w:t>人</w:t>
      </w:r>
      <w:r>
        <w:rPr>
          <w:rFonts w:hint="eastAsia" w:ascii="仿宋_GB2312" w:eastAsia="仿宋_GB2312"/>
          <w:color w:val="000000"/>
          <w:sz w:val="32"/>
          <w:szCs w:val="32"/>
          <w:lang w:eastAsia="zh-CN"/>
        </w:rPr>
        <w:t>，其中本科生22名，研究生26名。按照研究生每人每月5446.87、本科每人每月4996.87为标准发放生活补贴，</w:t>
      </w:r>
      <w:r>
        <w:rPr>
          <w:rFonts w:hint="eastAsia" w:ascii="仿宋_GB2312" w:eastAsia="仿宋_GB2312"/>
          <w:color w:val="000000"/>
          <w:sz w:val="32"/>
          <w:szCs w:val="32"/>
        </w:rPr>
        <w:t>发放</w:t>
      </w:r>
      <w:bookmarkStart w:id="0" w:name="_GoBack"/>
      <w:bookmarkEnd w:id="0"/>
      <w:r>
        <w:rPr>
          <w:rFonts w:hint="eastAsia" w:ascii="仿宋_GB2312" w:eastAsia="仿宋_GB2312"/>
          <w:color w:val="000000"/>
          <w:sz w:val="32"/>
          <w:szCs w:val="32"/>
          <w:lang w:eastAsia="zh-CN"/>
        </w:rPr>
        <w:t>到村任职</w:t>
      </w:r>
      <w:r>
        <w:rPr>
          <w:rFonts w:hint="eastAsia" w:ascii="仿宋_GB2312" w:eastAsia="仿宋_GB2312"/>
          <w:color w:val="000000"/>
          <w:sz w:val="32"/>
          <w:szCs w:val="32"/>
        </w:rPr>
        <w:t>工作生活补贴。全年</w:t>
      </w:r>
      <w:r>
        <w:rPr>
          <w:rFonts w:hint="eastAsia" w:ascii="仿宋_GB2312" w:eastAsia="仿宋_GB2312"/>
          <w:color w:val="000000"/>
          <w:sz w:val="32"/>
          <w:szCs w:val="32"/>
          <w:lang w:eastAsia="zh-CN"/>
        </w:rPr>
        <w:t>共</w:t>
      </w:r>
      <w:r>
        <w:rPr>
          <w:rFonts w:hint="eastAsia" w:ascii="仿宋_GB2312" w:eastAsia="仿宋_GB2312"/>
          <w:color w:val="000000"/>
          <w:sz w:val="32"/>
          <w:szCs w:val="32"/>
        </w:rPr>
        <w:t>3018597.12元, 按照省、市、区分别负担20%、30%、50%要求，我区列入预算15</w:t>
      </w:r>
      <w:r>
        <w:rPr>
          <w:rFonts w:hint="eastAsia" w:ascii="仿宋_GB2312" w:eastAsia="仿宋_GB2312"/>
          <w:color w:val="000000"/>
          <w:sz w:val="32"/>
          <w:szCs w:val="32"/>
          <w:lang w:val="en-US" w:eastAsia="zh-CN"/>
        </w:rPr>
        <w:t>7万</w:t>
      </w:r>
      <w:r>
        <w:rPr>
          <w:rFonts w:hint="eastAsia" w:ascii="仿宋_GB2312" w:eastAsia="仿宋_GB2312"/>
          <w:color w:val="000000"/>
          <w:sz w:val="32"/>
          <w:szCs w:val="32"/>
        </w:rPr>
        <w:t>元</w:t>
      </w:r>
      <w:r>
        <w:rPr>
          <w:rFonts w:hint="eastAsia" w:ascii="仿宋_GB2312" w:eastAsia="仿宋_GB2312"/>
          <w:sz w:val="32"/>
          <w:szCs w:val="32"/>
          <w:lang w:val="en-US" w:eastAsia="zh-CN"/>
        </w:rPr>
        <w:t>。</w:t>
      </w:r>
    </w:p>
    <w:p>
      <w:pPr>
        <w:widowControl w:val="0"/>
        <w:wordWrap/>
        <w:adjustRightInd w:val="0"/>
        <w:snapToGrid w:val="0"/>
        <w:spacing w:line="600"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widowControl w:val="0"/>
        <w:wordWrap/>
        <w:spacing w:line="60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为</w:t>
      </w:r>
      <w:r>
        <w:rPr>
          <w:rFonts w:hint="eastAsia" w:ascii="仿宋_GB2312" w:eastAsia="仿宋_GB2312"/>
          <w:sz w:val="32"/>
          <w:szCs w:val="32"/>
          <w:lang w:eastAsia="zh-CN"/>
        </w:rPr>
        <w:t>在岗大学生到村任职定期、足额发放生活补贴，有助于引导高校毕业生转变就业观念，面向基层就业创业，到经济社会发展最需要的地方施展才华，为建设社会主义新农村、实现全面建成小康社会宏伟目标提供人才支持和组织保证</w:t>
      </w:r>
      <w:r>
        <w:rPr>
          <w:rFonts w:hint="eastAsia" w:ascii="仿宋_GB2312" w:eastAsia="仿宋_GB2312"/>
          <w:sz w:val="32"/>
          <w:szCs w:val="32"/>
        </w:rPr>
        <w:t>。</w:t>
      </w:r>
    </w:p>
    <w:p>
      <w:pPr>
        <w:widowControl w:val="0"/>
        <w:wordWrap/>
        <w:adjustRightInd w:val="0"/>
        <w:snapToGrid w:val="0"/>
        <w:spacing w:line="600" w:lineRule="exact"/>
        <w:ind w:firstLine="640"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二、绩效评价工作情况</w:t>
      </w:r>
    </w:p>
    <w:p>
      <w:pPr>
        <w:widowControl w:val="0"/>
        <w:numPr>
          <w:ilvl w:val="0"/>
          <w:numId w:val="0"/>
        </w:numPr>
        <w:wordWrap/>
        <w:spacing w:line="600" w:lineRule="exact"/>
        <w:ind w:firstLine="64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1.绩效评价的组织工作</w:t>
      </w:r>
    </w:p>
    <w:p>
      <w:pPr>
        <w:widowControl w:val="0"/>
        <w:numPr>
          <w:ilvl w:val="0"/>
          <w:numId w:val="0"/>
        </w:numPr>
        <w:wordWrap/>
        <w:spacing w:line="600" w:lineRule="exact"/>
        <w:ind w:firstLine="64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成立由区委组织部副部长段鹏任组长、组织科长崔锋任副组长的项目评价小组，</w:t>
      </w:r>
      <w:r>
        <w:rPr>
          <w:rFonts w:hint="default" w:ascii="Times New Roman" w:hAnsi="Times New Roman" w:eastAsia="仿宋_GB2312" w:cs="Times New Roman"/>
          <w:sz w:val="32"/>
          <w:szCs w:val="32"/>
        </w:rPr>
        <w:t>组织管理</w:t>
      </w:r>
      <w:r>
        <w:rPr>
          <w:rFonts w:hint="default" w:ascii="Times New Roman" w:hAnsi="Times New Roman" w:eastAsia="仿宋_GB2312" w:cs="Times New Roman"/>
          <w:sz w:val="32"/>
          <w:szCs w:val="32"/>
          <w:lang w:eastAsia="zh-CN"/>
        </w:rPr>
        <w:t>评价</w:t>
      </w:r>
      <w:r>
        <w:rPr>
          <w:rFonts w:hint="default" w:ascii="Times New Roman" w:hAnsi="Times New Roman" w:eastAsia="仿宋_GB2312" w:cs="Times New Roman"/>
          <w:sz w:val="32"/>
          <w:szCs w:val="32"/>
        </w:rPr>
        <w:t>工作</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抽调组织科、组员办专门力量，</w:t>
      </w:r>
      <w:r>
        <w:rPr>
          <w:rFonts w:hint="eastAsia" w:ascii="Times New Roman" w:hAnsi="Times New Roman" w:eastAsia="仿宋_GB2312" w:cs="Times New Roman"/>
          <w:sz w:val="32"/>
          <w:szCs w:val="32"/>
          <w:lang w:eastAsia="zh-CN"/>
        </w:rPr>
        <w:t>全面收集</w:t>
      </w:r>
      <w:r>
        <w:rPr>
          <w:rFonts w:hint="default" w:ascii="Times New Roman" w:hAnsi="Times New Roman" w:eastAsia="仿宋_GB2312" w:cs="Times New Roman"/>
          <w:sz w:val="32"/>
          <w:szCs w:val="32"/>
          <w:lang w:eastAsia="zh-CN"/>
        </w:rPr>
        <w:t>评价</w:t>
      </w:r>
      <w:r>
        <w:rPr>
          <w:rFonts w:hint="default" w:ascii="Times New Roman" w:hAnsi="Times New Roman" w:eastAsia="仿宋_GB2312" w:cs="Times New Roman"/>
          <w:sz w:val="32"/>
          <w:szCs w:val="32"/>
        </w:rPr>
        <w:t>资料</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经过对项目资金使用情况核查、项目数据采集、访谈、社会调查等必要的评价程序，运用绩效分析和统计方法，</w:t>
      </w:r>
      <w:r>
        <w:rPr>
          <w:rFonts w:hint="eastAsia" w:ascii="Times New Roman" w:hAnsi="Times New Roman" w:eastAsia="仿宋_GB2312" w:cs="Times New Roman"/>
          <w:sz w:val="32"/>
          <w:szCs w:val="32"/>
          <w:lang w:eastAsia="zh-CN"/>
        </w:rPr>
        <w:t>在科学全面</w:t>
      </w:r>
      <w:r>
        <w:rPr>
          <w:rFonts w:hint="default" w:ascii="Times New Roman" w:hAnsi="Times New Roman" w:eastAsia="仿宋_GB2312" w:cs="Times New Roman"/>
          <w:sz w:val="32"/>
          <w:szCs w:val="32"/>
        </w:rPr>
        <w:t>梳理、分析评价数据</w:t>
      </w:r>
      <w:r>
        <w:rPr>
          <w:rFonts w:hint="eastAsia" w:ascii="Times New Roman" w:hAnsi="Times New Roman" w:eastAsia="仿宋_GB2312" w:cs="Times New Roman"/>
          <w:sz w:val="32"/>
          <w:szCs w:val="32"/>
          <w:lang w:eastAsia="zh-CN"/>
        </w:rPr>
        <w:t>基础上，形成绩效评价报告。</w:t>
      </w:r>
    </w:p>
    <w:p>
      <w:pPr>
        <w:widowControl w:val="0"/>
        <w:numPr>
          <w:ilvl w:val="0"/>
          <w:numId w:val="0"/>
        </w:numPr>
        <w:wordWrap/>
        <w:spacing w:line="600" w:lineRule="exact"/>
        <w:ind w:firstLine="640"/>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2.建立绩效评价指标体系</w:t>
      </w:r>
    </w:p>
    <w:p>
      <w:pPr>
        <w:widowControl w:val="0"/>
        <w:numPr>
          <w:ilvl w:val="0"/>
          <w:numId w:val="0"/>
        </w:numPr>
        <w:wordWrap/>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1.评价原则：价值中立原则、公正公开透明原则、回避原则</w:t>
      </w:r>
    </w:p>
    <w:p>
      <w:pPr>
        <w:widowControl w:val="0"/>
        <w:numPr>
          <w:ilvl w:val="0"/>
          <w:numId w:val="0"/>
        </w:numPr>
        <w:wordWrap/>
        <w:adjustRightInd/>
        <w:snapToGrid/>
        <w:spacing w:line="578"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采用因素分析方法：采取询问、观察和现场检查相结合，同时辅以数据对比和抽样调查相结合的方式</w:t>
      </w:r>
      <w:r>
        <w:rPr>
          <w:rFonts w:hint="eastAsia" w:ascii="Times New Roman" w:hAnsi="Times New Roman" w:eastAsia="仿宋_GB2312" w:cs="Times New Roman"/>
          <w:sz w:val="32"/>
          <w:szCs w:val="32"/>
          <w:lang w:val="en-US" w:eastAsia="zh-CN"/>
        </w:rPr>
        <w:t>。</w:t>
      </w:r>
    </w:p>
    <w:p>
      <w:pPr>
        <w:widowControl w:val="0"/>
        <w:numPr>
          <w:ilvl w:val="0"/>
          <w:numId w:val="0"/>
        </w:numPr>
        <w:wordWrap/>
        <w:adjustRightInd/>
        <w:snapToGrid/>
        <w:spacing w:line="578"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根据讨论通过的工作方案及指标需要设计调查问卷，并在评价过程中实施问卷调查，获取被调查对象对于项目实施的满意度情况</w:t>
      </w:r>
      <w:r>
        <w:rPr>
          <w:rFonts w:hint="eastAsia" w:ascii="Times New Roman" w:hAnsi="Times New Roman" w:eastAsia="仿宋_GB2312" w:cs="Times New Roman"/>
          <w:sz w:val="32"/>
          <w:szCs w:val="32"/>
          <w:lang w:val="en-US" w:eastAsia="zh-CN"/>
        </w:rPr>
        <w:t>。</w:t>
      </w:r>
    </w:p>
    <w:p>
      <w:pPr>
        <w:widowControl w:val="0"/>
        <w:numPr>
          <w:ilvl w:val="0"/>
          <w:numId w:val="0"/>
        </w:numPr>
        <w:wordWrap/>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 xml:space="preserve">根据讨论通过的工作方案及指标需要设计基础数据表，并要求被评价单位按基础数据表的要求填写项目信息。 </w:t>
      </w:r>
    </w:p>
    <w:p>
      <w:pPr>
        <w:widowControl w:val="0"/>
        <w:numPr>
          <w:ilvl w:val="0"/>
          <w:numId w:val="0"/>
        </w:numPr>
        <w:wordWrap/>
        <w:adjustRightInd/>
        <w:snapToGrid/>
        <w:spacing w:line="578"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根据</w:t>
      </w:r>
      <w:r>
        <w:rPr>
          <w:rFonts w:hint="eastAsia" w:ascii="Times New Roman" w:hAnsi="Times New Roman" w:eastAsia="仿宋_GB2312" w:cs="Times New Roman"/>
          <w:sz w:val="32"/>
          <w:szCs w:val="32"/>
          <w:lang w:val="en-US" w:eastAsia="zh-CN"/>
        </w:rPr>
        <w:t>各</w:t>
      </w:r>
      <w:r>
        <w:rPr>
          <w:rFonts w:hint="eastAsia" w:ascii="Times New Roman" w:hAnsi="Times New Roman" w:eastAsia="仿宋_GB2312" w:cs="Times New Roman"/>
          <w:sz w:val="32"/>
          <w:szCs w:val="32"/>
          <w:highlight w:val="none"/>
          <w:lang w:val="en-US" w:eastAsia="zh-CN"/>
        </w:rPr>
        <w:t>项上级文件规定</w:t>
      </w:r>
      <w:r>
        <w:rPr>
          <w:rFonts w:hint="default" w:ascii="Times New Roman" w:hAnsi="Times New Roman" w:eastAsia="仿宋_GB2312" w:cs="Times New Roman"/>
          <w:sz w:val="32"/>
          <w:szCs w:val="32"/>
          <w:highlight w:val="none"/>
          <w:lang w:val="en-US" w:eastAsia="zh-CN"/>
        </w:rPr>
        <w:t>，采用</w:t>
      </w:r>
      <w:r>
        <w:rPr>
          <w:rFonts w:hint="default" w:ascii="Times New Roman" w:hAnsi="Times New Roman" w:eastAsia="仿宋_GB2312" w:cs="Times New Roman"/>
          <w:sz w:val="32"/>
          <w:szCs w:val="32"/>
          <w:lang w:val="en-US" w:eastAsia="zh-CN"/>
        </w:rPr>
        <w:t>观察、检查等方法判断各项规定完成情况</w:t>
      </w:r>
      <w:r>
        <w:rPr>
          <w:rFonts w:hint="eastAsia" w:ascii="Times New Roman" w:hAnsi="Times New Roman" w:eastAsia="仿宋_GB2312" w:cs="Times New Roman"/>
          <w:sz w:val="32"/>
          <w:szCs w:val="32"/>
          <w:lang w:val="en-US" w:eastAsia="zh-CN"/>
        </w:rPr>
        <w:t>。</w:t>
      </w:r>
    </w:p>
    <w:p>
      <w:pPr>
        <w:widowControl w:val="0"/>
        <w:numPr>
          <w:ilvl w:val="0"/>
          <w:numId w:val="0"/>
        </w:numPr>
        <w:wordWrap/>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根据问卷调查、基础数据、现场观察和检查的结果，对项目进行定量和定性两个方面的综合研究分析，并对每项绩效指标进行评分，最后形成绩效评价报告。</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widowControl w:val="0"/>
        <w:wordWrap/>
        <w:adjustRightInd w:val="0"/>
        <w:snapToGrid w:val="0"/>
        <w:spacing w:line="60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eastAsia="仿宋_GB2312"/>
          <w:color w:val="000000"/>
          <w:sz w:val="32"/>
          <w:szCs w:val="32"/>
          <w:highlight w:val="none"/>
        </w:rPr>
        <w:t>按照《中共石家庄市委组织部、石家庄市教育局、石家庄市财政局、石家庄市人事局、石家庄市劳动和社会保障局关于选聘高校毕业生到村任职工作的具体实施意见（试行）》要求，为</w:t>
      </w:r>
      <w:r>
        <w:rPr>
          <w:rFonts w:hint="eastAsia" w:ascii="仿宋_GB2312" w:eastAsia="仿宋_GB2312"/>
          <w:color w:val="000000"/>
          <w:sz w:val="32"/>
          <w:szCs w:val="32"/>
          <w:highlight w:val="none"/>
          <w:lang w:eastAsia="zh-CN"/>
        </w:rPr>
        <w:t>我区</w:t>
      </w:r>
      <w:r>
        <w:rPr>
          <w:rFonts w:hint="eastAsia" w:ascii="仿宋_GB2312" w:eastAsia="仿宋_GB2312"/>
          <w:color w:val="000000"/>
          <w:sz w:val="32"/>
          <w:szCs w:val="32"/>
          <w:highlight w:val="none"/>
        </w:rPr>
        <w:t>在岗大学生</w:t>
      </w:r>
      <w:r>
        <w:rPr>
          <w:rFonts w:hint="eastAsia" w:ascii="仿宋_GB2312" w:eastAsia="仿宋_GB2312"/>
          <w:color w:val="000000"/>
          <w:sz w:val="32"/>
          <w:szCs w:val="32"/>
          <w:highlight w:val="none"/>
          <w:lang w:eastAsia="zh-CN"/>
        </w:rPr>
        <w:t>到村任职</w:t>
      </w:r>
      <w:r>
        <w:rPr>
          <w:rFonts w:hint="eastAsia" w:ascii="仿宋_GB2312" w:eastAsia="仿宋_GB2312"/>
          <w:color w:val="000000"/>
          <w:sz w:val="32"/>
          <w:szCs w:val="32"/>
          <w:highlight w:val="none"/>
        </w:rPr>
        <w:t>发放工作生活补贴。</w:t>
      </w:r>
      <w:r>
        <w:rPr>
          <w:rFonts w:hint="eastAsia" w:ascii="仿宋_GB2312" w:eastAsia="仿宋_GB2312"/>
          <w:color w:val="000000"/>
          <w:sz w:val="32"/>
          <w:szCs w:val="32"/>
          <w:highlight w:val="none"/>
          <w:lang w:eastAsia="zh-CN"/>
        </w:rPr>
        <w:t>其中，</w:t>
      </w:r>
      <w:r>
        <w:rPr>
          <w:rFonts w:hint="eastAsia" w:ascii="仿宋_GB2312" w:eastAsia="仿宋_GB2312"/>
          <w:color w:val="000000"/>
          <w:sz w:val="32"/>
          <w:szCs w:val="32"/>
          <w:lang w:eastAsia="zh-CN"/>
        </w:rPr>
        <w:t>标准为研究生每人每月5446.87、本科每人每月4996.87发放生活补贴，</w:t>
      </w:r>
      <w:r>
        <w:rPr>
          <w:rFonts w:hint="eastAsia" w:ascii="仿宋_GB2312" w:eastAsia="仿宋_GB2312"/>
          <w:color w:val="000000"/>
          <w:sz w:val="32"/>
          <w:szCs w:val="32"/>
        </w:rPr>
        <w:t>省、市、区分别负担20%、30%、50%</w:t>
      </w:r>
      <w:r>
        <w:rPr>
          <w:rFonts w:hint="eastAsia" w:ascii="仿宋_GB2312" w:eastAsia="仿宋_GB2312"/>
          <w:color w:val="000000"/>
          <w:sz w:val="32"/>
          <w:szCs w:val="32"/>
          <w:lang w:eastAsia="zh-CN"/>
        </w:rPr>
        <w:t>。</w:t>
      </w:r>
      <w:r>
        <w:rPr>
          <w:rFonts w:hint="eastAsia" w:ascii="仿宋_GB2312" w:eastAsia="仿宋_GB2312"/>
          <w:color w:val="000000"/>
          <w:sz w:val="32"/>
          <w:szCs w:val="32"/>
          <w:lang w:val="en-US" w:eastAsia="zh-CN"/>
        </w:rPr>
        <w:t>2019年度共列入预算157万。</w:t>
      </w:r>
      <w:r>
        <w:rPr>
          <w:rFonts w:hint="eastAsia" w:ascii="仿宋_GB2312" w:hAnsi="仿宋_GB2312" w:eastAsia="仿宋_GB2312"/>
          <w:color w:val="000000"/>
          <w:sz w:val="32"/>
          <w:szCs w:val="32"/>
          <w:lang w:val="en-US" w:eastAsia="zh-CN"/>
        </w:rPr>
        <w:t xml:space="preserve"> </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资金到位率=</w:t>
      </w:r>
      <w:r>
        <w:rPr>
          <w:rFonts w:hint="eastAsia" w:ascii="仿宋_GB2312" w:hAnsi="仿宋_GB2312" w:eastAsia="仿宋_GB2312" w:cs="仿宋_GB2312"/>
          <w:b w:val="0"/>
          <w:i w:val="0"/>
          <w:color w:val="000000"/>
          <w:sz w:val="32"/>
          <w:szCs w:val="32"/>
          <w:u w:val="none"/>
          <w:shd w:val="clear" w:color="auto" w:fill="FFFFFF"/>
          <w:lang w:eastAsia="zh-CN"/>
        </w:rPr>
        <w:t>（实际到位资金/计划投入资金）×100%</w:t>
      </w:r>
      <w:r>
        <w:rPr>
          <w:rFonts w:hint="eastAsia" w:ascii="仿宋_GB2312" w:hAnsi="仿宋_GB2312" w:eastAsia="仿宋_GB2312" w:cs="仿宋_GB2312"/>
          <w:b w:val="0"/>
          <w:i w:val="0"/>
          <w:color w:val="000000"/>
          <w:sz w:val="32"/>
          <w:szCs w:val="32"/>
          <w:u w:val="none"/>
          <w:shd w:val="clear" w:color="auto" w:fill="FFFFFF"/>
          <w:lang w:val="en-US" w:eastAsia="zh-CN"/>
        </w:rPr>
        <w:t>=100%</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到位及时率=</w:t>
      </w:r>
      <w:r>
        <w:rPr>
          <w:rFonts w:hint="eastAsia" w:ascii="仿宋_GB2312" w:hAnsi="仿宋_GB2312" w:eastAsia="仿宋_GB2312" w:cs="仿宋_GB2312"/>
          <w:b w:val="0"/>
          <w:i w:val="0"/>
          <w:color w:val="000000"/>
          <w:sz w:val="32"/>
          <w:szCs w:val="32"/>
          <w:u w:val="none"/>
          <w:shd w:val="clear" w:color="auto" w:fill="FFFFFF"/>
          <w:lang w:eastAsia="zh-CN"/>
        </w:rPr>
        <w:t>（及时到位资金/应到位资金）×100%</w:t>
      </w:r>
      <w:r>
        <w:rPr>
          <w:rFonts w:hint="eastAsia" w:ascii="仿宋_GB2312" w:hAnsi="仿宋_GB2312" w:eastAsia="仿宋_GB2312" w:cs="仿宋_GB2312"/>
          <w:b w:val="0"/>
          <w:i w:val="0"/>
          <w:color w:val="000000"/>
          <w:sz w:val="32"/>
          <w:szCs w:val="32"/>
          <w:u w:val="none"/>
          <w:shd w:val="clear" w:color="auto" w:fill="FFFFFF"/>
          <w:lang w:val="en-US" w:eastAsia="zh-CN"/>
        </w:rPr>
        <w:t>=100%</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1.业务管理情况分析。业务管理制度健全、制度执行有效、项目质量可控，相关资料齐全并归档，人员条件、信息反馈等及时落实到位。</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仿宋_GB2312" w:eastAsia="仿宋_GB2312" w:cs="仿宋_GB2312"/>
          <w:b w:val="0"/>
          <w:i w:val="0"/>
          <w:color w:val="000000"/>
          <w:sz w:val="32"/>
          <w:szCs w:val="32"/>
          <w:u w:val="none"/>
          <w:shd w:val="clear" w:color="auto" w:fill="FFFFFF"/>
          <w:lang w:eastAsia="zh-CN"/>
        </w:rPr>
        <w:t>项目实施单位的财务制度健全，用以反映和考核财务管理制度对资金规范、安全运行的保障情况。</w:t>
      </w:r>
      <w:r>
        <w:rPr>
          <w:rFonts w:hint="eastAsia" w:ascii="仿宋_GB2312" w:eastAsia="仿宋_GB2312"/>
          <w:b w:val="0"/>
          <w:bCs w:val="0"/>
          <w:sz w:val="32"/>
          <w:szCs w:val="32"/>
          <w:lang w:val="en-US" w:eastAsia="zh-CN"/>
        </w:rPr>
        <w:t>资金使用合规、财务监控有效，实现了专款专用，资金拨付有完整的审批程序和手续。</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仿宋_GB2312" w:hAnsi="仿宋_GB2312" w:eastAsia="仿宋_GB2312" w:cs="仿宋_GB2312"/>
          <w:b w:val="0"/>
          <w:i w:val="0"/>
          <w:color w:val="000000"/>
          <w:sz w:val="32"/>
          <w:szCs w:val="32"/>
          <w:u w:val="none"/>
          <w:shd w:val="clear" w:color="auto" w:fill="FFFFFF"/>
          <w:lang w:val="en-US" w:eastAsia="zh-CN"/>
        </w:rPr>
      </w:pPr>
      <w:r>
        <w:rPr>
          <w:rFonts w:hint="eastAsia" w:ascii="仿宋_GB2312" w:hAnsi="仿宋_GB2312" w:eastAsia="仿宋_GB2312" w:cs="仿宋_GB2312"/>
          <w:b w:val="0"/>
          <w:i w:val="0"/>
          <w:color w:val="000000"/>
          <w:sz w:val="32"/>
          <w:szCs w:val="32"/>
          <w:u w:val="none"/>
          <w:shd w:val="clear" w:color="auto" w:fill="FFFFFF"/>
          <w:lang w:eastAsia="zh-CN"/>
        </w:rPr>
        <w:t>实际完成率=（实际产出数/计划产出数）×100%</w:t>
      </w:r>
      <w:r>
        <w:rPr>
          <w:rFonts w:hint="eastAsia" w:ascii="仿宋_GB2312" w:hAnsi="仿宋_GB2312" w:eastAsia="仿宋_GB2312" w:cs="仿宋_GB2312"/>
          <w:b w:val="0"/>
          <w:i w:val="0"/>
          <w:color w:val="000000"/>
          <w:sz w:val="32"/>
          <w:szCs w:val="32"/>
          <w:u w:val="none"/>
          <w:shd w:val="clear" w:color="auto" w:fill="FFFFFF"/>
          <w:lang w:val="en-US" w:eastAsia="zh-CN"/>
        </w:rPr>
        <w:t>=100%；</w:t>
      </w:r>
    </w:p>
    <w:p>
      <w:pPr>
        <w:numPr>
          <w:ilvl w:val="0"/>
          <w:numId w:val="0"/>
        </w:numPr>
        <w:ind w:firstLine="640" w:firstLineChars="200"/>
        <w:rPr>
          <w:rFonts w:hint="default" w:ascii="仿宋_GB2312" w:hAnsi="仿宋_GB2312" w:eastAsia="仿宋_GB2312" w:cs="仿宋_GB2312"/>
          <w:b w:val="0"/>
          <w:i w:val="0"/>
          <w:color w:val="000000"/>
          <w:sz w:val="32"/>
          <w:szCs w:val="32"/>
          <w:u w:val="none"/>
          <w:shd w:val="clear" w:color="auto" w:fill="FFFFFF"/>
          <w:lang w:val="en-US" w:eastAsia="zh-CN"/>
        </w:rPr>
      </w:pPr>
      <w:r>
        <w:rPr>
          <w:rFonts w:hint="eastAsia" w:ascii="仿宋_GB2312" w:hAnsi="仿宋_GB2312" w:eastAsia="仿宋_GB2312" w:cs="仿宋_GB2312"/>
          <w:b w:val="0"/>
          <w:i w:val="0"/>
          <w:color w:val="000000"/>
          <w:sz w:val="32"/>
          <w:szCs w:val="32"/>
          <w:u w:val="none"/>
          <w:shd w:val="clear" w:color="auto" w:fill="FFFFFF"/>
          <w:lang w:eastAsia="zh-CN"/>
        </w:rPr>
        <w:t>完成及时率=[（计划完成时间-实际完成时间）/计划完成时间]×100%</w:t>
      </w:r>
      <w:r>
        <w:rPr>
          <w:rFonts w:hint="eastAsia" w:ascii="仿宋_GB2312" w:hAnsi="仿宋_GB2312" w:eastAsia="仿宋_GB2312" w:cs="仿宋_GB2312"/>
          <w:b w:val="0"/>
          <w:i w:val="0"/>
          <w:color w:val="000000"/>
          <w:sz w:val="32"/>
          <w:szCs w:val="32"/>
          <w:u w:val="none"/>
          <w:shd w:val="clear" w:color="auto" w:fill="FFFFFF"/>
          <w:lang w:val="en-US" w:eastAsia="zh-CN"/>
        </w:rPr>
        <w:t>=100%；</w:t>
      </w:r>
    </w:p>
    <w:p>
      <w:pPr>
        <w:numPr>
          <w:ilvl w:val="0"/>
          <w:numId w:val="0"/>
        </w:numPr>
        <w:ind w:firstLine="640" w:firstLineChars="200"/>
        <w:rPr>
          <w:rFonts w:hint="eastAsia" w:ascii="仿宋_GB2312" w:hAnsi="仿宋_GB2312" w:eastAsia="仿宋_GB2312" w:cs="仿宋_GB2312"/>
          <w:b w:val="0"/>
          <w:i w:val="0"/>
          <w:color w:val="000000"/>
          <w:sz w:val="32"/>
          <w:szCs w:val="32"/>
          <w:u w:val="none"/>
          <w:shd w:val="clear" w:color="auto" w:fill="FFFFFF"/>
          <w:lang w:eastAsia="zh-CN"/>
        </w:rPr>
      </w:pPr>
      <w:r>
        <w:rPr>
          <w:rFonts w:hint="eastAsia" w:ascii="仿宋_GB2312" w:hAnsi="仿宋_GB2312" w:eastAsia="仿宋_GB2312" w:cs="仿宋_GB2312"/>
          <w:b w:val="0"/>
          <w:i w:val="0"/>
          <w:color w:val="000000"/>
          <w:sz w:val="32"/>
          <w:szCs w:val="32"/>
          <w:u w:val="none"/>
          <w:shd w:val="clear" w:color="auto" w:fill="FFFFFF"/>
          <w:lang w:eastAsia="zh-CN"/>
        </w:rPr>
        <w:t>质量达标率=（质量达标产出数/实际产出数）×100%</w:t>
      </w:r>
      <w:r>
        <w:rPr>
          <w:rFonts w:hint="eastAsia" w:ascii="仿宋_GB2312" w:hAnsi="仿宋_GB2312" w:eastAsia="仿宋_GB2312" w:cs="仿宋_GB2312"/>
          <w:b w:val="0"/>
          <w:i w:val="0"/>
          <w:color w:val="000000"/>
          <w:sz w:val="32"/>
          <w:szCs w:val="32"/>
          <w:u w:val="none"/>
          <w:shd w:val="clear" w:color="auto" w:fill="FFFFFF"/>
          <w:lang w:val="en-US" w:eastAsia="zh-CN"/>
        </w:rPr>
        <w:t>=100%</w:t>
      </w:r>
      <w:r>
        <w:rPr>
          <w:rFonts w:hint="eastAsia" w:ascii="仿宋_GB2312" w:hAnsi="仿宋_GB2312" w:eastAsia="仿宋_GB2312" w:cs="仿宋_GB2312"/>
          <w:b w:val="0"/>
          <w:i w:val="0"/>
          <w:color w:val="000000"/>
          <w:sz w:val="32"/>
          <w:szCs w:val="32"/>
          <w:u w:val="none"/>
          <w:shd w:val="clear" w:color="auto" w:fill="FFFFFF"/>
          <w:lang w:eastAsia="zh-CN"/>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成本节约率=[（计划成本-实际成本）/计划成本]×100%=30%。</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widowControl w:val="0"/>
        <w:wordWrap/>
        <w:spacing w:line="60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为</w:t>
      </w:r>
      <w:r>
        <w:rPr>
          <w:rFonts w:hint="eastAsia" w:ascii="仿宋_GB2312" w:eastAsia="仿宋_GB2312"/>
          <w:sz w:val="32"/>
          <w:szCs w:val="32"/>
          <w:lang w:eastAsia="zh-CN"/>
        </w:rPr>
        <w:t>在岗大学生到村任职定期、足额发放生活补贴，保障了到村任职生活，有助于引导高校毕业生转变就业观念，面向基层就业创业，到经济社会发展最需要的地方施展才华，为建设社会主义新农村、实现全面建成小康社会宏伟目标提供了人才支持和组织保证</w:t>
      </w:r>
      <w:r>
        <w:rPr>
          <w:rFonts w:hint="eastAsia" w:ascii="仿宋_GB2312" w:eastAsia="仿宋_GB2312"/>
          <w:sz w:val="32"/>
          <w:szCs w:val="32"/>
        </w:rPr>
        <w:t>。</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根据项目执行情况和项目绩效情况，总得分</w:t>
      </w:r>
      <w:r>
        <w:rPr>
          <w:rFonts w:hint="default" w:ascii="Arial" w:hAnsi="Arial" w:eastAsia="仿宋_GB2312" w:cs="Arial"/>
          <w:sz w:val="32"/>
          <w:szCs w:val="32"/>
        </w:rPr>
        <w:t>≥</w:t>
      </w:r>
      <w:r>
        <w:rPr>
          <w:rFonts w:hint="eastAsia" w:ascii="仿宋_GB2312" w:eastAsia="仿宋_GB2312"/>
          <w:sz w:val="32"/>
          <w:szCs w:val="32"/>
          <w:lang w:val="en-US" w:eastAsia="zh-CN"/>
        </w:rPr>
        <w:t>90</w:t>
      </w:r>
      <w:r>
        <w:rPr>
          <w:rFonts w:hint="eastAsia" w:ascii="仿宋_GB2312" w:eastAsia="仿宋_GB2312"/>
          <w:sz w:val="32"/>
          <w:szCs w:val="32"/>
        </w:rPr>
        <w:t>分</w:t>
      </w:r>
      <w:r>
        <w:rPr>
          <w:rFonts w:hint="eastAsia" w:ascii="仿宋_GB2312" w:eastAsia="仿宋_GB2312"/>
          <w:sz w:val="32"/>
          <w:szCs w:val="32"/>
          <w:lang w:eastAsia="zh-CN"/>
        </w:rPr>
        <w:t>，</w:t>
      </w:r>
      <w:r>
        <w:rPr>
          <w:rFonts w:hint="eastAsia" w:ascii="仿宋_GB2312" w:eastAsia="仿宋_GB2312"/>
          <w:sz w:val="32"/>
          <w:szCs w:val="32"/>
        </w:rPr>
        <w:t>优秀。</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2A2941B7"/>
    <w:rsid w:val="00023C99"/>
    <w:rsid w:val="006F3114"/>
    <w:rsid w:val="019D5A10"/>
    <w:rsid w:val="03B73A34"/>
    <w:rsid w:val="04486396"/>
    <w:rsid w:val="045C66B2"/>
    <w:rsid w:val="04BA4B10"/>
    <w:rsid w:val="04C0608D"/>
    <w:rsid w:val="05063C02"/>
    <w:rsid w:val="06174EB3"/>
    <w:rsid w:val="07365867"/>
    <w:rsid w:val="085255FD"/>
    <w:rsid w:val="08CA6584"/>
    <w:rsid w:val="095B0F26"/>
    <w:rsid w:val="0AE14712"/>
    <w:rsid w:val="0B7A4561"/>
    <w:rsid w:val="0C0F3080"/>
    <w:rsid w:val="0DF26BA8"/>
    <w:rsid w:val="0FB5086D"/>
    <w:rsid w:val="0FB91D7E"/>
    <w:rsid w:val="0FCB459D"/>
    <w:rsid w:val="0FDA6722"/>
    <w:rsid w:val="100B1EEE"/>
    <w:rsid w:val="10617B69"/>
    <w:rsid w:val="10C9636A"/>
    <w:rsid w:val="12190B60"/>
    <w:rsid w:val="126F79C5"/>
    <w:rsid w:val="129B1980"/>
    <w:rsid w:val="131A0BB6"/>
    <w:rsid w:val="133D60CF"/>
    <w:rsid w:val="13CD23CB"/>
    <w:rsid w:val="14BE273E"/>
    <w:rsid w:val="15C74DDA"/>
    <w:rsid w:val="15DC195B"/>
    <w:rsid w:val="1619677A"/>
    <w:rsid w:val="16A52217"/>
    <w:rsid w:val="16C03F56"/>
    <w:rsid w:val="16EA74D3"/>
    <w:rsid w:val="18DB5831"/>
    <w:rsid w:val="19C95AFD"/>
    <w:rsid w:val="1A057F52"/>
    <w:rsid w:val="1A317259"/>
    <w:rsid w:val="1ACA74BE"/>
    <w:rsid w:val="1C2D77F2"/>
    <w:rsid w:val="1C3F2C02"/>
    <w:rsid w:val="1C7C3B72"/>
    <w:rsid w:val="1D490334"/>
    <w:rsid w:val="1DB83A50"/>
    <w:rsid w:val="1F4B2D32"/>
    <w:rsid w:val="1FEF09B4"/>
    <w:rsid w:val="21B47D70"/>
    <w:rsid w:val="22340133"/>
    <w:rsid w:val="22CB44CD"/>
    <w:rsid w:val="23C03F30"/>
    <w:rsid w:val="241341EC"/>
    <w:rsid w:val="24542DE3"/>
    <w:rsid w:val="258C6338"/>
    <w:rsid w:val="262A198B"/>
    <w:rsid w:val="265651AC"/>
    <w:rsid w:val="269C683A"/>
    <w:rsid w:val="27BF565A"/>
    <w:rsid w:val="282E547B"/>
    <w:rsid w:val="2A2941B7"/>
    <w:rsid w:val="2C4C410E"/>
    <w:rsid w:val="2C8B00D8"/>
    <w:rsid w:val="2D0A1852"/>
    <w:rsid w:val="2D3A6576"/>
    <w:rsid w:val="2DB0469F"/>
    <w:rsid w:val="2E5D37EE"/>
    <w:rsid w:val="304130C8"/>
    <w:rsid w:val="33B06D02"/>
    <w:rsid w:val="34853536"/>
    <w:rsid w:val="3512162C"/>
    <w:rsid w:val="35337162"/>
    <w:rsid w:val="36820DFD"/>
    <w:rsid w:val="36926D34"/>
    <w:rsid w:val="36CA6225"/>
    <w:rsid w:val="37733D6E"/>
    <w:rsid w:val="37881211"/>
    <w:rsid w:val="37A802CB"/>
    <w:rsid w:val="39052600"/>
    <w:rsid w:val="39526D49"/>
    <w:rsid w:val="3A865C03"/>
    <w:rsid w:val="3AD50316"/>
    <w:rsid w:val="3CB92104"/>
    <w:rsid w:val="3E3A4072"/>
    <w:rsid w:val="3E9E7CFF"/>
    <w:rsid w:val="3F3057A8"/>
    <w:rsid w:val="3F696300"/>
    <w:rsid w:val="3F707DEC"/>
    <w:rsid w:val="40516DC1"/>
    <w:rsid w:val="410E0A86"/>
    <w:rsid w:val="418F53A1"/>
    <w:rsid w:val="438E2648"/>
    <w:rsid w:val="449E4A6A"/>
    <w:rsid w:val="452065B4"/>
    <w:rsid w:val="45C66607"/>
    <w:rsid w:val="46B76F15"/>
    <w:rsid w:val="473232DB"/>
    <w:rsid w:val="479A122C"/>
    <w:rsid w:val="483B461F"/>
    <w:rsid w:val="48F5643E"/>
    <w:rsid w:val="49F21561"/>
    <w:rsid w:val="4B9E63C5"/>
    <w:rsid w:val="4BF446B9"/>
    <w:rsid w:val="4C80722F"/>
    <w:rsid w:val="4DF34C10"/>
    <w:rsid w:val="4E7E14DB"/>
    <w:rsid w:val="4ED2102D"/>
    <w:rsid w:val="4EDA3907"/>
    <w:rsid w:val="509B5B48"/>
    <w:rsid w:val="51716DA8"/>
    <w:rsid w:val="520A364A"/>
    <w:rsid w:val="520A4705"/>
    <w:rsid w:val="52642B01"/>
    <w:rsid w:val="53EE05A4"/>
    <w:rsid w:val="543009E3"/>
    <w:rsid w:val="5432172F"/>
    <w:rsid w:val="55C414DE"/>
    <w:rsid w:val="56D26C7F"/>
    <w:rsid w:val="586B3BE7"/>
    <w:rsid w:val="58F761B7"/>
    <w:rsid w:val="5AF40498"/>
    <w:rsid w:val="5B8553CD"/>
    <w:rsid w:val="5BCC6015"/>
    <w:rsid w:val="5BD90BF1"/>
    <w:rsid w:val="5C1B6916"/>
    <w:rsid w:val="5DB56DF6"/>
    <w:rsid w:val="5DE61E77"/>
    <w:rsid w:val="5E080BE1"/>
    <w:rsid w:val="5E30437E"/>
    <w:rsid w:val="5EA10C6B"/>
    <w:rsid w:val="5F387044"/>
    <w:rsid w:val="5F68145D"/>
    <w:rsid w:val="5F7B6D3D"/>
    <w:rsid w:val="5FC4005D"/>
    <w:rsid w:val="60A90D43"/>
    <w:rsid w:val="60F2141D"/>
    <w:rsid w:val="61D35B9F"/>
    <w:rsid w:val="632F3158"/>
    <w:rsid w:val="635B6D70"/>
    <w:rsid w:val="64106397"/>
    <w:rsid w:val="659C19C7"/>
    <w:rsid w:val="67533D27"/>
    <w:rsid w:val="692B6C27"/>
    <w:rsid w:val="69F606AF"/>
    <w:rsid w:val="6A451E67"/>
    <w:rsid w:val="6B3602F4"/>
    <w:rsid w:val="6B707BAB"/>
    <w:rsid w:val="6CC34E97"/>
    <w:rsid w:val="6D3D4F4F"/>
    <w:rsid w:val="6D8C29C6"/>
    <w:rsid w:val="6DDD4A87"/>
    <w:rsid w:val="6EFC51A7"/>
    <w:rsid w:val="6FD80F94"/>
    <w:rsid w:val="709B593C"/>
    <w:rsid w:val="7100273F"/>
    <w:rsid w:val="71EF120B"/>
    <w:rsid w:val="72C15939"/>
    <w:rsid w:val="73B13683"/>
    <w:rsid w:val="74A67385"/>
    <w:rsid w:val="75747C1C"/>
    <w:rsid w:val="76B5414D"/>
    <w:rsid w:val="77A72631"/>
    <w:rsid w:val="79C1634F"/>
    <w:rsid w:val="7A795AFD"/>
    <w:rsid w:val="7AEC77BE"/>
    <w:rsid w:val="7B506B8A"/>
    <w:rsid w:val="7B527D55"/>
    <w:rsid w:val="7D287476"/>
    <w:rsid w:val="7EFC6B4E"/>
    <w:rsid w:val="7F8C10D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苏~ </cp:lastModifiedBy>
  <cp:lastPrinted>2020-01-06T07:00:00Z</cp:lastPrinted>
  <dcterms:modified xsi:type="dcterms:W3CDTF">2024-05-16T02:16:07Z</dcterms:modified>
  <dc:title>非公企业和社会组织党建工作经费项目</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