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中共石家庄市鹿泉区委宣传部</w:t>
      </w:r>
    </w:p>
    <w:p>
      <w:pPr>
        <w:spacing w:line="560" w:lineRule="exact"/>
        <w:jc w:val="center"/>
        <w:rPr>
          <w:rFonts w:ascii="华文楷体" w:eastAsia="华文楷体"/>
          <w:sz w:val="32"/>
          <w:szCs w:val="32"/>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pPr>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中共石家庄市鹿泉区委宣传部</w:t>
      </w:r>
      <w:r>
        <w:rPr>
          <w:rFonts w:hint="eastAsia" w:ascii="仿宋" w:hAnsi="仿宋" w:eastAsia="仿宋"/>
          <w:sz w:val="32"/>
          <w:szCs w:val="32"/>
        </w:rPr>
        <w:t>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pPr>
        <w:adjustRightInd w:val="0"/>
        <w:snapToGrid w:val="0"/>
        <w:spacing w:line="560" w:lineRule="exact"/>
        <w:ind w:firstLine="640" w:firstLineChars="200"/>
        <w:jc w:val="both"/>
        <w:rPr>
          <w:rFonts w:ascii="黑体" w:hAnsi="黑体" w:eastAsia="黑体"/>
          <w:b/>
          <w:bCs/>
          <w:sz w:val="32"/>
          <w:szCs w:val="36"/>
        </w:rPr>
      </w:pPr>
      <w:r>
        <w:rPr>
          <w:rFonts w:hint="eastAsia" w:ascii="黑体" w:hAnsi="黑体" w:eastAsia="黑体"/>
          <w:sz w:val="32"/>
          <w:szCs w:val="32"/>
        </w:rPr>
        <w:t>一、部门</w:t>
      </w:r>
      <w:r>
        <w:rPr>
          <w:rFonts w:hint="eastAsia" w:ascii="黑体" w:hAnsi="黑体" w:eastAsia="黑体"/>
          <w:sz w:val="32"/>
          <w:szCs w:val="36"/>
        </w:rPr>
        <w:t>基本情况</w:t>
      </w:r>
    </w:p>
    <w:p>
      <w:pPr>
        <w:adjustRightInd w:val="0"/>
        <w:snapToGrid w:val="0"/>
        <w:spacing w:line="560" w:lineRule="exact"/>
        <w:ind w:firstLine="640" w:firstLineChars="200"/>
        <w:jc w:val="both"/>
        <w:rPr>
          <w:rFonts w:ascii="楷体" w:hAnsi="楷体" w:eastAsia="楷体" w:cs="楷体_GB2312"/>
          <w:bCs/>
          <w:sz w:val="32"/>
          <w:szCs w:val="32"/>
        </w:rPr>
      </w:pPr>
      <w:r>
        <w:rPr>
          <w:rFonts w:hint="eastAsia" w:ascii="楷体" w:hAnsi="楷体" w:eastAsia="楷体" w:cs="楷体_GB2312"/>
          <w:bCs/>
          <w:sz w:val="32"/>
          <w:szCs w:val="32"/>
        </w:rPr>
        <w:t>（一）部门概况</w:t>
      </w:r>
    </w:p>
    <w:p>
      <w:pPr>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根据《中共石家庄市鹿泉区委宣传部职能配置、内设机构和人员编制规定》，中共石家庄市鹿泉区委宣传部的主要职责是：</w:t>
      </w:r>
    </w:p>
    <w:p>
      <w:pPr>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（一）拟订全区宣传思想文化工作重大方针政策和事业发展总体规划，统筹协调推进宣传思想文化领域法治建设，按照区委统一部署，协调宣传思想文化系统各部门之间的工作。</w:t>
      </w:r>
    </w:p>
    <w:p>
      <w:pPr>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（二）统筹协调全区党的意识形态工作，贯彻落实区委关于意识形态工作决策部署，组织协调意识形态工作责任制落实和日常监督检查。</w:t>
      </w:r>
    </w:p>
    <w:p>
      <w:pPr>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（三）统筹指导协调全区理论研究、理论学习、理论宣传工作，组织推动理论武装工作，推动落实马克思主义理论研究和建设工程任务，负责区委理论学习中心组理论学习的有关工作。</w:t>
      </w:r>
    </w:p>
    <w:p>
      <w:pPr>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四）负责规划组织全区全局性思想政治工作任务，组织对先进典型的学习推广。配合区委组织部做好基层党员教育工作，指导协调编写党员教育教材，会同有关部门研究和改进群众思想教育工作。负责指导协调全区爱国主义教育基地的建设、管理、使用。负责全区国防教育工作。</w:t>
      </w:r>
    </w:p>
    <w:p>
      <w:pPr>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（五）统筹分析研判和引导全区社会舆论，指导协调全区相关新闻单位的工作，组织全区突发公共事件应急新闻工作。</w:t>
      </w:r>
    </w:p>
    <w:p>
      <w:pPr>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六）拟订全区新闻出版业的管理政策并督促落实，管理新闻出版行政事务，统筹规划和指导协调新闻出版事业、产业发展，监督管理出版物内容和质量，监督管理印刷业，管理著作权，管理出版物进出口等。组织指导协调全区“扫黄打非”工作。负责全区新闻记者证的审核管理。</w:t>
      </w:r>
    </w:p>
    <w:p>
      <w:pPr>
        <w:adjustRightInd w:val="0"/>
        <w:snapToGrid w:val="0"/>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（七）从宏观上统筹指导协调全区互联网宣传和信息内容管理工作。统筹数字新媒体的建设和管理。</w:t>
      </w:r>
    </w:p>
    <w:p>
      <w:pPr>
        <w:spacing w:before="0" w:after="0" w:line="240" w:lineRule="auto"/>
        <w:ind w:firstLine="640"/>
        <w:jc w:val="both"/>
        <w:outlineLvl w:val="9"/>
      </w:pPr>
      <w:r>
        <w:rPr>
          <w:rFonts w:hint="eastAsia" w:ascii="仿宋" w:hAnsi="仿宋" w:eastAsia="仿宋"/>
          <w:b/>
          <w:bCs/>
          <w:sz w:val="32"/>
          <w:szCs w:val="32"/>
        </w:rPr>
        <w:t>机构设置</w:t>
      </w:r>
      <w:r>
        <w:rPr>
          <w:rFonts w:ascii="方正楷体_GBK" w:hAnsi="方正楷体_GBK" w:eastAsia="方正楷体_GBK" w:cs="方正楷体_GBK"/>
          <w:b/>
          <w:color w:val="000000"/>
          <w:sz w:val="32"/>
        </w:rPr>
        <w:t>：</w:t>
      </w:r>
    </w:p>
    <w:p>
      <w:pPr>
        <w:adjustRightInd w:val="0"/>
        <w:snapToGrid w:val="0"/>
        <w:spacing w:line="560" w:lineRule="exact"/>
        <w:ind w:firstLine="643" w:firstLineChars="200"/>
        <w:jc w:val="both"/>
        <w:rPr>
          <w:rFonts w:hint="eastAsia" w:ascii="仿宋" w:hAnsi="仿宋" w:eastAsia="仿宋"/>
          <w:b/>
          <w:bCs/>
          <w:sz w:val="32"/>
          <w:szCs w:val="32"/>
        </w:rPr>
      </w:pPr>
      <w:r>
        <w:rPr>
          <w:rFonts w:hint="eastAsia" w:ascii="仿宋" w:hAnsi="仿宋" w:eastAsia="仿宋"/>
          <w:b/>
          <w:bCs/>
          <w:sz w:val="32"/>
          <w:szCs w:val="32"/>
        </w:rPr>
        <w:t>部门机构设置情况</w:t>
      </w:r>
    </w:p>
    <w:tbl>
      <w:tblPr>
        <w:tblStyle w:val="6"/>
        <w:tblpPr w:leftFromText="180" w:rightFromText="180" w:vertAnchor="text" w:horzAnchor="page" w:tblpX="1427" w:tblpY="205"/>
        <w:tblOverlap w:val="never"/>
        <w:tblW w:w="930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90"/>
        <w:gridCol w:w="1545"/>
        <w:gridCol w:w="1845"/>
        <w:gridCol w:w="25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trPr>
        <w:tc>
          <w:tcPr>
            <w:tcW w:w="3390" w:type="dxa"/>
            <w:vAlign w:val="center"/>
          </w:tcPr>
          <w:p>
            <w:pPr>
              <w:pStyle w:val="10"/>
              <w:jc w:val="both"/>
              <w:rPr>
                <w:rFonts w:hint="eastAsia" w:ascii="仿宋" w:hAnsi="仿宋" w:eastAsia="仿宋" w:cs="黑体"/>
                <w:b/>
                <w:bCs/>
                <w:kern w:val="2"/>
                <w:sz w:val="24"/>
                <w:szCs w:val="24"/>
                <w:lang w:val="en-US" w:eastAsia="zh-CN" w:bidi="ar-SA"/>
              </w:rPr>
            </w:pPr>
            <w:r>
              <w:rPr>
                <w:rFonts w:hint="eastAsia" w:ascii="仿宋" w:hAnsi="仿宋" w:eastAsia="仿宋" w:cs="黑体"/>
                <w:b/>
                <w:bCs/>
                <w:kern w:val="2"/>
                <w:sz w:val="24"/>
                <w:szCs w:val="24"/>
                <w:lang w:val="en-US" w:eastAsia="zh-CN" w:bidi="ar-SA"/>
              </w:rPr>
              <w:t>单位名称</w:t>
            </w:r>
          </w:p>
        </w:tc>
        <w:tc>
          <w:tcPr>
            <w:tcW w:w="1545" w:type="dxa"/>
            <w:vAlign w:val="center"/>
          </w:tcPr>
          <w:p>
            <w:pPr>
              <w:pStyle w:val="10"/>
              <w:jc w:val="both"/>
              <w:rPr>
                <w:rFonts w:hint="eastAsia" w:ascii="仿宋" w:hAnsi="仿宋" w:eastAsia="仿宋" w:cs="黑体"/>
                <w:b/>
                <w:bCs/>
                <w:kern w:val="2"/>
                <w:sz w:val="24"/>
                <w:szCs w:val="24"/>
                <w:lang w:val="en-US" w:eastAsia="zh-CN" w:bidi="ar-SA"/>
              </w:rPr>
            </w:pPr>
            <w:r>
              <w:rPr>
                <w:rFonts w:hint="eastAsia" w:ascii="仿宋" w:hAnsi="仿宋" w:eastAsia="仿宋" w:cs="黑体"/>
                <w:b/>
                <w:bCs/>
                <w:kern w:val="2"/>
                <w:sz w:val="24"/>
                <w:szCs w:val="24"/>
                <w:lang w:val="en-US" w:eastAsia="zh-CN" w:bidi="ar-SA"/>
              </w:rPr>
              <w:t>单位性质</w:t>
            </w:r>
          </w:p>
        </w:tc>
        <w:tc>
          <w:tcPr>
            <w:tcW w:w="1845" w:type="dxa"/>
            <w:vAlign w:val="center"/>
          </w:tcPr>
          <w:p>
            <w:pPr>
              <w:pStyle w:val="10"/>
              <w:jc w:val="both"/>
              <w:rPr>
                <w:rFonts w:hint="eastAsia" w:ascii="仿宋" w:hAnsi="仿宋" w:eastAsia="仿宋" w:cs="黑体"/>
                <w:b/>
                <w:bCs/>
                <w:kern w:val="2"/>
                <w:sz w:val="24"/>
                <w:szCs w:val="24"/>
                <w:lang w:val="en-US" w:eastAsia="zh-CN" w:bidi="ar-SA"/>
              </w:rPr>
            </w:pPr>
            <w:r>
              <w:rPr>
                <w:rFonts w:hint="eastAsia" w:ascii="仿宋" w:hAnsi="仿宋" w:eastAsia="仿宋" w:cs="黑体"/>
                <w:b/>
                <w:bCs/>
                <w:kern w:val="2"/>
                <w:sz w:val="24"/>
                <w:szCs w:val="24"/>
                <w:lang w:val="en-US" w:eastAsia="zh-CN" w:bidi="ar-SA"/>
              </w:rPr>
              <w:t>单位规格</w:t>
            </w:r>
          </w:p>
        </w:tc>
        <w:tc>
          <w:tcPr>
            <w:tcW w:w="2520" w:type="dxa"/>
            <w:vAlign w:val="center"/>
          </w:tcPr>
          <w:p>
            <w:pPr>
              <w:pStyle w:val="10"/>
              <w:jc w:val="both"/>
              <w:rPr>
                <w:rFonts w:hint="eastAsia" w:ascii="仿宋" w:hAnsi="仿宋" w:eastAsia="仿宋" w:cs="黑体"/>
                <w:b/>
                <w:bCs/>
                <w:kern w:val="2"/>
                <w:sz w:val="24"/>
                <w:szCs w:val="24"/>
                <w:lang w:val="en-US" w:eastAsia="zh-CN" w:bidi="ar-SA"/>
              </w:rPr>
            </w:pPr>
            <w:r>
              <w:rPr>
                <w:rFonts w:hint="eastAsia" w:ascii="仿宋" w:hAnsi="仿宋" w:eastAsia="仿宋" w:cs="黑体"/>
                <w:b/>
                <w:bCs/>
                <w:kern w:val="2"/>
                <w:sz w:val="24"/>
                <w:szCs w:val="24"/>
                <w:lang w:val="en-US" w:eastAsia="zh-CN" w:bidi="ar-S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rPr>
        <w:tc>
          <w:tcPr>
            <w:tcW w:w="3390" w:type="dxa"/>
            <w:vAlign w:val="center"/>
          </w:tcPr>
          <w:p>
            <w:pPr>
              <w:pStyle w:val="11"/>
              <w:jc w:val="both"/>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中共石家庄市鹿泉区委宣传部</w:t>
            </w:r>
          </w:p>
        </w:tc>
        <w:tc>
          <w:tcPr>
            <w:tcW w:w="1545" w:type="dxa"/>
            <w:vAlign w:val="center"/>
          </w:tcPr>
          <w:p>
            <w:pPr>
              <w:pStyle w:val="12"/>
              <w:jc w:val="both"/>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行政</w:t>
            </w:r>
          </w:p>
        </w:tc>
        <w:tc>
          <w:tcPr>
            <w:tcW w:w="1845" w:type="dxa"/>
            <w:vAlign w:val="center"/>
          </w:tcPr>
          <w:p>
            <w:pPr>
              <w:pStyle w:val="12"/>
              <w:jc w:val="both"/>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正科级</w:t>
            </w:r>
          </w:p>
        </w:tc>
        <w:tc>
          <w:tcPr>
            <w:tcW w:w="2520" w:type="dxa"/>
            <w:vAlign w:val="center"/>
          </w:tcPr>
          <w:p>
            <w:pPr>
              <w:pStyle w:val="12"/>
              <w:jc w:val="both"/>
              <w:rPr>
                <w:rFonts w:hint="eastAsia" w:ascii="仿宋" w:hAnsi="仿宋" w:eastAsia="仿宋" w:cs="黑体"/>
                <w:b w:val="0"/>
                <w:kern w:val="2"/>
                <w:sz w:val="24"/>
                <w:szCs w:val="24"/>
                <w:lang w:val="en-US" w:eastAsia="zh-CN" w:bidi="ar-SA"/>
              </w:rPr>
            </w:pPr>
            <w:r>
              <w:rPr>
                <w:rFonts w:hint="eastAsia" w:ascii="仿宋" w:hAnsi="仿宋" w:eastAsia="仿宋" w:cs="黑体"/>
                <w:b w:val="0"/>
                <w:kern w:val="2"/>
                <w:sz w:val="24"/>
                <w:szCs w:val="24"/>
                <w:lang w:val="en-US" w:eastAsia="zh-CN" w:bidi="ar-SA"/>
              </w:rPr>
              <w:t>财政拨款</w:t>
            </w:r>
          </w:p>
        </w:tc>
      </w:tr>
    </w:tbl>
    <w:p>
      <w:pPr>
        <w:adjustRightInd w:val="0"/>
        <w:snapToGrid w:val="0"/>
        <w:spacing w:line="560" w:lineRule="exact"/>
        <w:jc w:val="both"/>
        <w:rPr>
          <w:rFonts w:hint="eastAsia" w:ascii="仿宋" w:hAnsi="仿宋" w:eastAsia="仿宋"/>
          <w:sz w:val="32"/>
          <w:szCs w:val="32"/>
        </w:rPr>
      </w:pPr>
    </w:p>
    <w:p>
      <w:pPr>
        <w:numPr>
          <w:ilvl w:val="0"/>
          <w:numId w:val="1"/>
        </w:numPr>
        <w:adjustRightInd w:val="0"/>
        <w:snapToGrid w:val="0"/>
        <w:spacing w:line="560" w:lineRule="exact"/>
        <w:ind w:firstLine="640" w:firstLineChars="200"/>
        <w:jc w:val="both"/>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pStyle w:val="13"/>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1、收入说明</w:t>
      </w:r>
    </w:p>
    <w:p>
      <w:pPr>
        <w:pStyle w:val="13"/>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uk-UA" w:bidi="ar-SA"/>
        </w:rPr>
        <w:t>202</w:t>
      </w:r>
      <w:r>
        <w:rPr>
          <w:rFonts w:hint="eastAsia" w:ascii="仿宋" w:hAnsi="仿宋" w:eastAsia="仿宋" w:cs="黑体"/>
          <w:kern w:val="2"/>
          <w:sz w:val="32"/>
          <w:szCs w:val="32"/>
          <w:lang w:val="en-US" w:eastAsia="zh-CN" w:bidi="ar-SA"/>
        </w:rPr>
        <w:t>3</w:t>
      </w:r>
      <w:r>
        <w:rPr>
          <w:rFonts w:hint="eastAsia" w:ascii="仿宋" w:hAnsi="仿宋" w:eastAsia="仿宋" w:cs="黑体"/>
          <w:kern w:val="2"/>
          <w:sz w:val="32"/>
          <w:szCs w:val="32"/>
          <w:lang w:val="en-US" w:eastAsia="uk-UA" w:bidi="ar-SA"/>
        </w:rPr>
        <w:t>年预算收入</w:t>
      </w:r>
      <w:r>
        <w:rPr>
          <w:rFonts w:hint="eastAsia" w:ascii="仿宋" w:hAnsi="仿宋" w:eastAsia="仿宋" w:cs="黑体"/>
          <w:kern w:val="2"/>
          <w:sz w:val="32"/>
          <w:szCs w:val="32"/>
          <w:lang w:val="en-US" w:eastAsia="zh-CN" w:bidi="ar-SA"/>
        </w:rPr>
        <w:t>1490.32万元，其中：一般公共预算收入1472.44万元，基金预算收入11万元，上年结转结余7.18万元。</w:t>
      </w:r>
    </w:p>
    <w:p>
      <w:pPr>
        <w:pStyle w:val="13"/>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2023年决算收入1429.38万元，其中：一般公共预算收入1422.38万元，基金预算收入7万元。</w:t>
      </w:r>
    </w:p>
    <w:p>
      <w:pPr>
        <w:pStyle w:val="13"/>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2、支出说明</w:t>
      </w:r>
    </w:p>
    <w:p>
      <w:pPr>
        <w:pStyle w:val="13"/>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2023年支出预算1490.32万元，其中：基本支出724.62万元，包括人员经费581.79万元和日常公用经费142.83万元；项目支出765.71万元，主要为公益广告维护制作费、新时代文明实践中心（所、站）建设维护运转资金、宣传费等；上年结转安排7.18万元，主要为上级资金结转。</w:t>
      </w:r>
    </w:p>
    <w:p>
      <w:pPr>
        <w:pStyle w:val="13"/>
        <w:jc w:val="both"/>
        <w:rPr>
          <w:rFonts w:hint="eastAsia" w:ascii="楷体" w:hAnsi="楷体" w:eastAsia="楷体" w:cs="楷体_GB2312"/>
          <w:bCs/>
          <w:sz w:val="32"/>
          <w:szCs w:val="32"/>
        </w:rPr>
      </w:pPr>
      <w:r>
        <w:rPr>
          <w:rFonts w:hint="eastAsia" w:ascii="仿宋" w:hAnsi="仿宋" w:eastAsia="仿宋" w:cs="黑体"/>
          <w:kern w:val="2"/>
          <w:sz w:val="32"/>
          <w:szCs w:val="32"/>
          <w:lang w:val="en-US" w:eastAsia="zh-CN" w:bidi="ar-SA"/>
        </w:rPr>
        <w:t>2023年支出决算1429.38万元，其中：基本支出682万元，包括人员经费552.58万元和日常公用经费129.42万元；项目747.38万元，主要为公益广告维护制作费、新时代文明实践中心（所、站）建设维护运转资金、宣传费等。</w:t>
      </w:r>
    </w:p>
    <w:p>
      <w:pPr>
        <w:adjustRightInd w:val="0"/>
        <w:snapToGrid w:val="0"/>
        <w:spacing w:line="560" w:lineRule="exact"/>
        <w:ind w:firstLine="640" w:firstLineChars="200"/>
        <w:jc w:val="both"/>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pStyle w:val="14"/>
        <w:jc w:val="both"/>
      </w:pPr>
      <w:r>
        <w:rPr>
          <w:rFonts w:hint="eastAsia" w:ascii="仿宋" w:hAnsi="仿宋" w:eastAsia="仿宋" w:cs="黑体"/>
          <w:kern w:val="2"/>
          <w:sz w:val="32"/>
          <w:szCs w:val="32"/>
          <w:lang w:val="en-US" w:eastAsia="zh-CN" w:bidi="ar-SA"/>
        </w:rPr>
        <w:t>2023年把深入学习宣传贯彻习近平新时代中国特色社会主义思想和党的二十大精神作为重中之重，深化学习宣传教育。坚持和创新党内学习制度，进一步修订区委理论学习中心组学习规则。用好“学习强国”等学习平台，组织开展系列活动，持续掀起学习高潮。完善区委讲师团管理办法，提升理论宣讲实效。重点围绕党的二十大，组织开展面向基层群众的对象化、互动化的理论宣讲，全力推动党史学习教育常态化长效化，奋力开创各项工作新局面。持续加强新闻出版、版权、电影管理，加强印刷发行行业的监督管理，深入开展“扫黄打非”。以服务群众为根本、以党的二十大为契机、以“十四五”为动力，用心用力办好365百姓故事汇群众宣讲、文化科技卫生“三下乡”、国防教育“六进”暨红色故事宣讲、电影放映周等文化惠民活动，不断增强群众文化活动的广泛性和参与性。根据党的二十大精神，积极探索新形势下国防教育工作的创新方式，开展好以领导干部、青少年学生、民兵和预备役人员为重点的国防教育工作，加强国防教育阵地建设，做好对现有国防教育场所管理和维护，利用重要时间节点广泛开展爱国主义教育宣传活动，大力宣传党的光辉历程和丰功伟绩。围绕“六区同创”、新一代电子信息产业率先突破等重点工作，紧密结合中国式现代化河北场景的“鹿泉实践”，策划推出系列主题宣传、成就宣传和典型宣传。持续推进媒体深度融合，建立全媒体内容生产整体架构，提高内容生产质量和效率，推出优质融媒体产品。积极推进精神文明建设，大力弘扬社会主义核心价值观，继续做好省级文明城区、全国文明城市常态化创建工作，不断提升文明城市创建成果。开展移风易俗，持续推进文明村镇、文明单位、文明家庭建设，培育文明乡风、良好家风。组织先进评选，通过典型示范作用，带动全区精神文明建设不断提升。精心设计组织各类文明实践活动，做好“新时代文明实践活动日”，持续深化“我们的节日”主题文化活动，做到品牌化吸引、常态化服务。全面加强区、乡、村三级文明实践志愿服务队伍的逐层管理、分类管理与动态管理，健全完善志愿服务激励机制，进一步提升服务水平，充分发挥志愿者的文明实践主力军作用，实现打通群众的最后一公里。</w:t>
      </w:r>
    </w:p>
    <w:p>
      <w:pPr>
        <w:adjustRightInd w:val="0"/>
        <w:snapToGrid w:val="0"/>
        <w:spacing w:line="560" w:lineRule="exact"/>
        <w:ind w:firstLine="640" w:firstLineChars="200"/>
        <w:jc w:val="both"/>
        <w:rPr>
          <w:rFonts w:ascii="黑体" w:hAnsi="黑体" w:eastAsia="黑体"/>
          <w:sz w:val="32"/>
          <w:szCs w:val="32"/>
        </w:rPr>
      </w:pPr>
      <w:r>
        <w:rPr>
          <w:rFonts w:hint="eastAsia" w:ascii="黑体" w:hAnsi="黑体" w:eastAsia="黑体"/>
          <w:sz w:val="32"/>
          <w:szCs w:val="32"/>
        </w:rPr>
        <w:t>二、自评工作开展情况</w:t>
      </w:r>
    </w:p>
    <w:p>
      <w:pPr>
        <w:spacing w:line="560" w:lineRule="exact"/>
        <w:ind w:firstLine="640" w:firstLineChars="200"/>
        <w:jc w:val="both"/>
        <w:rPr>
          <w:rFonts w:ascii="楷体" w:hAnsi="楷体" w:eastAsia="楷体" w:cs="楷体_GB2312"/>
          <w:sz w:val="32"/>
          <w:szCs w:val="32"/>
        </w:rPr>
      </w:pPr>
      <w:r>
        <w:rPr>
          <w:rFonts w:hint="eastAsia" w:ascii="楷体" w:hAnsi="楷体" w:eastAsia="楷体" w:cs="楷体_GB2312"/>
          <w:bCs/>
          <w:sz w:val="32"/>
          <w:szCs w:val="32"/>
        </w:rPr>
        <w:t>（一）自评的组织工作</w:t>
      </w:r>
    </w:p>
    <w:p>
      <w:pPr>
        <w:pStyle w:val="5"/>
        <w:keepNext w:val="0"/>
        <w:keepLines w:val="0"/>
        <w:pageBreakBefore w:val="0"/>
        <w:widowControl/>
        <w:suppressLineNumbers w:val="0"/>
        <w:kinsoku/>
        <w:wordWrap/>
        <w:overflowPunct/>
        <w:topLinePunct w:val="0"/>
        <w:autoSpaceDE/>
        <w:autoSpaceDN/>
        <w:bidi w:val="0"/>
        <w:spacing w:beforeAutospacing="0" w:afterAutospacing="0" w:line="578" w:lineRule="exact"/>
        <w:ind w:firstLine="640" w:firstLineChars="200"/>
        <w:jc w:val="both"/>
        <w:textAlignment w:val="auto"/>
        <w:rPr>
          <w:rFonts w:ascii="仿宋" w:hAnsi="仿宋" w:eastAsia="仿宋"/>
          <w:sz w:val="32"/>
          <w:szCs w:val="32"/>
        </w:rPr>
      </w:pPr>
      <w:r>
        <w:rPr>
          <w:rFonts w:hint="eastAsia" w:ascii="仿宋" w:hAnsi="仿宋" w:eastAsia="仿宋" w:cs="黑体"/>
          <w:kern w:val="2"/>
          <w:sz w:val="32"/>
          <w:szCs w:val="32"/>
          <w:lang w:val="en-US" w:eastAsia="zh-CN" w:bidi="ar-SA"/>
        </w:rPr>
        <w:t>项目结束后，我单位成立项目评价工作小组，结合绩效评价的要求和预算项目的指标，对项目开展全面的综合评价工作。</w:t>
      </w:r>
    </w:p>
    <w:p>
      <w:pPr>
        <w:numPr>
          <w:ilvl w:val="0"/>
          <w:numId w:val="2"/>
        </w:numPr>
        <w:spacing w:line="560" w:lineRule="exact"/>
        <w:jc w:val="both"/>
        <w:rPr>
          <w:rFonts w:ascii="楷体" w:hAnsi="楷体" w:eastAsia="楷体" w:cs="楷体_GB2312"/>
          <w:bCs/>
          <w:sz w:val="32"/>
          <w:szCs w:val="32"/>
        </w:rPr>
      </w:pPr>
      <w:r>
        <w:rPr>
          <w:rFonts w:hint="eastAsia" w:ascii="楷体" w:hAnsi="楷体" w:eastAsia="楷体" w:cs="楷体_GB2312"/>
          <w:bCs/>
          <w:sz w:val="32"/>
          <w:szCs w:val="32"/>
        </w:rPr>
        <w:t>自评的方法和过程</w:t>
      </w:r>
    </w:p>
    <w:p>
      <w:pPr>
        <w:numPr>
          <w:ilvl w:val="0"/>
          <w:numId w:val="0"/>
        </w:numPr>
        <w:spacing w:line="560" w:lineRule="exact"/>
        <w:ind w:left="0" w:leftChars="0" w:firstLine="640" w:firstLineChars="200"/>
        <w:jc w:val="both"/>
        <w:rPr>
          <w:rFonts w:ascii="楷体" w:hAnsi="楷体" w:eastAsia="楷体" w:cs="楷体_GB2312"/>
          <w:bCs/>
          <w:sz w:val="32"/>
          <w:szCs w:val="32"/>
        </w:rPr>
      </w:pPr>
      <w:r>
        <w:rPr>
          <w:rFonts w:hint="eastAsia" w:ascii="仿宋" w:hAnsi="仿宋" w:eastAsia="仿宋" w:cs="黑体"/>
          <w:kern w:val="2"/>
          <w:sz w:val="32"/>
          <w:szCs w:val="32"/>
          <w:lang w:val="en-US" w:eastAsia="zh-CN" w:bidi="ar-SA"/>
        </w:rPr>
        <w:t>通过项目评价工作小组评估，对各项绩效评价内容完成情况进行打分，并根据分值评价绩效目标完成情况。</w:t>
      </w:r>
    </w:p>
    <w:p>
      <w:pPr>
        <w:spacing w:line="560" w:lineRule="exact"/>
        <w:ind w:firstLine="640" w:firstLineChars="200"/>
        <w:jc w:val="both"/>
        <w:rPr>
          <w:rFonts w:ascii="黑体" w:hAnsi="黑体" w:eastAsia="黑体"/>
          <w:b/>
          <w:bCs/>
          <w:sz w:val="32"/>
          <w:szCs w:val="32"/>
        </w:rPr>
      </w:pPr>
      <w:r>
        <w:rPr>
          <w:rFonts w:hint="eastAsia" w:ascii="黑体" w:hAnsi="黑体" w:eastAsia="黑体"/>
          <w:sz w:val="32"/>
          <w:szCs w:val="32"/>
        </w:rPr>
        <w:t>三、部门整体支出绩效目标实现情况及指标分析</w:t>
      </w:r>
    </w:p>
    <w:p>
      <w:pPr>
        <w:numPr>
          <w:ilvl w:val="0"/>
          <w:numId w:val="3"/>
        </w:numPr>
        <w:spacing w:line="560" w:lineRule="exact"/>
        <w:ind w:firstLine="640" w:firstLineChars="200"/>
        <w:jc w:val="both"/>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spacing w:line="560" w:lineRule="exact"/>
        <w:ind w:firstLine="800" w:firstLineChars="250"/>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本年度专项工作经费管理规范，按计划基本完成，确保了</w:t>
      </w:r>
    </w:p>
    <w:p>
      <w:pPr>
        <w:spacing w:line="560" w:lineRule="exact"/>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各项工作正常运转和圆满完成，各股室对该项工作总体较为满意。对各项职能指标完成情况进行了自检自查,各项工作均已</w:t>
      </w:r>
    </w:p>
    <w:p>
      <w:pPr>
        <w:spacing w:line="560" w:lineRule="exact"/>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基本完成，28个项目中绩效评价只有一个为一般，其他项目均为优秀。</w:t>
      </w:r>
    </w:p>
    <w:p>
      <w:pPr>
        <w:spacing w:line="560" w:lineRule="exact"/>
        <w:ind w:firstLine="640" w:firstLineChars="200"/>
        <w:jc w:val="both"/>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pPr>
        <w:pStyle w:val="15"/>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1、抓好意识形态工作，突出思想引领。</w:t>
      </w:r>
    </w:p>
    <w:p>
      <w:pPr>
        <w:pStyle w:val="15"/>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细化完善区委理论学习中心组学习计划和制度，坚持每月1次集中学习，创新学习形式，广泛开展常态化宣传宣讲，在狠抓学习中筑牢思想基础为区委中心组购买学习用书、印制学习资料及邀请省市专家教授讲课等费用，指导、督导全区县级党委（党组）理论学习中心组工作；加强理论宣传，运用各个传媒，搭建平台，深入宣传中央、省、市及我区方针政策；深入开展理论研究，为区委区政府决策提供咨询。</w:t>
      </w:r>
    </w:p>
    <w:p>
      <w:pPr>
        <w:pStyle w:val="15"/>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绩效指标：区委理论学习中心组阵地建设，组织开展区委理论学习中心组学习10次，邀请专家教授讲课1次以上，购买、印制学习书籍资料800份以上，进一步提升领导干部理论素养。</w:t>
      </w:r>
    </w:p>
    <w:p>
      <w:pPr>
        <w:pStyle w:val="15"/>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2、深化文明实践，推动文明城市常态化创建工作</w:t>
      </w:r>
    </w:p>
    <w:p>
      <w:pPr>
        <w:pStyle w:val="15"/>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根据石家庄市鹿泉区精神文明建设委员会关于印发《鹿泉区创建文明城市再推进工作方案》的通知（鹿文明〔2022〕13号）《关于广泛开展“文明家庭”评选活动的通知》的通知（鹿宣发〔2022〕3号）、《关于组织开展先进典型基层宣传巡讲活动的通知》（石文明办〔2022〕2号）、《关于开展2022年度“新时代好少年”学习宣传活动通知》（石文明办〔2022〕6用于开展文明单位、文明村镇、文明社区、文明家庭等评选、表彰工作；开展道德模范评选、表彰宣讲活动、好家风讲座、农村移风易俗宣传；扩大志愿服务站点和开展各类志愿服务活动；宣传关爱保护关爱未成年人公益广告、复兴少年宫建设、印刷各类宣传册、新时代好少年评选活动；加大社会主义核心价值观公益宣传力度，更换及维护社会主义核心价值观公益广告、举办各类社会主义核心价值观活动、开展我们的节日传统文化活动等。</w:t>
      </w:r>
    </w:p>
    <w:p>
      <w:pPr>
        <w:pStyle w:val="15"/>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绩效指标：开展各类文明评选表彰活动3次、道德模范评选、表彰宣讲活动1次；开展移风易俗、诵读比赛、党的二十大宣传等践行社会主义核心价值观系列活动11次；制作、购买各类宣传资料1200份。</w:t>
      </w:r>
    </w:p>
    <w:p>
      <w:pPr>
        <w:pStyle w:val="15"/>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3、加快拓展新时代文明实践中心建设</w:t>
      </w:r>
    </w:p>
    <w:p>
      <w:pPr>
        <w:pStyle w:val="15"/>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新时代文明实践云平台，全面做强做大文明实践志愿队伍。依托实践中心云平台，全面加强区、乡、村三级文明实践志愿服务队伍的逐层管理、分类管理与动态管理，健全完善志愿服务激励机制，进一步提升服务水平。</w:t>
      </w:r>
    </w:p>
    <w:p>
      <w:pPr>
        <w:pStyle w:val="15"/>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补助建设、提档升级文明实践中心（所、站）5个，运营维护新时代文明实践云平台1个，运营维护智能书屋1个，开展多样文明实践活动12场，购买制作宣传品5500个，新时代文明实践中心运转办公、设备采购等费用。</w:t>
      </w:r>
    </w:p>
    <w:p>
      <w:pPr>
        <w:pStyle w:val="15"/>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4、借助媒体宣传造势，加大宣传鹿泉推介鹿泉的力度</w:t>
      </w:r>
    </w:p>
    <w:p>
      <w:pPr>
        <w:pStyle w:val="15"/>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目标：围绕我区重点工作、重大活动、特色亮点，紧密结合新一代电子信息产业、营商环境、科技创新、项目建设、乡村振兴、市域治理、全域旅游、城市建设和生态文明建设等做好宣传报道，宣传我区全面深入学习贯彻党的二十大精神，撸起袖子加油干、风雨无阻向前行的实际行动和良好风貌等内容，充分展现中国式现代化河北场景鹿泉实践，持续营造良好的舆论氛围，进一步提升鹿泉形象、讲好鹿泉故事。充分适应新形势下全媒体时代宣传要求，充分占领信息制高点，与中新社、河北日报、河北广播电视台、石家庄广播电视台、消费日报、国际在线等媒体合作宣传鹿泉，借助传统媒体平台和新媒体平台，精心策划宣传，提高鹿泉知名度和美誉度，通过电视、报刊、客户端、网络等渠道，力求实现“全方位、立体式、多元化”整体宣传效果，讲好鹿泉故事，传播鹿泉声音，凝聚正能量，激发新动能，为全区高质量发展营造和谐稳定的舆论环境和良好的舆论氛围。</w:t>
      </w:r>
    </w:p>
    <w:p>
      <w:pPr>
        <w:spacing w:line="560" w:lineRule="exact"/>
        <w:ind w:firstLine="800" w:firstLineChars="250"/>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指标：与中新社、河北日报、河北广播电视台等10家媒体进行合作，刊登稿件120次，专题宣传6次，刊发专版6次，组织培训2次，通过电视、报刊、客户端、网络等5种渠道，力求实现“全方位、立体式、多元化”整体宣传效果。订阅党报党刊、购买制作各类宣传资料等1500份。</w:t>
      </w:r>
    </w:p>
    <w:p>
      <w:pPr>
        <w:spacing w:line="560" w:lineRule="exact"/>
        <w:ind w:firstLine="640" w:firstLineChars="200"/>
        <w:jc w:val="both"/>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jc w:val="both"/>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tbl>
      <w:tblPr>
        <w:tblStyle w:val="7"/>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49"/>
        <w:gridCol w:w="2415"/>
        <w:gridCol w:w="20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pStyle w:val="2"/>
              <w:jc w:val="both"/>
              <w:rPr>
                <w:vertAlign w:val="baseline"/>
              </w:rPr>
            </w:pPr>
            <w:r>
              <w:rPr>
                <w:rFonts w:hint="eastAsia"/>
                <w:vertAlign w:val="baseline"/>
              </w:rPr>
              <w:t>项目名称</w:t>
            </w:r>
          </w:p>
        </w:tc>
        <w:tc>
          <w:tcPr>
            <w:tcW w:w="2415" w:type="dxa"/>
            <w:vAlign w:val="center"/>
          </w:tcPr>
          <w:p>
            <w:pPr>
              <w:pStyle w:val="2"/>
              <w:jc w:val="both"/>
              <w:rPr>
                <w:vertAlign w:val="baseline"/>
              </w:rPr>
            </w:pPr>
            <w:r>
              <w:rPr>
                <w:rFonts w:hint="eastAsia"/>
                <w:vertAlign w:val="baseline"/>
              </w:rPr>
              <w:t>自评得分</w:t>
            </w:r>
          </w:p>
        </w:tc>
        <w:tc>
          <w:tcPr>
            <w:tcW w:w="2097" w:type="dxa"/>
            <w:vAlign w:val="center"/>
          </w:tcPr>
          <w:p>
            <w:pPr>
              <w:pStyle w:val="2"/>
              <w:jc w:val="both"/>
              <w:rPr>
                <w:vertAlign w:val="baseline"/>
              </w:rPr>
            </w:pPr>
            <w:r>
              <w:rPr>
                <w:rFonts w:hint="eastAsia"/>
                <w:vertAlign w:val="baseline"/>
              </w:rPr>
              <w:t>评价等级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pStyle w:val="2"/>
              <w:jc w:val="both"/>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60周岁以上老放映员补助款</w:t>
            </w:r>
          </w:p>
        </w:tc>
        <w:tc>
          <w:tcPr>
            <w:tcW w:w="2415" w:type="dxa"/>
            <w:vAlign w:val="center"/>
          </w:tcPr>
          <w:p>
            <w:pPr>
              <w:pStyle w:val="2"/>
              <w:jc w:val="both"/>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lang w:eastAsia="zh-CN"/>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pStyle w:val="2"/>
              <w:jc w:val="both"/>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市、区级爱国主义教育基地管护费</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pStyle w:val="2"/>
              <w:jc w:val="both"/>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新时代文明实践中心运转经费</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pStyle w:val="2"/>
              <w:jc w:val="both"/>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公益广告维护制作费</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pStyle w:val="2"/>
              <w:jc w:val="both"/>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国防教育专项经费</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pStyle w:val="2"/>
              <w:jc w:val="both"/>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精神文明建设费用</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pStyle w:val="2"/>
              <w:jc w:val="both"/>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农村公益电影放映经费</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pStyle w:val="2"/>
              <w:jc w:val="both"/>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区委理论学习中心组学习费</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pStyle w:val="2"/>
              <w:jc w:val="both"/>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扫黄打非工作经费</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pStyle w:val="2"/>
              <w:jc w:val="both"/>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石家庄日报专版费</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pStyle w:val="2"/>
              <w:jc w:val="both"/>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退役军人工资</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pStyle w:val="2"/>
              <w:jc w:val="both"/>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文明城市常态化创建经费</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pStyle w:val="2"/>
              <w:jc w:val="both"/>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新闻出版版权工作经费</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pStyle w:val="2"/>
              <w:jc w:val="both"/>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宣传费</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pStyle w:val="2"/>
              <w:jc w:val="both"/>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优秀传统文化建设推进领导小组活动经费</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pStyle w:val="2"/>
              <w:jc w:val="both"/>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智能书屋建设费用</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widowControl/>
              <w:suppressLineNumbers w:val="0"/>
              <w:jc w:val="both"/>
              <w:textAlignment w:val="center"/>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党员教育及社科普及活动费用</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widowControl/>
              <w:suppressLineNumbers w:val="0"/>
              <w:jc w:val="both"/>
              <w:textAlignment w:val="center"/>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国防教育展室专项费用</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widowControl/>
              <w:suppressLineNumbers w:val="0"/>
              <w:jc w:val="both"/>
              <w:textAlignment w:val="center"/>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文化产业发展引导资金</w:t>
            </w:r>
          </w:p>
        </w:tc>
        <w:tc>
          <w:tcPr>
            <w:tcW w:w="2415" w:type="dxa"/>
            <w:vAlign w:val="center"/>
          </w:tcPr>
          <w:p>
            <w:pPr>
              <w:pStyle w:val="2"/>
              <w:jc w:val="both"/>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60</w:t>
            </w:r>
          </w:p>
        </w:tc>
        <w:tc>
          <w:tcPr>
            <w:tcW w:w="2097" w:type="dxa"/>
            <w:vAlign w:val="center"/>
          </w:tcPr>
          <w:p>
            <w:pPr>
              <w:pStyle w:val="2"/>
              <w:jc w:val="both"/>
              <w:rPr>
                <w:rFonts w:hint="eastAsia" w:ascii="仿宋" w:hAnsi="仿宋" w:eastAsia="仿宋" w:cs="仿宋"/>
                <w:vertAlign w:val="baseline"/>
                <w:lang w:eastAsia="zh-CN"/>
              </w:rPr>
            </w:pPr>
            <w:r>
              <w:rPr>
                <w:rFonts w:hint="eastAsia" w:ascii="仿宋" w:hAnsi="仿宋" w:eastAsia="仿宋" w:cs="仿宋"/>
                <w:vertAlign w:val="baseline"/>
                <w:lang w:eastAsia="zh-CN"/>
              </w:rPr>
              <w:t>一般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widowControl/>
              <w:suppressLineNumbers w:val="0"/>
              <w:jc w:val="both"/>
              <w:textAlignment w:val="center"/>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制作宣传片费用</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widowControl/>
              <w:suppressLineNumbers w:val="0"/>
              <w:jc w:val="both"/>
              <w:textAlignment w:val="center"/>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石财教【2023】63号下达2023年市级文化产业发展引导资金</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widowControl/>
              <w:suppressLineNumbers w:val="0"/>
              <w:jc w:val="both"/>
              <w:textAlignment w:val="center"/>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石财教【2022】128号关于提前下达2023年中央支持地方公共文化服务体系建设补助资金(新时代文明实践中心建设项目)</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widowControl/>
              <w:suppressLineNumbers w:val="0"/>
              <w:jc w:val="both"/>
              <w:textAlignment w:val="center"/>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石财教【2023】17号关于下达2023年市级宣传文化发展专项资金</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widowControl/>
              <w:suppressLineNumbers w:val="0"/>
              <w:jc w:val="both"/>
              <w:textAlignment w:val="center"/>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石财教【2022】117号关于提前下达2023年省级国家电影事业发展专项资金预算的通知</w:t>
            </w:r>
          </w:p>
        </w:tc>
        <w:tc>
          <w:tcPr>
            <w:tcW w:w="2415" w:type="dxa"/>
            <w:vAlign w:val="center"/>
          </w:tcPr>
          <w:p>
            <w:pPr>
              <w:pStyle w:val="2"/>
              <w:jc w:val="both"/>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85</w:t>
            </w:r>
          </w:p>
        </w:tc>
        <w:tc>
          <w:tcPr>
            <w:tcW w:w="2097" w:type="dxa"/>
            <w:vAlign w:val="center"/>
          </w:tcPr>
          <w:p>
            <w:pPr>
              <w:pStyle w:val="2"/>
              <w:jc w:val="both"/>
              <w:rPr>
                <w:rFonts w:hint="eastAsia" w:ascii="仿宋" w:hAnsi="仿宋" w:eastAsia="仿宋" w:cs="仿宋"/>
                <w:b/>
                <w:bCs/>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widowControl/>
              <w:suppressLineNumbers w:val="0"/>
              <w:jc w:val="both"/>
              <w:textAlignment w:val="center"/>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石财教【2022】127号关于提前下达2023年省级公共文化服务体系建设补助资金的通知</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widowControl/>
              <w:suppressLineNumbers w:val="0"/>
              <w:jc w:val="both"/>
              <w:textAlignment w:val="center"/>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石财教【2022】96号关于提前下达2023年中央补助地方国家电影事业发展专项资金预算的通知</w:t>
            </w:r>
          </w:p>
        </w:tc>
        <w:tc>
          <w:tcPr>
            <w:tcW w:w="2415" w:type="dxa"/>
            <w:vAlign w:val="center"/>
          </w:tcPr>
          <w:p>
            <w:pPr>
              <w:pStyle w:val="2"/>
              <w:jc w:val="both"/>
              <w:rPr>
                <w:rFonts w:hint="eastAsia" w:ascii="仿宋" w:hAnsi="仿宋" w:eastAsia="仿宋" w:cs="仿宋"/>
                <w:vertAlign w:val="baseline"/>
                <w:lang w:val="en-US" w:eastAsia="zh-CN"/>
              </w:rPr>
            </w:pPr>
            <w:r>
              <w:rPr>
                <w:rFonts w:hint="eastAsia" w:ascii="仿宋" w:hAnsi="仿宋" w:eastAsia="仿宋" w:cs="仿宋"/>
                <w:vertAlign w:val="baseline"/>
                <w:lang w:val="en-US" w:eastAsia="zh-CN"/>
              </w:rPr>
              <w:t>85</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widowControl/>
              <w:suppressLineNumbers w:val="0"/>
              <w:jc w:val="both"/>
              <w:textAlignment w:val="center"/>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石财教【2023】18号下达2023年市级公益电影专项资金（老放映员生活补助）</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9" w:type="dxa"/>
            <w:vAlign w:val="center"/>
          </w:tcPr>
          <w:p>
            <w:pPr>
              <w:keepNext w:val="0"/>
              <w:keepLines w:val="0"/>
              <w:widowControl/>
              <w:suppressLineNumbers w:val="0"/>
              <w:jc w:val="both"/>
              <w:textAlignment w:val="center"/>
              <w:rPr>
                <w:rFonts w:hint="eastAsia" w:ascii="仿宋" w:hAnsi="仿宋" w:eastAsia="仿宋" w:cs="仿宋"/>
                <w:i w:val="0"/>
                <w:color w:val="000000"/>
                <w:kern w:val="0"/>
                <w:sz w:val="20"/>
                <w:szCs w:val="20"/>
                <w:u w:val="none"/>
                <w:lang w:val="en-US" w:eastAsia="zh-CN" w:bidi="ar"/>
              </w:rPr>
            </w:pPr>
            <w:r>
              <w:rPr>
                <w:rFonts w:hint="eastAsia" w:ascii="仿宋" w:hAnsi="仿宋" w:eastAsia="仿宋" w:cs="仿宋"/>
                <w:i w:val="0"/>
                <w:color w:val="000000"/>
                <w:kern w:val="0"/>
                <w:sz w:val="20"/>
                <w:szCs w:val="20"/>
                <w:u w:val="none"/>
                <w:lang w:val="en-US" w:eastAsia="zh-CN" w:bidi="ar"/>
              </w:rPr>
              <w:t>石财教【2023】60号关于下达2023年中央补助地方公共文化服务体系建设专项资金</w:t>
            </w:r>
          </w:p>
        </w:tc>
        <w:tc>
          <w:tcPr>
            <w:tcW w:w="2415"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val="en-US" w:eastAsia="zh-CN"/>
              </w:rPr>
              <w:t>100</w:t>
            </w:r>
          </w:p>
        </w:tc>
        <w:tc>
          <w:tcPr>
            <w:tcW w:w="2097" w:type="dxa"/>
            <w:vAlign w:val="center"/>
          </w:tcPr>
          <w:p>
            <w:pPr>
              <w:pStyle w:val="2"/>
              <w:jc w:val="both"/>
              <w:rPr>
                <w:rFonts w:hint="eastAsia" w:ascii="仿宋" w:hAnsi="仿宋" w:eastAsia="仿宋" w:cs="仿宋"/>
                <w:vertAlign w:val="baseline"/>
              </w:rPr>
            </w:pPr>
            <w:r>
              <w:rPr>
                <w:rFonts w:hint="eastAsia" w:ascii="仿宋" w:hAnsi="仿宋" w:eastAsia="仿宋" w:cs="仿宋"/>
                <w:vertAlign w:val="baseline"/>
                <w:lang w:eastAsia="zh-CN"/>
              </w:rPr>
              <w:t>优秀</w:t>
            </w:r>
          </w:p>
        </w:tc>
      </w:tr>
    </w:tbl>
    <w:p>
      <w:pPr>
        <w:numPr>
          <w:ilvl w:val="0"/>
          <w:numId w:val="0"/>
        </w:numPr>
        <w:spacing w:line="560" w:lineRule="exact"/>
        <w:ind w:firstLine="640" w:firstLineChars="200"/>
        <w:jc w:val="both"/>
        <w:rPr>
          <w:rFonts w:hint="eastAsia" w:ascii="黑体" w:hAnsi="黑体" w:eastAsia="黑体"/>
          <w:sz w:val="32"/>
          <w:szCs w:val="32"/>
        </w:rPr>
      </w:pPr>
      <w:r>
        <w:rPr>
          <w:rFonts w:hint="eastAsia" w:ascii="黑体" w:hAnsi="黑体" w:eastAsia="黑体"/>
          <w:sz w:val="32"/>
          <w:szCs w:val="32"/>
          <w:lang w:eastAsia="zh-CN"/>
        </w:rPr>
        <w:t>五、</w:t>
      </w:r>
      <w:r>
        <w:rPr>
          <w:rFonts w:hint="eastAsia" w:ascii="黑体" w:hAnsi="黑体" w:eastAsia="黑体"/>
          <w:sz w:val="32"/>
          <w:szCs w:val="32"/>
        </w:rPr>
        <w:t>评价工作组人员名单及签字（姓名、工作单位、职务、职称）</w:t>
      </w:r>
    </w:p>
    <w:p>
      <w:pPr>
        <w:pStyle w:val="2"/>
        <w:numPr>
          <w:ilvl w:val="0"/>
          <w:numId w:val="0"/>
        </w:numPr>
        <w:jc w:val="both"/>
        <w:rPr>
          <w:rFonts w:hint="eastAsia"/>
          <w:lang w:val="en-US" w:eastAsia="zh-CN"/>
        </w:rPr>
      </w:pPr>
      <w:r>
        <w:rPr>
          <w:rFonts w:hint="eastAsia"/>
          <w:lang w:val="en-US" w:eastAsia="zh-CN"/>
        </w:rPr>
        <w:t>贾秀敏   区委宣传部   常务副部长</w:t>
      </w:r>
    </w:p>
    <w:p>
      <w:pPr>
        <w:pStyle w:val="2"/>
        <w:numPr>
          <w:ilvl w:val="0"/>
          <w:numId w:val="0"/>
        </w:numPr>
        <w:jc w:val="both"/>
        <w:rPr>
          <w:rFonts w:hint="eastAsia"/>
          <w:lang w:val="en-US" w:eastAsia="zh-CN"/>
        </w:rPr>
      </w:pPr>
      <w:r>
        <w:rPr>
          <w:rFonts w:hint="eastAsia"/>
          <w:lang w:val="en-US" w:eastAsia="zh-CN"/>
        </w:rPr>
        <w:t>聂寒松   区委宣传部   一级主任科员</w:t>
      </w:r>
    </w:p>
    <w:p>
      <w:pPr>
        <w:pStyle w:val="2"/>
        <w:numPr>
          <w:ilvl w:val="0"/>
          <w:numId w:val="0"/>
        </w:numPr>
        <w:jc w:val="both"/>
        <w:rPr>
          <w:rFonts w:hint="default"/>
          <w:lang w:val="en-US" w:eastAsia="zh-CN"/>
        </w:rPr>
      </w:pPr>
      <w:r>
        <w:rPr>
          <w:rFonts w:hint="eastAsia"/>
          <w:lang w:val="en-US" w:eastAsia="zh-CN"/>
        </w:rPr>
        <w:t>聂 慧    区委宣传部   一级科员</w:t>
      </w:r>
      <w:bookmarkStart w:id="0" w:name="_GoBack"/>
      <w:bookmarkEnd w:id="0"/>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075D3313"/>
    <w:multiLevelType w:val="singleLevel"/>
    <w:tmpl w:val="075D3313"/>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0FD057C2"/>
    <w:rsid w:val="11B71E6A"/>
    <w:rsid w:val="14F12106"/>
    <w:rsid w:val="1AAF0063"/>
    <w:rsid w:val="1BE140DE"/>
    <w:rsid w:val="22560183"/>
    <w:rsid w:val="248C197D"/>
    <w:rsid w:val="252959AF"/>
    <w:rsid w:val="277A6671"/>
    <w:rsid w:val="292D35B7"/>
    <w:rsid w:val="29BB384C"/>
    <w:rsid w:val="2A575EC7"/>
    <w:rsid w:val="2F3F5AB6"/>
    <w:rsid w:val="32817910"/>
    <w:rsid w:val="337A619E"/>
    <w:rsid w:val="33EB6CFF"/>
    <w:rsid w:val="35A12947"/>
    <w:rsid w:val="37387040"/>
    <w:rsid w:val="3B625C0A"/>
    <w:rsid w:val="3CEE1963"/>
    <w:rsid w:val="436B78D3"/>
    <w:rsid w:val="4AE504B9"/>
    <w:rsid w:val="4C9C27FE"/>
    <w:rsid w:val="4EF0512D"/>
    <w:rsid w:val="512260B4"/>
    <w:rsid w:val="52BD6ACB"/>
    <w:rsid w:val="55537534"/>
    <w:rsid w:val="561A74F1"/>
    <w:rsid w:val="56A83229"/>
    <w:rsid w:val="597244E8"/>
    <w:rsid w:val="5EB71C30"/>
    <w:rsid w:val="6218439E"/>
    <w:rsid w:val="64C31C21"/>
    <w:rsid w:val="66AF0CE5"/>
    <w:rsid w:val="6AC537CF"/>
    <w:rsid w:val="6CFC46B8"/>
    <w:rsid w:val="6D6B1AAA"/>
    <w:rsid w:val="6E5B14A6"/>
    <w:rsid w:val="711B255E"/>
    <w:rsid w:val="7AD642BD"/>
    <w:rsid w:val="7BB51E06"/>
    <w:rsid w:val="7C387F7C"/>
    <w:rsid w:val="7FB63357"/>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插入文本样式-插入部门职责文件"/>
    <w:basedOn w:val="1"/>
    <w:qFormat/>
    <w:uiPriority w:val="0"/>
    <w:pPr>
      <w:spacing w:line="500" w:lineRule="exact"/>
      <w:ind w:firstLine="560"/>
    </w:pPr>
    <w:rPr>
      <w:rFonts w:eastAsia="方正仿宋_GBK"/>
      <w:sz w:val="28"/>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2">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10</TotalTime>
  <ScaleCrop>false</ScaleCrop>
  <LinksUpToDate>false</LinksUpToDate>
  <CharactersWithSpaces>669</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2024-04-25T07:53:00Z</cp:lastPrinted>
  <dcterms:modified xsi:type="dcterms:W3CDTF">2024-05-15T08:12:46Z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96934721B1514D3FBAA28020338CE855_12</vt:lpwstr>
  </property>
</Properties>
</file>