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河北鹿泉经济开发区管理委员会</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adjustRightInd w:val="0"/>
        <w:snapToGrid w:val="0"/>
        <w:spacing w:line="560" w:lineRule="exact"/>
        <w:ind w:firstLine="640" w:firstLineChars="200"/>
        <w:rPr>
          <w:rFonts w:hint="eastAsia" w:ascii="仿宋" w:hAnsi="仿宋" w:eastAsia="仿宋"/>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val="en-US" w:eastAsia="zh-CN"/>
        </w:rPr>
        <w:t>开发区</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pStyle w:val="8"/>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根据《河北鹿泉经济开发</w:t>
      </w:r>
      <w:r>
        <w:rPr>
          <w:rFonts w:hint="eastAsia" w:ascii="仿宋" w:hAnsi="仿宋" w:eastAsia="仿宋" w:cs="仿宋"/>
          <w:sz w:val="32"/>
          <w:szCs w:val="32"/>
          <w:lang w:val="en-US" w:eastAsia="zh-CN"/>
        </w:rPr>
        <w:t>区</w:t>
      </w:r>
      <w:r>
        <w:rPr>
          <w:rFonts w:hint="eastAsia" w:ascii="仿宋" w:hAnsi="仿宋" w:eastAsia="仿宋" w:cs="仿宋"/>
          <w:sz w:val="32"/>
          <w:szCs w:val="32"/>
        </w:rPr>
        <w:t>管理委员会职能配置、内设机构和人员编制规定》， 河北鹿泉经济开发</w:t>
      </w:r>
      <w:r>
        <w:rPr>
          <w:rFonts w:hint="eastAsia" w:ascii="仿宋" w:hAnsi="仿宋" w:eastAsia="仿宋" w:cs="仿宋"/>
          <w:sz w:val="32"/>
          <w:szCs w:val="32"/>
          <w:lang w:val="en-US" w:eastAsia="zh-CN"/>
        </w:rPr>
        <w:t>区</w:t>
      </w:r>
      <w:r>
        <w:rPr>
          <w:rFonts w:hint="eastAsia" w:ascii="仿宋" w:hAnsi="仿宋" w:eastAsia="仿宋" w:cs="仿宋"/>
          <w:sz w:val="32"/>
          <w:szCs w:val="32"/>
        </w:rPr>
        <w:t>管理委员会的主要职责是：编制辖区的总体规划和经济、社会发展规划，经批准后组织实施;编制辖区区域性城市发展规划、国土利用规划，经批准后组织实施;承接省、市、区政府赋予开发区的行政职权事项;负责辖区基础设施、公用设施的建设与管理;负责辖区财政管理,实施辖区内财政预算决算、国有资产管理和财政监督工作;负责招商引资、进出口贸易和国内外经济技术合作工作;对实行派驻体制的机构和力量实施双重领导;对所属国有企业业务进行指导和审核;负责鹿泉区政府交办的其他事项。</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党政办公室。负责基层党的政治建设、组织建设、思想建设、宣传工作、意识形态、精神文明建设、党风廉政建设统战工作、民族宗教事务、综合治理、信访、武装、组织人事群团、内部审计工作;负责与人大、政协的联系;负责机关日常工作的综合协调和监督检查;负责机关文电、值班、会务、机要保密、档案、党务政务公开、对外联络、后勤保障等日常运转工作;按照有关规定负责机构编制和人力资源相关工作;负责人事薪酬制度改革工作，建立和维护绩效考核体系;按有关规定负责机关、所属事业</w:t>
      </w:r>
      <w:r>
        <w:rPr>
          <w:rFonts w:hint="eastAsia" w:ascii="仿宋" w:hAnsi="仿宋" w:eastAsia="仿宋" w:cs="仿宋"/>
          <w:sz w:val="32"/>
          <w:szCs w:val="32"/>
          <w:lang w:eastAsia="zh-CN"/>
        </w:rPr>
        <w:t>部门</w:t>
      </w:r>
      <w:r>
        <w:rPr>
          <w:rFonts w:hint="eastAsia" w:ascii="仿宋" w:hAnsi="仿宋" w:eastAsia="仿宋" w:cs="仿宋"/>
          <w:sz w:val="32"/>
          <w:szCs w:val="32"/>
        </w:rPr>
        <w:t>和所属国有企业人员的考核、奖惩、培训、教育工作。</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财政局。承担开发区财政、国有资产管理的相关工作编制、执行开发区财政年度预、决算方案;负责协调税务工作:负责开发区国有资产管理和财政监督;负责规划建设项目的工程决算;负责机关、所属事业</w:t>
      </w:r>
      <w:r>
        <w:rPr>
          <w:rFonts w:hint="eastAsia" w:ascii="仿宋" w:hAnsi="仿宋" w:eastAsia="仿宋" w:cs="仿宋"/>
          <w:sz w:val="32"/>
          <w:szCs w:val="32"/>
          <w:lang w:eastAsia="zh-CN"/>
        </w:rPr>
        <w:t>部门</w:t>
      </w:r>
      <w:r>
        <w:rPr>
          <w:rFonts w:hint="eastAsia" w:ascii="仿宋" w:hAnsi="仿宋" w:eastAsia="仿宋" w:cs="仿宋"/>
          <w:sz w:val="32"/>
          <w:szCs w:val="32"/>
        </w:rPr>
        <w:t>人员五险一金的缴纳、调资等工作。</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3、</w:t>
      </w:r>
      <w:r>
        <w:rPr>
          <w:rFonts w:hint="eastAsia" w:ascii="仿宋" w:hAnsi="仿宋" w:eastAsia="仿宋" w:cs="仿宋"/>
          <w:sz w:val="32"/>
          <w:szCs w:val="32"/>
        </w:rPr>
        <w:t>经济发展局。承担开发区经济管理、科技创新相关工作。对开发区企业各项经济指标进行统计分析和汇总上报;负责辖区内出口创汇企业的管理及外经、外贸工作;组织参加全国和区域性的各种经济技术合作洽谈会、展销会;负责科技项目及高新技术企业申报工作及科技创新工作;贯彻落实国家产业政策建立完善开发区项目储备库;负责招才引智，负责人才和企业各项奖励优惠政策的制定及兑现:负责辖区内环境保护等方面的工作</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招商局。承担开发区招商引资相关工作。负责招商项目的谋划、征集、洽谈、评估和落地;负责重大招商引资项目活动和各类展会、签约的策划、组织、实施工作;负责项目洽谈及综合协调服务;组织开展招商引资推介会和对外宣传工作;完善招商体制机制，做好推进京津冀协同发展相关工作。</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5、</w:t>
      </w:r>
      <w:r>
        <w:rPr>
          <w:rFonts w:hint="eastAsia" w:ascii="仿宋" w:hAnsi="仿宋" w:eastAsia="仿宋" w:cs="仿宋"/>
          <w:sz w:val="32"/>
          <w:szCs w:val="32"/>
        </w:rPr>
        <w:t>建设管理局。组织开发区规划编制和实施工作;编制辖区区域性城市发展规划，负责项目建设相关工作:负责市政公共设施建设、管理、维护相关工作;负责交通、环卫、城市园林绿化工作，负责城市管理、建筑工地管理等工作;协助做好基础设施与企业的对接及联系工作;配合做好综合执法相关工作</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社会事务局(应急管理局)。负责教育、文化、卫生人口与计划生育、民政、社会事务、社区服务等工作;负责社区党建、民主政治建设、经济财务管理等各类事务管理工作;协助做好退役军人服务工作;负责辖区应急管理工作，建立健全应急联动机制，严格落实应急管理责任，加强基层综合应急队伍建设和应急保障能力建设;负责消防、防汛抗洪、抗旱等防灾减灾相关工作;负责安全生产相关工作;负责辖区传染病防治工作，自然灾害救助相关工作，护林和森林草原防火等相关工作。</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行政审批局。负责承接省、市、区政府赋予开发区的行政职权事项，集中行使行政许可等事项;推进开发区审批制度改革工作，编制公布权力清单和责任清单，负责规范行政审批行为，推进行政审批、政务服务标准化建设，负责开发区行政许可事项的现场勘查、专家评审、技术论证等工作;负责开发区行政审批、政务服务平台的建设、协调、运行和维护工作;负责协调派驻部门做好派驻人员的管理，负责推进“放管服”改革和社会信用体系建设等工作。</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西北物流产业管理办公室。负责统筹推进西北物流产业聚集区产业发展。负责项目选址方案并组织实施:负责园区管理和综合协调工作:负责项目落地、项目建设、项目运营、项目服务等全链条推进工作。</w:t>
      </w:r>
    </w:p>
    <w:p>
      <w:pPr>
        <w:spacing w:before="278" w:line="222" w:lineRule="auto"/>
        <w:jc w:val="center"/>
        <w:rPr>
          <w:rFonts w:hint="eastAsia" w:ascii="宋体" w:hAnsi="宋体" w:eastAsia="宋体" w:cs="宋体"/>
          <w:spacing w:val="-3"/>
          <w:sz w:val="32"/>
          <w:szCs w:val="32"/>
        </w:rPr>
      </w:pPr>
      <w:r>
        <w:rPr>
          <w:rFonts w:hint="eastAsia" w:ascii="宋体" w:hAnsi="宋体" w:eastAsia="宋体" w:cs="宋体"/>
          <w:spacing w:val="-3"/>
          <w:sz w:val="32"/>
          <w:szCs w:val="32"/>
        </w:rPr>
        <w:t>部门基本情况表</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1"/>
        <w:gridCol w:w="1025"/>
        <w:gridCol w:w="1506"/>
        <w:gridCol w:w="1186"/>
        <w:gridCol w:w="1135"/>
        <w:gridCol w:w="966"/>
        <w:gridCol w:w="12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1621" w:type="dxa"/>
            <w:vMerge w:val="restart"/>
            <w:vAlign w:val="center"/>
          </w:tcPr>
          <w:p>
            <w:pPr>
              <w:pStyle w:val="2"/>
              <w:jc w:val="center"/>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单位名称</w:t>
            </w:r>
          </w:p>
        </w:tc>
        <w:tc>
          <w:tcPr>
            <w:tcW w:w="1025" w:type="dxa"/>
            <w:vMerge w:val="restart"/>
            <w:vAlign w:val="center"/>
          </w:tcPr>
          <w:p>
            <w:pPr>
              <w:pStyle w:val="2"/>
              <w:jc w:val="center"/>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单位性质</w:t>
            </w:r>
          </w:p>
        </w:tc>
        <w:tc>
          <w:tcPr>
            <w:tcW w:w="1506" w:type="dxa"/>
            <w:vMerge w:val="restart"/>
            <w:vAlign w:val="center"/>
          </w:tcPr>
          <w:p>
            <w:pPr>
              <w:pStyle w:val="2"/>
              <w:jc w:val="center"/>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单位规格</w:t>
            </w:r>
          </w:p>
        </w:tc>
        <w:tc>
          <w:tcPr>
            <w:tcW w:w="1186" w:type="dxa"/>
            <w:vMerge w:val="restart"/>
            <w:vAlign w:val="center"/>
          </w:tcPr>
          <w:p>
            <w:pPr>
              <w:pStyle w:val="2"/>
              <w:jc w:val="center"/>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经费保障形式</w:t>
            </w:r>
          </w:p>
        </w:tc>
        <w:tc>
          <w:tcPr>
            <w:tcW w:w="2101" w:type="dxa"/>
            <w:gridSpan w:val="2"/>
            <w:vAlign w:val="center"/>
          </w:tcPr>
          <w:p>
            <w:pPr>
              <w:pStyle w:val="2"/>
              <w:jc w:val="center"/>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在职人数</w:t>
            </w:r>
          </w:p>
        </w:tc>
        <w:tc>
          <w:tcPr>
            <w:tcW w:w="1238" w:type="dxa"/>
            <w:vAlign w:val="center"/>
          </w:tcPr>
          <w:p>
            <w:pPr>
              <w:pStyle w:val="2"/>
              <w:jc w:val="center"/>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离退人数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1621" w:type="dxa"/>
            <w:vMerge w:val="continue"/>
            <w:vAlign w:val="center"/>
          </w:tcPr>
          <w:p>
            <w:pPr>
              <w:pStyle w:val="2"/>
              <w:jc w:val="center"/>
              <w:rPr>
                <w:rFonts w:hint="eastAsia" w:ascii="宋体" w:hAnsi="宋体" w:eastAsia="宋体" w:cs="宋体"/>
                <w:sz w:val="18"/>
                <w:szCs w:val="18"/>
                <w:vertAlign w:val="baseline"/>
              </w:rPr>
            </w:pPr>
          </w:p>
        </w:tc>
        <w:tc>
          <w:tcPr>
            <w:tcW w:w="1025" w:type="dxa"/>
            <w:vMerge w:val="continue"/>
            <w:vAlign w:val="center"/>
          </w:tcPr>
          <w:p>
            <w:pPr>
              <w:pStyle w:val="2"/>
              <w:jc w:val="center"/>
              <w:rPr>
                <w:rFonts w:hint="eastAsia" w:ascii="宋体" w:hAnsi="宋体" w:eastAsia="宋体" w:cs="宋体"/>
                <w:sz w:val="18"/>
                <w:szCs w:val="18"/>
                <w:vertAlign w:val="baseline"/>
              </w:rPr>
            </w:pPr>
          </w:p>
        </w:tc>
        <w:tc>
          <w:tcPr>
            <w:tcW w:w="1506" w:type="dxa"/>
            <w:vMerge w:val="continue"/>
            <w:vAlign w:val="center"/>
          </w:tcPr>
          <w:p>
            <w:pPr>
              <w:pStyle w:val="2"/>
              <w:jc w:val="center"/>
              <w:rPr>
                <w:rFonts w:hint="eastAsia" w:ascii="宋体" w:hAnsi="宋体" w:eastAsia="宋体" w:cs="宋体"/>
                <w:sz w:val="18"/>
                <w:szCs w:val="18"/>
                <w:vertAlign w:val="baseline"/>
              </w:rPr>
            </w:pPr>
          </w:p>
        </w:tc>
        <w:tc>
          <w:tcPr>
            <w:tcW w:w="1186" w:type="dxa"/>
            <w:vMerge w:val="continue"/>
            <w:vAlign w:val="center"/>
          </w:tcPr>
          <w:p>
            <w:pPr>
              <w:pStyle w:val="2"/>
              <w:jc w:val="center"/>
              <w:rPr>
                <w:rFonts w:hint="eastAsia" w:ascii="宋体" w:hAnsi="宋体" w:eastAsia="宋体" w:cs="宋体"/>
                <w:sz w:val="18"/>
                <w:szCs w:val="18"/>
                <w:vertAlign w:val="baseline"/>
              </w:rPr>
            </w:pPr>
          </w:p>
        </w:tc>
        <w:tc>
          <w:tcPr>
            <w:tcW w:w="1135" w:type="dxa"/>
            <w:vAlign w:val="center"/>
          </w:tcPr>
          <w:p>
            <w:pPr>
              <w:pStyle w:val="2"/>
              <w:jc w:val="center"/>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行政</w:t>
            </w:r>
          </w:p>
        </w:tc>
        <w:tc>
          <w:tcPr>
            <w:tcW w:w="966" w:type="dxa"/>
            <w:vAlign w:val="center"/>
          </w:tcPr>
          <w:p>
            <w:pPr>
              <w:pStyle w:val="2"/>
              <w:jc w:val="center"/>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事业</w:t>
            </w:r>
          </w:p>
        </w:tc>
        <w:tc>
          <w:tcPr>
            <w:tcW w:w="1238" w:type="dxa"/>
            <w:vAlign w:val="center"/>
          </w:tcPr>
          <w:p>
            <w:pPr>
              <w:pStyle w:val="2"/>
              <w:jc w:val="center"/>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退休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6" w:hRule="atLeast"/>
        </w:trPr>
        <w:tc>
          <w:tcPr>
            <w:tcW w:w="1621" w:type="dxa"/>
            <w:vAlign w:val="center"/>
          </w:tcPr>
          <w:p>
            <w:pPr>
              <w:pStyle w:val="2"/>
              <w:jc w:val="center"/>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河北鹿泉经济开发区管理委员会本级</w:t>
            </w:r>
          </w:p>
        </w:tc>
        <w:tc>
          <w:tcPr>
            <w:tcW w:w="1025" w:type="dxa"/>
            <w:vAlign w:val="center"/>
          </w:tcPr>
          <w:p>
            <w:pPr>
              <w:pStyle w:val="2"/>
              <w:jc w:val="center"/>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行政</w:t>
            </w:r>
          </w:p>
        </w:tc>
        <w:tc>
          <w:tcPr>
            <w:tcW w:w="1506" w:type="dxa"/>
            <w:vAlign w:val="center"/>
          </w:tcPr>
          <w:p>
            <w:pPr>
              <w:pStyle w:val="2"/>
              <w:jc w:val="center"/>
              <w:rPr>
                <w:rFonts w:hint="eastAsia" w:ascii="宋体" w:hAnsi="宋体" w:eastAsia="宋体" w:cs="宋体"/>
                <w:sz w:val="18"/>
                <w:szCs w:val="18"/>
                <w:vertAlign w:val="baseline"/>
                <w:lang w:val="en-US" w:eastAsia="zh-CN"/>
              </w:rPr>
            </w:pPr>
            <w:r>
              <w:rPr>
                <w:rFonts w:hint="eastAsia" w:eastAsia="宋体" w:cs="宋体"/>
                <w:sz w:val="18"/>
                <w:szCs w:val="18"/>
                <w:vertAlign w:val="baseline"/>
                <w:lang w:val="en-US" w:eastAsia="zh-CN"/>
              </w:rPr>
              <w:t>正</w:t>
            </w:r>
            <w:r>
              <w:rPr>
                <w:rFonts w:hint="eastAsia" w:ascii="宋体" w:hAnsi="宋体" w:eastAsia="宋体" w:cs="宋体"/>
                <w:sz w:val="18"/>
                <w:szCs w:val="18"/>
                <w:vertAlign w:val="baseline"/>
                <w:lang w:val="en-US" w:eastAsia="zh-CN"/>
              </w:rPr>
              <w:t>处（县）级</w:t>
            </w:r>
          </w:p>
        </w:tc>
        <w:tc>
          <w:tcPr>
            <w:tcW w:w="1186" w:type="dxa"/>
            <w:vAlign w:val="center"/>
          </w:tcPr>
          <w:p>
            <w:pPr>
              <w:pStyle w:val="2"/>
              <w:jc w:val="center"/>
              <w:rPr>
                <w:rFonts w:hint="eastAsia" w:ascii="宋体" w:hAnsi="宋体" w:eastAsia="宋体" w:cs="宋体"/>
                <w:sz w:val="18"/>
                <w:szCs w:val="18"/>
                <w:vertAlign w:val="baseline"/>
                <w:lang w:val="en-US" w:eastAsia="zh-CN"/>
              </w:rPr>
            </w:pPr>
            <w:r>
              <w:rPr>
                <w:rFonts w:hint="eastAsia" w:ascii="宋体" w:hAnsi="宋体" w:eastAsia="宋体" w:cs="宋体"/>
                <w:sz w:val="18"/>
                <w:szCs w:val="18"/>
                <w:vertAlign w:val="baseline"/>
                <w:lang w:val="en-US" w:eastAsia="zh-CN"/>
              </w:rPr>
              <w:t>财政拨款</w:t>
            </w:r>
          </w:p>
        </w:tc>
        <w:tc>
          <w:tcPr>
            <w:tcW w:w="1135" w:type="dxa"/>
            <w:vAlign w:val="center"/>
          </w:tcPr>
          <w:p>
            <w:pPr>
              <w:pStyle w:val="2"/>
              <w:jc w:val="center"/>
              <w:rPr>
                <w:rFonts w:hint="default" w:ascii="宋体" w:hAnsi="宋体" w:eastAsia="宋体" w:cs="宋体"/>
                <w:sz w:val="18"/>
                <w:szCs w:val="18"/>
                <w:vertAlign w:val="baseline"/>
                <w:lang w:val="en-US" w:eastAsia="zh-CN"/>
              </w:rPr>
            </w:pPr>
            <w:r>
              <w:rPr>
                <w:rFonts w:hint="eastAsia" w:eastAsia="宋体" w:cs="宋体"/>
                <w:sz w:val="18"/>
                <w:szCs w:val="18"/>
                <w:vertAlign w:val="baseline"/>
                <w:lang w:val="en-US" w:eastAsia="zh-CN"/>
              </w:rPr>
              <w:t>24</w:t>
            </w:r>
          </w:p>
        </w:tc>
        <w:tc>
          <w:tcPr>
            <w:tcW w:w="966" w:type="dxa"/>
            <w:vAlign w:val="center"/>
          </w:tcPr>
          <w:p>
            <w:pPr>
              <w:pStyle w:val="2"/>
              <w:jc w:val="center"/>
              <w:rPr>
                <w:rFonts w:hint="default" w:ascii="宋体" w:hAnsi="宋体" w:eastAsia="宋体" w:cs="宋体"/>
                <w:sz w:val="18"/>
                <w:szCs w:val="18"/>
                <w:vertAlign w:val="baseline"/>
                <w:lang w:val="en-US" w:eastAsia="zh-CN"/>
              </w:rPr>
            </w:pPr>
            <w:r>
              <w:rPr>
                <w:rFonts w:hint="eastAsia" w:eastAsia="宋体" w:cs="宋体"/>
                <w:sz w:val="18"/>
                <w:szCs w:val="18"/>
                <w:vertAlign w:val="baseline"/>
                <w:lang w:val="en-US" w:eastAsia="zh-CN"/>
              </w:rPr>
              <w:t>41</w:t>
            </w:r>
          </w:p>
        </w:tc>
        <w:tc>
          <w:tcPr>
            <w:tcW w:w="1238" w:type="dxa"/>
            <w:vAlign w:val="center"/>
          </w:tcPr>
          <w:p>
            <w:pPr>
              <w:pStyle w:val="2"/>
              <w:jc w:val="center"/>
              <w:rPr>
                <w:rFonts w:hint="default" w:ascii="宋体" w:hAnsi="宋体" w:eastAsia="宋体" w:cs="宋体"/>
                <w:sz w:val="18"/>
                <w:szCs w:val="18"/>
                <w:vertAlign w:val="baseline"/>
                <w:lang w:val="en-US"/>
              </w:rPr>
            </w:pPr>
            <w:r>
              <w:rPr>
                <w:rFonts w:hint="eastAsia" w:eastAsia="宋体" w:cs="宋体"/>
                <w:sz w:val="18"/>
                <w:szCs w:val="18"/>
                <w:vertAlign w:val="baseline"/>
                <w:lang w:val="en-US" w:eastAsia="zh-CN"/>
              </w:rPr>
              <w:t>28</w:t>
            </w:r>
          </w:p>
        </w:tc>
      </w:tr>
    </w:tbl>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widowControl w:val="0"/>
        <w:wordWrap/>
        <w:adjustRightInd w:val="0"/>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1、</w:t>
      </w:r>
      <w:r>
        <w:rPr>
          <w:rFonts w:hint="eastAsia" w:ascii="仿宋" w:hAnsi="仿宋" w:eastAsia="仿宋"/>
          <w:sz w:val="32"/>
          <w:szCs w:val="32"/>
        </w:rPr>
        <w:t>收入支出</w:t>
      </w:r>
      <w:r>
        <w:rPr>
          <w:rFonts w:hint="eastAsia" w:ascii="仿宋" w:hAnsi="仿宋" w:eastAsia="仿宋"/>
          <w:sz w:val="32"/>
          <w:szCs w:val="32"/>
          <w:lang w:val="en-US" w:eastAsia="zh-CN"/>
        </w:rPr>
        <w:t>预算</w:t>
      </w:r>
      <w:r>
        <w:rPr>
          <w:rFonts w:hint="eastAsia" w:ascii="仿宋" w:hAnsi="仿宋" w:eastAsia="仿宋"/>
          <w:sz w:val="32"/>
          <w:szCs w:val="32"/>
        </w:rPr>
        <w:t>总体情况说明</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2023年预算收入179148.07万元，其中：公共预算收入32137.92万元，基金预算收入18950.42万元，上年结转128059.74万元。2023年支出预算179148.07万元，其中基本支出1552.33万元，包括人员经费1374.01万元和日常公用经费178.32万元；项目支出177595.74万元。</w:t>
      </w:r>
    </w:p>
    <w:p>
      <w:pPr>
        <w:spacing w:line="560" w:lineRule="exact"/>
        <w:ind w:firstLine="800" w:firstLineChars="250"/>
        <w:rPr>
          <w:rFonts w:hint="eastAsia" w:ascii="仿宋" w:hAnsi="仿宋" w:eastAsia="仿宋"/>
          <w:sz w:val="32"/>
          <w:szCs w:val="32"/>
          <w:lang w:val="en-US" w:eastAsia="zh-CN"/>
        </w:rPr>
      </w:pPr>
      <w:r>
        <w:rPr>
          <w:rFonts w:hint="eastAsia" w:ascii="仿宋" w:hAnsi="仿宋" w:eastAsia="仿宋"/>
          <w:sz w:val="32"/>
          <w:szCs w:val="32"/>
          <w:lang w:val="en-US" w:eastAsia="zh-CN"/>
        </w:rPr>
        <w:t>2、收入支出决算总体情况说明</w:t>
      </w:r>
    </w:p>
    <w:p>
      <w:pPr>
        <w:spacing w:line="560" w:lineRule="exact"/>
        <w:ind w:firstLine="782" w:firstLineChars="250"/>
        <w:rPr>
          <w:rFonts w:hint="eastAsia" w:ascii="仿宋" w:hAnsi="仿宋" w:eastAsia="仿宋"/>
          <w:w w:val="98"/>
          <w:sz w:val="32"/>
          <w:szCs w:val="32"/>
          <w:lang w:val="en-US" w:eastAsia="zh-CN"/>
        </w:rPr>
      </w:pPr>
      <w:bookmarkStart w:id="0" w:name="_GoBack"/>
      <w:r>
        <w:rPr>
          <w:rFonts w:hint="eastAsia" w:ascii="仿宋" w:hAnsi="仿宋" w:eastAsia="仿宋"/>
          <w:w w:val="98"/>
          <w:sz w:val="32"/>
          <w:szCs w:val="32"/>
          <w:lang w:val="en-US" w:eastAsia="zh-CN"/>
        </w:rPr>
        <w:t>2023年决算收入70561.52万元，其中：公共预算收入18863.73万元，基金预算收入45178.68万元，其他收入3382.51万元，年初结转和结余收入3136.60万元。2023年决算支出67456.28万元，其中基本支出1430.97万元，包括人员经费1294.74万元和日常公用经费136.22万元；项目支出66025.31万元。</w:t>
      </w:r>
    </w:p>
    <w:bookmarkEnd w:id="0"/>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pStyle w:val="10"/>
        <w:jc w:val="both"/>
        <w:rPr>
          <w:rFonts w:hint="default"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1、总体绩效目标</w:t>
      </w:r>
    </w:p>
    <w:p>
      <w:pPr>
        <w:pStyle w:val="10"/>
      </w:pPr>
      <w:r>
        <w:t>2023年开发区总体绩效目标：将进一步加快产业园规划建设，继续抓好招商引资和项目建设工作，持之以恒做好企业服务，引进和培育更多的大企业、好项目，不断壮大电子信息产业规模，加快打造千亿级电子信息产业集群，实现新一代电子信息产业率先突破。</w:t>
      </w:r>
    </w:p>
    <w:p>
      <w:pPr>
        <w:pStyle w:val="10"/>
        <w:jc w:val="both"/>
        <w:rPr>
          <w:rFonts w:hint="default"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2、分项绩效目标</w:t>
      </w:r>
    </w:p>
    <w:p>
      <w:pPr>
        <w:pStyle w:val="11"/>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（1）鹿泉经济开发区横山片区基础设施提升改造工程</w:t>
      </w:r>
    </w:p>
    <w:p>
      <w:pPr>
        <w:pStyle w:val="11"/>
        <w:ind w:left="0" w:leftChars="0" w:firstLine="560" w:firstLineChars="200"/>
        <w:rPr>
          <w:rFonts w:ascii="Times New Roman" w:hAnsi="Times New Roman" w:eastAsia="方正仿宋_GBK" w:cs="Times New Roman"/>
          <w:kern w:val="2"/>
          <w:sz w:val="28"/>
          <w:szCs w:val="22"/>
          <w:lang w:val="en-US" w:eastAsia="zh-CN" w:bidi="ar-SA"/>
        </w:rPr>
      </w:pPr>
      <w:r>
        <w:rPr>
          <w:rFonts w:ascii="Times New Roman" w:hAnsi="Times New Roman" w:eastAsia="方正仿宋_GBK" w:cs="Times New Roman"/>
          <w:kern w:val="2"/>
          <w:sz w:val="28"/>
          <w:szCs w:val="22"/>
          <w:lang w:val="en-US" w:eastAsia="zh-CN" w:bidi="ar-SA"/>
        </w:rPr>
        <w:t>绩效目标：完善配套基础设施，优化营商环境。</w:t>
      </w:r>
    </w:p>
    <w:p>
      <w:pPr>
        <w:widowControl w:val="0"/>
        <w:wordWrap/>
        <w:spacing w:line="560" w:lineRule="exact"/>
        <w:ind w:left="0" w:leftChars="0" w:right="0" w:firstLine="560" w:firstLineChars="200"/>
        <w:textAlignment w:val="auto"/>
        <w:outlineLvl w:val="9"/>
        <w:rPr>
          <w:rFonts w:ascii="Times New Roman" w:hAnsi="Times New Roman" w:eastAsia="方正仿宋_GBK" w:cs="Times New Roman"/>
          <w:kern w:val="2"/>
          <w:sz w:val="28"/>
          <w:szCs w:val="22"/>
          <w:lang w:val="en-US" w:eastAsia="zh-CN" w:bidi="ar-SA"/>
        </w:rPr>
      </w:pPr>
      <w:r>
        <w:rPr>
          <w:rFonts w:ascii="Times New Roman" w:hAnsi="Times New Roman" w:eastAsia="方正仿宋_GBK" w:cs="Times New Roman"/>
          <w:kern w:val="2"/>
          <w:sz w:val="28"/>
          <w:szCs w:val="22"/>
          <w:lang w:val="en-US" w:eastAsia="zh-CN" w:bidi="ar-SA"/>
        </w:rPr>
        <w:t>绩效指标：用于铺装沥青混凝土路面21560平米，铺设给水管道19810米，污水管道20150米。</w:t>
      </w:r>
    </w:p>
    <w:p>
      <w:pPr>
        <w:pStyle w:val="11"/>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（2）河北鹿泉经济开发区水土保持区域监测</w:t>
      </w:r>
    </w:p>
    <w:p>
      <w:pPr>
        <w:pStyle w:val="11"/>
        <w:ind w:left="0" w:leftChars="0" w:firstLine="560" w:firstLineChars="200"/>
        <w:rPr>
          <w:rFonts w:ascii="Times New Roman" w:hAnsi="Times New Roman" w:eastAsia="方正仿宋_GBK" w:cs="Times New Roman"/>
          <w:kern w:val="2"/>
          <w:sz w:val="28"/>
          <w:szCs w:val="22"/>
          <w:lang w:val="en-US" w:eastAsia="zh-CN" w:bidi="ar-SA"/>
        </w:rPr>
      </w:pPr>
      <w:r>
        <w:rPr>
          <w:rFonts w:ascii="Times New Roman" w:hAnsi="Times New Roman" w:eastAsia="方正仿宋_GBK" w:cs="Times New Roman"/>
          <w:kern w:val="2"/>
          <w:sz w:val="28"/>
          <w:szCs w:val="22"/>
          <w:lang w:val="en-US" w:eastAsia="zh-CN" w:bidi="ar-SA"/>
        </w:rPr>
        <w:t>绩效目标：一方面是优化营商环境，减轻入驻企业负担，提高开发区市场竞争力，有利于招商引资。另一方面，统一监测可及时掌握开发区全方位的土地扰动情况、水土流失情况、水土保持措施实施情况等，分析开发区建设过程中产生的土壤流失量、水土保持措施的防治效果，为开发区的建设提供指导性意见。</w:t>
      </w:r>
    </w:p>
    <w:p>
      <w:pPr>
        <w:pStyle w:val="11"/>
        <w:ind w:left="0" w:leftChars="0" w:firstLine="560" w:firstLineChars="200"/>
        <w:rPr>
          <w:rFonts w:ascii="Times New Roman" w:hAnsi="Times New Roman" w:eastAsia="方正仿宋_GBK" w:cs="Times New Roman"/>
          <w:kern w:val="2"/>
          <w:sz w:val="28"/>
          <w:szCs w:val="22"/>
          <w:lang w:val="en-US" w:eastAsia="zh-CN" w:bidi="ar-SA"/>
        </w:rPr>
      </w:pPr>
      <w:r>
        <w:rPr>
          <w:rFonts w:ascii="Times New Roman" w:hAnsi="Times New Roman" w:eastAsia="方正仿宋_GBK" w:cs="Times New Roman"/>
          <w:kern w:val="2"/>
          <w:sz w:val="28"/>
          <w:szCs w:val="22"/>
          <w:lang w:val="en-US" w:eastAsia="zh-CN" w:bidi="ar-SA"/>
        </w:rPr>
        <w:t>绩效指标：开展开发区1737公顷水土保持监测面积，可及时掌握开发区全方位的土地扰动情况、水土流失情况、水土保持措施实施情况等，分析开发区建设过程中产生的土壤流失量、水土保持措施的防治效果，为开发区的建设提供指导性意见。</w:t>
      </w:r>
    </w:p>
    <w:p>
      <w:pPr>
        <w:pStyle w:val="11"/>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（3）党组织服务群众专项经费</w:t>
      </w:r>
    </w:p>
    <w:p>
      <w:pPr>
        <w:pStyle w:val="11"/>
      </w:pPr>
      <w:r>
        <w:t>绩效目标：达到社区党组织宣传氛围加强，提高党组织服务群众能力，提升居民幸福感。</w:t>
      </w:r>
    </w:p>
    <w:p>
      <w:pPr>
        <w:pStyle w:val="11"/>
        <w:rPr>
          <w:rFonts w:hint="eastAsia" w:ascii="仿宋" w:hAnsi="仿宋" w:eastAsia="仿宋" w:cs="仿宋"/>
          <w:kern w:val="2"/>
          <w:sz w:val="32"/>
          <w:szCs w:val="32"/>
          <w:lang w:val="en-US" w:eastAsia="zh-CN" w:bidi="ar-SA"/>
        </w:rPr>
      </w:pPr>
      <w:r>
        <w:t>绩效指标：1、保障社区党组织活动，会议培训等正常开展，党组织建设，党群服务场所水电暖，房租及其他办公支出及时，2、党群服务场所正常办公服务群众。3、达到社区党组织宣传氛围加强，提高党组织服务群众能力，提升居民幸福感。</w:t>
      </w:r>
      <w:r>
        <w:rPr>
          <w:rFonts w:hint="eastAsia" w:ascii="仿宋" w:hAnsi="仿宋" w:eastAsia="仿宋" w:cs="仿宋"/>
          <w:kern w:val="2"/>
          <w:sz w:val="32"/>
          <w:szCs w:val="32"/>
          <w:lang w:val="en-US" w:eastAsia="zh-CN" w:bidi="ar-SA"/>
        </w:rPr>
        <w:tab/>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s="仿宋"/>
          <w:sz w:val="32"/>
          <w:szCs w:val="32"/>
          <w:lang w:val="en-US" w:eastAsia="zh-CN"/>
        </w:rPr>
        <w:t>我部门依据《关于全面实施预算绩效管理的实施意见》（鹿发【2019】8号、《鹿泉区区级部门项目绩效自评管理办法》（鹿财字【2020】18号）文件，对部门2023年度专项项目进行绩效自评。</w:t>
      </w:r>
      <w:r>
        <w:rPr>
          <w:rFonts w:hint="eastAsia" w:ascii="仿宋" w:hAnsi="仿宋" w:eastAsia="仿宋" w:cs="仿宋"/>
          <w:sz w:val="32"/>
          <w:szCs w:val="32"/>
        </w:rPr>
        <w:t>客观公正地核查项目经费使用情况及预期目标实现程度，考评资金支出效率和综合效果，及时总结经验，分析存在的问题及原因，进一步推进财政资金科学化、精细化管理，不断提高财政专项资金管理水平和使用效率。</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绩效评价标准和评价方法。根据项目实际情况，选用恰当的标准进行评价，定量评价标准、定性评价标准、隶属度标准、客观标准等相结合，从多角度进行综合评价。</w:t>
      </w:r>
    </w:p>
    <w:p>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绩效评价实施过程。</w:t>
      </w:r>
    </w:p>
    <w:p>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前期准备</w:t>
      </w:r>
    </w:p>
    <w:p>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根据有关规定及要求，认真组织人员对项目自评资料进行收集、整理，针对指标完成情况进行绩效分析。为有效及时的完成项目绩效自评工作打下坚实的基础。</w:t>
      </w:r>
    </w:p>
    <w:p>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w:t>
      </w:r>
      <w:r>
        <w:rPr>
          <w:rFonts w:hint="eastAsia" w:ascii="仿宋" w:hAnsi="仿宋" w:eastAsia="仿宋" w:cs="仿宋"/>
          <w:sz w:val="32"/>
          <w:szCs w:val="32"/>
        </w:rPr>
        <w:t>组织实施</w:t>
      </w:r>
    </w:p>
    <w:p>
      <w:pPr>
        <w:spacing w:line="560" w:lineRule="exact"/>
        <w:ind w:firstLine="620" w:firstLineChars="200"/>
        <w:rPr>
          <w:rFonts w:hint="eastAsia" w:ascii="仿宋" w:hAnsi="仿宋" w:eastAsia="仿宋" w:cs="仿宋"/>
          <w:w w:val="97"/>
          <w:sz w:val="32"/>
          <w:szCs w:val="32"/>
        </w:rPr>
      </w:pPr>
      <w:r>
        <w:rPr>
          <w:rFonts w:hint="eastAsia" w:ascii="仿宋" w:hAnsi="仿宋" w:eastAsia="仿宋" w:cs="仿宋"/>
          <w:w w:val="97"/>
          <w:sz w:val="32"/>
          <w:szCs w:val="32"/>
        </w:rPr>
        <w:t>加强过程控制，认真总结项目实现绩效目标过程中存在的问题和采取的改进措施，对项目的预算编制、工程施工、材料的采购进行认真的分析研究，整个过程严格按照绩效评价管理办法进行。</w:t>
      </w:r>
    </w:p>
    <w:p>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分析评价</w:t>
      </w:r>
    </w:p>
    <w:p>
      <w:pPr>
        <w:widowControl w:val="0"/>
        <w:wordWrap/>
        <w:spacing w:line="560" w:lineRule="exact"/>
        <w:ind w:left="0" w:leftChars="0" w:right="0" w:firstLine="640"/>
        <w:textAlignment w:val="auto"/>
        <w:outlineLvl w:val="9"/>
      </w:pPr>
      <w:r>
        <w:rPr>
          <w:rFonts w:hint="eastAsia" w:ascii="仿宋" w:hAnsi="仿宋" w:eastAsia="仿宋" w:cs="仿宋"/>
          <w:sz w:val="32"/>
          <w:szCs w:val="32"/>
        </w:rPr>
        <w:t>根据项目立身特点和已经确定的各项绩效指标，对照项目完成情况，逐一评价，确保评价结论真实、客观、公平、公正</w:t>
      </w:r>
      <w:r>
        <w:rPr>
          <w:rFonts w:hint="eastAsia" w:ascii="仿宋" w:hAnsi="仿宋" w:eastAsia="仿宋" w:cs="仿宋"/>
          <w:sz w:val="32"/>
          <w:szCs w:val="32"/>
          <w:lang w:eastAsia="zh-CN"/>
        </w:rPr>
        <w:t>。</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560" w:firstLineChars="200"/>
        <w:rPr>
          <w:rFonts w:hint="eastAsia" w:ascii="仿宋" w:hAnsi="仿宋" w:eastAsia="仿宋" w:cs="楷体_GB2312"/>
          <w:b/>
          <w:bCs/>
          <w:sz w:val="32"/>
          <w:szCs w:val="32"/>
        </w:rPr>
      </w:pPr>
      <w:r>
        <w:rPr>
          <w:rFonts w:hint="eastAsia" w:ascii="Times New Roman" w:hAnsi="Times New Roman" w:eastAsia="方正仿宋_GBK" w:cs="Times New Roman"/>
          <w:kern w:val="2"/>
          <w:sz w:val="28"/>
          <w:szCs w:val="22"/>
          <w:lang w:val="en-US" w:eastAsia="zh-CN" w:bidi="ar-SA"/>
        </w:rPr>
        <w:t>2023年，鹿泉经开区全面贯彻中央、省市区各项决策部署，深入落实习近平总书记视察河北、视察石家庄重要指示和重要讲话精神，围绕“打造千亿级新一代电子信息产业集群”目标任务，抢抓机遇、砥砺奋进，扎实推进园区建设、招商引资、项目建设、改革创新等各项重点工作，努力为加快建设现代化经济强区、魅力鹿泉、生态宜居宜业宜游新城区贡献力量，为石家庄市新一代电子信息产业率先突破聚势赋能。</w:t>
      </w:r>
      <w:r>
        <w:rPr>
          <w:rFonts w:hint="eastAsia" w:ascii="仿宋" w:hAnsi="仿宋" w:eastAsia="仿宋" w:cs="楷体_GB2312"/>
          <w:b/>
          <w:bCs/>
          <w:sz w:val="32"/>
          <w:szCs w:val="32"/>
        </w:rPr>
        <w:t xml:space="preserve">    </w:t>
      </w:r>
    </w:p>
    <w:p>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pPr>
        <w:spacing w:line="560" w:lineRule="exact"/>
        <w:ind w:firstLine="700" w:firstLineChars="250"/>
        <w:rPr>
          <w:rFonts w:hint="eastAsia" w:ascii="Times New Roman" w:hAnsi="Times New Roman" w:eastAsia="方正仿宋_GBK" w:cs="Times New Roman"/>
          <w:kern w:val="2"/>
          <w:sz w:val="28"/>
          <w:szCs w:val="22"/>
          <w:lang w:val="en-US" w:eastAsia="zh-CN" w:bidi="ar-SA"/>
        </w:rPr>
      </w:pPr>
      <w:r>
        <w:rPr>
          <w:rFonts w:hint="eastAsia" w:ascii="Times New Roman" w:hAnsi="Times New Roman" w:eastAsia="方正仿宋_GBK" w:cs="Times New Roman"/>
          <w:kern w:val="2"/>
          <w:sz w:val="28"/>
          <w:szCs w:val="22"/>
          <w:lang w:val="en-US" w:eastAsia="zh-CN" w:bidi="ar-SA"/>
        </w:rPr>
        <w:t>根据预算绩效管理要求，我单位组织对</w:t>
      </w:r>
      <w:r>
        <w:rPr>
          <w:rFonts w:ascii="Times New Roman" w:hAnsi="Times New Roman" w:eastAsia="方正仿宋_GBK" w:cs="Times New Roman"/>
          <w:kern w:val="2"/>
          <w:sz w:val="28"/>
          <w:szCs w:val="22"/>
          <w:lang w:val="en-US" w:eastAsia="zh-CN" w:bidi="ar-SA"/>
        </w:rPr>
        <w:t>202</w:t>
      </w:r>
      <w:r>
        <w:rPr>
          <w:rFonts w:hint="eastAsia" w:ascii="Times New Roman" w:hAnsi="Times New Roman" w:eastAsia="方正仿宋_GBK" w:cs="Times New Roman"/>
          <w:kern w:val="2"/>
          <w:sz w:val="28"/>
          <w:szCs w:val="22"/>
          <w:lang w:val="en-US" w:eastAsia="zh-CN" w:bidi="ar-SA"/>
        </w:rPr>
        <w:t>3年度</w:t>
      </w:r>
      <w:r>
        <w:rPr>
          <w:rFonts w:hint="eastAsia" w:ascii="Times New Roman" w:hAnsi="Times New Roman" w:eastAsia="方正仿宋_GBK" w:cs="Times New Roman"/>
          <w:color w:val="auto"/>
          <w:kern w:val="2"/>
          <w:sz w:val="28"/>
          <w:szCs w:val="22"/>
          <w:lang w:val="en-US" w:eastAsia="zh-CN" w:bidi="ar-SA"/>
        </w:rPr>
        <w:t>128个预算项目全面开展绩效自评，共涉及资金154282.10万元。绩效自</w:t>
      </w:r>
      <w:r>
        <w:rPr>
          <w:rFonts w:hint="eastAsia" w:ascii="Times New Roman" w:hAnsi="Times New Roman" w:eastAsia="方正仿宋_GBK" w:cs="Times New Roman"/>
          <w:kern w:val="2"/>
          <w:sz w:val="28"/>
          <w:szCs w:val="22"/>
          <w:lang w:val="en-US" w:eastAsia="zh-CN" w:bidi="ar-SA"/>
        </w:rPr>
        <w:t>评情况详见下表。</w:t>
      </w:r>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07"/>
        <w:gridCol w:w="4127"/>
        <w:gridCol w:w="1157"/>
        <w:gridCol w:w="1340"/>
        <w:gridCol w:w="770"/>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5000" w:type="pct"/>
            <w:gridSpan w:val="6"/>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44"/>
                <w:szCs w:val="44"/>
                <w:u w:val="none"/>
              </w:rPr>
            </w:pPr>
            <w:r>
              <w:rPr>
                <w:rFonts w:hint="eastAsia" w:ascii="宋体" w:hAnsi="宋体" w:eastAsia="宋体" w:cs="宋体"/>
                <w:b/>
                <w:bCs/>
                <w:i w:val="0"/>
                <w:iCs w:val="0"/>
                <w:color w:val="000000"/>
                <w:kern w:val="0"/>
                <w:sz w:val="44"/>
                <w:szCs w:val="44"/>
                <w:u w:val="none"/>
                <w:lang w:val="en-US" w:eastAsia="zh-CN" w:bidi="ar"/>
              </w:rPr>
              <w:t>部门绩效自评结果公开汇总表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2" w:hRule="atLeast"/>
        </w:trPr>
        <w:tc>
          <w:tcPr>
            <w:tcW w:w="2667" w:type="pct"/>
            <w:gridSpan w:val="2"/>
            <w:tcBorders>
              <w:top w:val="nil"/>
              <w:left w:val="nil"/>
              <w:bottom w:val="single" w:color="000000" w:sz="4" w:space="0"/>
              <w:right w:val="nil"/>
            </w:tcBorders>
            <w:shd w:val="clear" w:color="auto" w:fill="auto"/>
            <w:noWrap/>
            <w:vAlign w:val="center"/>
          </w:tcPr>
          <w:p>
            <w:pPr>
              <w:keepNext w:val="0"/>
              <w:keepLines w:val="0"/>
              <w:widowControl/>
              <w:suppressLineNumbers w:val="0"/>
              <w:jc w:val="left"/>
              <w:textAlignment w:val="center"/>
              <w:rPr>
                <w:rFonts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主管部门：河北鹿泉经济开发区管理委员会</w:t>
            </w:r>
          </w:p>
        </w:tc>
        <w:tc>
          <w:tcPr>
            <w:tcW w:w="638" w:type="pct"/>
            <w:tcBorders>
              <w:top w:val="nil"/>
              <w:left w:val="nil"/>
              <w:bottom w:val="single" w:color="000000" w:sz="4" w:space="0"/>
              <w:right w:val="nil"/>
            </w:tcBorders>
            <w:shd w:val="clear" w:color="auto" w:fill="auto"/>
            <w:noWrap/>
            <w:vAlign w:val="center"/>
          </w:tcPr>
          <w:p>
            <w:pPr>
              <w:jc w:val="center"/>
              <w:rPr>
                <w:rFonts w:hint="eastAsia" w:ascii="仿宋" w:hAnsi="仿宋" w:eastAsia="仿宋" w:cs="仿宋"/>
                <w:i w:val="0"/>
                <w:iCs w:val="0"/>
                <w:color w:val="000000"/>
                <w:sz w:val="22"/>
                <w:szCs w:val="22"/>
                <w:u w:val="none"/>
              </w:rPr>
            </w:pPr>
          </w:p>
        </w:tc>
        <w:tc>
          <w:tcPr>
            <w:tcW w:w="739" w:type="pct"/>
            <w:tcBorders>
              <w:top w:val="nil"/>
              <w:left w:val="nil"/>
              <w:bottom w:val="single" w:color="000000" w:sz="4" w:space="0"/>
              <w:right w:val="nil"/>
            </w:tcBorders>
            <w:shd w:val="clear" w:color="auto" w:fill="auto"/>
            <w:noWrap/>
            <w:vAlign w:val="center"/>
          </w:tcPr>
          <w:p>
            <w:pPr>
              <w:jc w:val="center"/>
              <w:rPr>
                <w:rFonts w:hint="eastAsia" w:ascii="仿宋" w:hAnsi="仿宋" w:eastAsia="仿宋" w:cs="仿宋"/>
                <w:i w:val="0"/>
                <w:iCs w:val="0"/>
                <w:color w:val="000000"/>
                <w:sz w:val="22"/>
                <w:szCs w:val="22"/>
                <w:u w:val="none"/>
              </w:rPr>
            </w:pPr>
          </w:p>
        </w:tc>
        <w:tc>
          <w:tcPr>
            <w:tcW w:w="954" w:type="pct"/>
            <w:gridSpan w:val="2"/>
            <w:tcBorders>
              <w:top w:val="nil"/>
              <w:left w:val="nil"/>
              <w:bottom w:val="single" w:color="000000" w:sz="4" w:space="0"/>
              <w:right w:val="nil"/>
            </w:tcBorders>
            <w:shd w:val="clear" w:color="auto" w:fill="auto"/>
            <w:noWrap/>
            <w:vAlign w:val="center"/>
          </w:tcPr>
          <w:p>
            <w:pPr>
              <w:jc w:val="right"/>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390"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2277"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6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预算数（调整后）</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执行数（至2023年底）</w:t>
            </w:r>
          </w:p>
        </w:tc>
        <w:tc>
          <w:tcPr>
            <w:tcW w:w="424" w:type="pct"/>
            <w:tcBorders>
              <w:top w:val="single" w:color="000000" w:sz="4" w:space="0"/>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自评得分</w:t>
            </w:r>
          </w:p>
        </w:tc>
        <w:tc>
          <w:tcPr>
            <w:tcW w:w="529"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自评结果应用意见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2023年镇级财务咨询、审计、辅导服务费、采购项目咨询服务费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2023年镇级城市基础设施配套费契税</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194.52</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2023年镇级符家庄污水、给水工程费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2023年镇级工作人员工资、绩效及保险</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2510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2177</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97</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2023年镇级开发区付土地收储款</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2023年镇级开发区招商引资房屋租赁费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30.45</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30.45</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2023年镇级契税服务费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24.16</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2023年镇级预备费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28.96</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2023年追加印花税</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1.01</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1.01</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2023镇级拨付公司运营费、垫付资金、工程款</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追加2023年镇级石家庄西北物流产业聚集区区域考古评估项目</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24.7</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24.7</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追加2023年镇级财务咨询、审计、辅导服务费、采购项目咨询服务费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101.8</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2023年镇级付河北绿岛建设运营有限公司绿化养护、道路保洁费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269.9</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242.14</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2023年镇级付河北绿岛数字产业发展有限责任公司光谷科技园孵化楼租赁费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350.1</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350.1</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2023年镇级付河北绿岛数字产业发展有限责任公司委托招商经费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380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380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2023年区级开发区专项债券付息费用</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7327.29</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7325.64</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99</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2023年区级开发区专项债券付费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0.37</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0.37</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2023年镇级湿地公园和污水管网占地附着物补偿</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2023年镇级润龙湾小区供热管线工程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2023年镇级开发区307国道与石太高速桥周边绿化提升工程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8.99</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2023年镇级方台社区地上附着物补助款</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286</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96</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区级申后村申兴大街拆迁项目</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107.1</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107.1</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追加2023年镇级何东比邻居小区供热入网及采暖服务费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追加2023年镇级治安维稳宣传工作经费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12.96</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追加2023年镇级石家庄市2023年第284批次（划拨部分）建设用地社会保险费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117.03</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26</w:t>
            </w:r>
          </w:p>
        </w:tc>
        <w:tc>
          <w:tcPr>
            <w:tcW w:w="227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2023年镇级垃圾分类项目</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117.97</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94</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w:t>
            </w:r>
          </w:p>
        </w:tc>
        <w:tc>
          <w:tcPr>
            <w:tcW w:w="227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2023年镇级城市管理综合执法经费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4.45</w:t>
            </w:r>
          </w:p>
        </w:tc>
        <w:tc>
          <w:tcPr>
            <w:tcW w:w="4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89.7</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2023年镇级开发区规划设计</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45</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45</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99</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2023年镇级开发区土地集约利用评价</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2023年镇级开发区违法占地清理</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3.71</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84</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2023年镇级开发区2022年土地集约利用评价</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28.25</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28.25</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32</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宜安水厂征占地费用</w:t>
            </w:r>
          </w:p>
        </w:tc>
        <w:tc>
          <w:tcPr>
            <w:tcW w:w="6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33</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西北物流园区污水处理厂一期工程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211.73</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11.73</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91</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西北物流园区综合管网工程项目一案两书款</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54.4</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54.4</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西北物流区综合管网工程项目临时占用林地恢复绿化费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35.6</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19.6</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西北物流园区核心区景观绿化工程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709</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37</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西北物流西柏坡高速辅路绿化工程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534</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92</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38</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西北物流西柏坡高速辅路工程（一期）</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258</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39</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西北物流污水管网施工、监理、设计</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235</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92</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西北物流纬二十六路及故城路绿化工程、 设计、监理、跟踪审计</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1110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41</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西北物流纬二十六路及故城路道路、设计、监理工程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143</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44</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93</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42</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西北物流双同路绿化亮化工程施工、设计、监理</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97</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94</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43</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西北物流双同路、纬二十六路、故城路、核心区景观绿化、西柏坡高速辅路租地款和机井租赁费等</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171.5</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171.5</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44</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西北物流区综合管网工程项目临时占用林地恢复绿化费及评审费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45</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2023年鹿泉经济开发区经二十八街道路工程一标段</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85</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46</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西北物流计三路绿化工程施工、设计、监理、招标代理、机井租赁费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47</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2023年镇级故城路、纬二十六路、双同路道路保洁及绿化养护</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162.71</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48</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西北物流计三路施工、监理、设计</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92</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49</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西北物流区道路清扫及绿化养护项目</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161.82</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161.82</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双同路绿化养护项目</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51</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2023年镇级纪检办公经费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1.87</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1.87</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97</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52</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2023镇级开发区被征地农民社会保险费和风险基金</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188.8713</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188.8713</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53</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2023镇级鹿泉某部队防泄密改造工程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148.13</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96.24</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94</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54</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2023年镇级申兴大街307国道-瑞宁路段拆迁费用</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43.43</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43.43</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55</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2023年镇级开发区安全、环保建设经费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77.32</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56</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2023年镇级5村财务审计费用</w:t>
            </w:r>
          </w:p>
        </w:tc>
        <w:tc>
          <w:tcPr>
            <w:tcW w:w="6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57</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2023年镇级“三治融合”试点提升整治费用</w:t>
            </w:r>
          </w:p>
        </w:tc>
        <w:tc>
          <w:tcPr>
            <w:tcW w:w="6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231</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231</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58</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2023年镇级失地农民口粮补贴</w:t>
            </w:r>
          </w:p>
        </w:tc>
        <w:tc>
          <w:tcPr>
            <w:tcW w:w="6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999.07</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59</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2023年镇级南新城村西占地补偿及环境整治费用</w:t>
            </w:r>
          </w:p>
        </w:tc>
        <w:tc>
          <w:tcPr>
            <w:tcW w:w="6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56</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49.88</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2023年镇级和美乡村工作补助</w:t>
            </w:r>
          </w:p>
        </w:tc>
        <w:tc>
          <w:tcPr>
            <w:tcW w:w="6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83</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61</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2023年镇级企业服务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中心中介服务费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232.96</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224.14</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62</w:t>
            </w:r>
          </w:p>
        </w:tc>
        <w:tc>
          <w:tcPr>
            <w:tcW w:w="2277"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2023年镇级河北工业大学电子信息产业信息研究院研究生以上人员住宿租金费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37.5</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37.5</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63</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追加2023年镇级河北工业大学电子信息产业信息研究院研究生以上人员住宿租金费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17.5</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64</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普兴电子2021年度优惠</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政策奖补资金</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65</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2023年区级普兴电子</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公司补助资金</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66</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2023年区级海康威视补助资金</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67</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2023年区级君奥数字置业（石家庄）有限公司首年房租及押金</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228.96</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228.96</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68</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2023年镇级开发区2022年度、2023年度、2024年度优惠政策奖补资金评审费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48.75</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69</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2023年镇级2021年度优惠政策奖补资金</w:t>
            </w:r>
          </w:p>
        </w:tc>
        <w:tc>
          <w:tcPr>
            <w:tcW w:w="6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1434.76</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1434.76</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2023年区级兑现区政府2021年度优惠政策奖补资金</w:t>
            </w:r>
          </w:p>
        </w:tc>
        <w:tc>
          <w:tcPr>
            <w:tcW w:w="6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160.46</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156.24</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99</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71</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追加2023年镇级企业人才招聘、各类会议、论坛会</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72</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2023年镇级人居办工作经费</w:t>
            </w:r>
          </w:p>
        </w:tc>
        <w:tc>
          <w:tcPr>
            <w:tcW w:w="6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186.07</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186.07</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73</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2023年镇级河北鹿泉经济开发区水土保持区域监测</w:t>
            </w:r>
          </w:p>
        </w:tc>
        <w:tc>
          <w:tcPr>
            <w:tcW w:w="6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16.35</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16.35</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74</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2023年镇级南新城片区、方台片区上下水改造工程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61</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75</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农村生活垃圾清理资金</w:t>
            </w:r>
          </w:p>
        </w:tc>
        <w:tc>
          <w:tcPr>
            <w:tcW w:w="6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65.08</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65.08</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76</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追加2023年镇级河北鹿泉经济开发区区域气候可行性论证项目</w:t>
            </w:r>
          </w:p>
        </w:tc>
        <w:tc>
          <w:tcPr>
            <w:tcW w:w="6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w:t>
            </w:r>
          </w:p>
        </w:tc>
        <w:tc>
          <w:tcPr>
            <w:tcW w:w="7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77</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2023年镇级卫健、退伍军人、妇联、残联宣传经费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26</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11.36</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96</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78</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2023年镇级南新城旧灵堂拆迁费用</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79</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2023年镇级开发区学校学生奶</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41.43</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41.43</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99</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2023年镇级开发区学校人员及建设提升经费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1317.67</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1317.67</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99</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81</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2023镇级开发区卫生院补助经费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206.47</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206.47</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99</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82</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2023年镇级疫情防控经费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84</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74.53</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83</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2023年镇级创卫经费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5.7</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5.48</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97</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84</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2023年镇级失地农民养老、医疗、养老保险缴费补贴</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297.64</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85</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2023年镇级城镇社区工作专项经费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14.91</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94</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86</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2023年镇级党建惠民专项资金</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7.77</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88</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87</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2023年镇级党组织服务群众专项经费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5.33</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86</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88</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2023年镇级社区运转、管理费用及改造提升建设费用</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110.65</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89</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2023年镇级2022年疫情防控用工经费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82</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81.98</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2023年镇级鹿泉经济开发区行政审批局中介服务费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25.6</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25.6</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91</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2023年鹿泉经济开发区投资项目咨询及环评文件技术评估服务</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92</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2023年镇级开发区数字服务中心建设经费项目</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72</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33.4</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93</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93</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2023年镇级综治、信访工作经费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94.85</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94.85</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94</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2023年镇级符家庄通信产业园拆迁补偿、评估费用</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380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97</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2023年镇级招商引资经费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147.78</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147.78</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96</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2023年镇级鹿泉经济开发区方安大街东侧市政排水工程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87</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97</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2023年镇级鹿泉经济开发区部队围墙提升改造工程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42.97</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83</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2023年镇级千亿级电子信息园和平路以北区域计三渠东侧绿化工程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99</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2023年镇级鹿泉经济开发区申兴大街北延计三渠临时钢桥工程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72.57</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72.57</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2023年镇级千亿级电子信息园和平路以北区域计三渠护栏安装工程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101</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2023年镇级鹿泉经济开发区龙泉路与昌盛大街交叉口环境提升工程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102</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追加2023年镇级鹿泉经济开发区云开路东头南侧地块市政排水及给水改造工程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103</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2023年镇级人才公寓家具家电</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328.39</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85</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104</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鹿泉经济开发区横山片区基础设施提升改造工程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321.61015</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105</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河北鹿泉经济开发区人才创业基地基础设施及配套工程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11846.01998</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2566.591021</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92</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106</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鹿泉经济开发区MEMS传感器产业创新基地项目</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27245.72292</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11330.3759</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94</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107</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鹿泉经济开发区数字技术产业园</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70899.58098</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9567.734381</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91</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108</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鹿泉通信技术创新中心</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12895.93852</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9576.201303</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97</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109</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2023年镇级开发区党建、宣传、团委、人才、武装及其他相关工作经费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70.99</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92</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110</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西北物流区总体规划环境影响评价（地下水专题评价）技术服务</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111</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西北物流区（起步区）区域地质灾害危险性评估报告</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112</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2022年第三季度重点项目集中开工活动经费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11.77</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113</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西北物流区石家庄市2022年度第220批次建设用地项目编制使用林地可行性报告及组卷报批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114</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关于西北物流园中心区北故城村地块一（南区、北区）土壤污染状况调查</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115</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西北物流中心区北故城片地块3、4土壤分析污染状况调查项目</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116</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区总体规划环境影响报告书编制费、园区地块控规动态维护费及古运河区域产业规划编制费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117</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南故城村西线路改迁费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8.43</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118</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石家庄西北物流产业聚集区总体规划地下水预测与评价专题报告编制费、环境影响评价编制费、环境现状监测费预算评审</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0.6</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119</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石家庄西北物流产业聚集区区域考古评估项目</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石家庄西北物流产业聚集区水土保持区域评估报告技术服务</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121</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西北物流区李村镇同阁村、大河镇新庄头村地块征地报批社会稳定风险评估</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122</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西北物流区同阁村、新庄头村征地勘测定界</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123</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西北物流区关于“一园一策”编制资金的请示</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124</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区总体规划环境影响报告书编制费及园区地块控规动态维护费</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125</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石家庄西北物园区交通影响评价</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126</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石家庄西北物流产业聚集区总体规划环境影响评价技术服务</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127</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西北物流南北故城片区10KV线路改迁工程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266</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266</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128</w:t>
            </w:r>
          </w:p>
        </w:tc>
        <w:tc>
          <w:tcPr>
            <w:tcW w:w="22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追加2023年镇级关于双同路道路景观绿化亮化工程占地项目地上附着物补偿的评估</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15.24</w:t>
            </w:r>
          </w:p>
        </w:tc>
        <w:tc>
          <w:tcPr>
            <w:tcW w:w="7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4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bl>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pStyle w:val="2"/>
        <w:ind w:firstLine="640" w:firstLineChars="200"/>
      </w:pPr>
      <w:r>
        <w:rPr>
          <w:rFonts w:hint="eastAsia" w:ascii="仿宋" w:hAnsi="仿宋" w:eastAsia="仿宋"/>
          <w:sz w:val="32"/>
          <w:szCs w:val="32"/>
          <w:lang w:val="en-US" w:eastAsia="zh-CN"/>
        </w:rPr>
        <w:t>开发区本年度整体支出情况最终得分94分，综合绩效评价等级为优秀。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pStyle w:val="2"/>
        <w:ind w:firstLine="640" w:firstLineChars="200"/>
      </w:pPr>
      <w:r>
        <w:rPr>
          <w:rFonts w:hint="eastAsia" w:ascii="仿宋" w:hAnsi="仿宋" w:eastAsia="仿宋"/>
          <w:sz w:val="32"/>
          <w:szCs w:val="32"/>
        </w:rPr>
        <w:t>个别绩效目标不够完善，不能完整清晰体现工作活动的产 出和效果，依据绩效目标所设置的绩效指标不够细化，不能完整清晰的反映活动目标完成情况。</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1</w:t>
      </w:r>
      <w:r>
        <w:rPr>
          <w:rFonts w:hint="eastAsia" w:ascii="仿宋" w:hAnsi="仿宋" w:eastAsia="仿宋"/>
          <w:sz w:val="32"/>
          <w:szCs w:val="32"/>
          <w:lang w:eastAsia="zh-CN"/>
        </w:rPr>
        <w:t>、</w:t>
      </w:r>
      <w:r>
        <w:rPr>
          <w:rFonts w:hint="eastAsia" w:ascii="仿宋" w:hAnsi="仿宋" w:eastAsia="仿宋"/>
          <w:sz w:val="32"/>
          <w:szCs w:val="32"/>
        </w:rPr>
        <w:t>科学设定绩效目标和指标</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我单位要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加强项目管理，完善项目监督工作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部门应进一步加强对项目实施的管理，加强对项目实施全过程的监管，做到事前计划合理、事中执行监管有力、事后评价及时有效反馈。</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提高部门绩效管理意识</w:t>
      </w:r>
    </w:p>
    <w:p>
      <w:pPr>
        <w:pStyle w:val="2"/>
        <w:numPr>
          <w:ilvl w:val="0"/>
          <w:numId w:val="0"/>
        </w:numPr>
        <w:ind w:leftChars="200"/>
      </w:pPr>
      <w:r>
        <w:rPr>
          <w:rFonts w:hint="eastAsia" w:ascii="仿宋" w:hAnsi="仿宋" w:eastAsia="仿宋"/>
          <w:sz w:val="32"/>
          <w:szCs w:val="32"/>
        </w:rPr>
        <w:t>部门在今后的工作中，应加强对预算绩效管理工作的重视， 把绩效理念融入到预算编制、执行、监督管理的全过程，通过制定统一的工作规划、管理制度体系，加强对预算绩效管理的保障支撑性。加强部门工作人员对预算绩效管理的认识，充分理解财政绩效评价指标体系，强化全过程预算绩效管理理念，积极主动的开展绩效管理工作，以提高财政资金使用效益。</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ind w:firstLine="640"/>
        <w:rPr>
          <w:rFonts w:hint="eastAsia" w:ascii="仿宋" w:hAnsi="仿宋" w:eastAsia="仿宋"/>
          <w:sz w:val="32"/>
          <w:szCs w:val="32"/>
          <w:lang w:val="en-US" w:eastAsia="zh-CN"/>
        </w:rPr>
      </w:pPr>
      <w:r>
        <w:rPr>
          <w:rFonts w:hint="eastAsia" w:ascii="仿宋" w:hAnsi="仿宋" w:eastAsia="仿宋"/>
          <w:sz w:val="32"/>
          <w:szCs w:val="32"/>
          <w:lang w:val="en-US" w:eastAsia="zh-CN"/>
        </w:rPr>
        <w:t>刘海渤    财政局负责人</w:t>
      </w:r>
    </w:p>
    <w:p>
      <w:pPr>
        <w:pStyle w:val="2"/>
        <w:rPr>
          <w:rFonts w:hint="default"/>
          <w:lang w:val="en-US" w:eastAsia="zh-CN"/>
        </w:rPr>
      </w:pPr>
      <w:r>
        <w:rPr>
          <w:rFonts w:hint="eastAsia" w:ascii="仿宋" w:hAnsi="仿宋" w:eastAsia="仿宋"/>
          <w:sz w:val="32"/>
          <w:szCs w:val="32"/>
          <w:lang w:val="en-US" w:eastAsia="zh-CN"/>
        </w:rPr>
        <w:t xml:space="preserve">    葛吉喆    财政局绩效负责人</w:t>
      </w:r>
    </w:p>
    <w:p>
      <w:pPr>
        <w:ind w:firstLine="640"/>
        <w:rPr>
          <w:rFonts w:hint="eastAsia" w:ascii="仿宋" w:hAnsi="仿宋" w:eastAsia="仿宋"/>
          <w:sz w:val="32"/>
          <w:szCs w:val="32"/>
          <w:lang w:eastAsia="zh-CN"/>
        </w:rPr>
      </w:pPr>
      <w:r>
        <w:rPr>
          <w:rFonts w:hint="eastAsia" w:ascii="仿宋" w:hAnsi="仿宋" w:eastAsia="仿宋"/>
          <w:sz w:val="32"/>
          <w:szCs w:val="32"/>
          <w:lang w:val="en-US" w:eastAsia="zh-CN"/>
        </w:rPr>
        <w:t xml:space="preserve">高  飞    基础设施、规划建设局负责人 </w:t>
      </w:r>
      <w:r>
        <w:rPr>
          <w:rFonts w:hint="eastAsia" w:ascii="仿宋" w:hAnsi="仿宋" w:eastAsia="仿宋"/>
          <w:sz w:val="32"/>
          <w:szCs w:val="32"/>
        </w:rPr>
        <w:t xml:space="preserve">  </w:t>
      </w:r>
    </w:p>
    <w:p>
      <w:pPr>
        <w:ind w:firstLine="640"/>
        <w:rPr>
          <w:rFonts w:hint="eastAsia" w:ascii="仿宋" w:hAnsi="仿宋" w:eastAsia="仿宋"/>
          <w:sz w:val="32"/>
          <w:szCs w:val="32"/>
          <w:lang w:val="en-US" w:eastAsia="zh-CN"/>
        </w:rPr>
      </w:pPr>
      <w:r>
        <w:rPr>
          <w:rFonts w:hint="eastAsia" w:ascii="仿宋" w:hAnsi="仿宋" w:eastAsia="仿宋"/>
          <w:sz w:val="32"/>
          <w:szCs w:val="32"/>
          <w:lang w:val="en-US" w:eastAsia="zh-CN"/>
        </w:rPr>
        <w:t>林  琨    党政办负责人</w:t>
      </w:r>
    </w:p>
    <w:p>
      <w:pPr>
        <w:ind w:firstLine="640"/>
        <w:rPr>
          <w:rFonts w:hint="eastAsia" w:ascii="仿宋" w:hAnsi="仿宋" w:eastAsia="仿宋"/>
          <w:sz w:val="32"/>
          <w:szCs w:val="32"/>
          <w:lang w:val="en-US" w:eastAsia="zh-CN"/>
        </w:rPr>
      </w:pPr>
      <w:r>
        <w:rPr>
          <w:rFonts w:hint="eastAsia" w:ascii="仿宋" w:hAnsi="仿宋" w:eastAsia="仿宋"/>
          <w:sz w:val="32"/>
          <w:szCs w:val="32"/>
          <w:lang w:val="en-US" w:eastAsia="zh-CN"/>
        </w:rPr>
        <w:t>张士萍    企业服务中心负责人</w:t>
      </w:r>
    </w:p>
    <w:p>
      <w:pPr>
        <w:ind w:firstLine="640"/>
        <w:rPr>
          <w:rFonts w:hint="eastAsia" w:ascii="仿宋" w:hAnsi="仿宋" w:eastAsia="仿宋"/>
          <w:sz w:val="32"/>
          <w:szCs w:val="32"/>
          <w:lang w:val="en-US" w:eastAsia="zh-CN"/>
        </w:rPr>
      </w:pPr>
      <w:r>
        <w:rPr>
          <w:rFonts w:hint="eastAsia" w:ascii="仿宋" w:hAnsi="仿宋" w:eastAsia="仿宋"/>
          <w:sz w:val="32"/>
          <w:szCs w:val="32"/>
          <w:lang w:val="en-US" w:eastAsia="zh-CN"/>
        </w:rPr>
        <w:t>王  炜    社区服务中心负责人</w:t>
      </w:r>
    </w:p>
    <w:p>
      <w:pPr>
        <w:spacing w:line="560" w:lineRule="exact"/>
        <w:rPr>
          <w:rFonts w:ascii="仿宋" w:hAnsi="仿宋" w:eastAsia="仿宋"/>
        </w:rPr>
      </w:pP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00" w:usb3="00000000" w:csb0="0000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127B09D9"/>
    <w:multiLevelType w:val="singleLevel"/>
    <w:tmpl w:val="127B09D9"/>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DUyNWQ1NjUzMDkzMjI2MWM0ZWU2MzdiZmE4YmQ4NzQifQ=="/>
  </w:docVars>
  <w:rsids>
    <w:rsidRoot w:val="0EBD2122"/>
    <w:rsid w:val="000B0260"/>
    <w:rsid w:val="007E6C1F"/>
    <w:rsid w:val="00956A93"/>
    <w:rsid w:val="009E575C"/>
    <w:rsid w:val="00AF167E"/>
    <w:rsid w:val="00AF566A"/>
    <w:rsid w:val="00B478EA"/>
    <w:rsid w:val="00B6553A"/>
    <w:rsid w:val="00BC6576"/>
    <w:rsid w:val="00CE06BA"/>
    <w:rsid w:val="00F441CC"/>
    <w:rsid w:val="01427422"/>
    <w:rsid w:val="01B104CA"/>
    <w:rsid w:val="02106AB0"/>
    <w:rsid w:val="02B43A28"/>
    <w:rsid w:val="046F331E"/>
    <w:rsid w:val="05EA6938"/>
    <w:rsid w:val="0775649E"/>
    <w:rsid w:val="07816C75"/>
    <w:rsid w:val="07956271"/>
    <w:rsid w:val="08A617B8"/>
    <w:rsid w:val="09721397"/>
    <w:rsid w:val="0B3C03B1"/>
    <w:rsid w:val="0BB63BED"/>
    <w:rsid w:val="0C8145C1"/>
    <w:rsid w:val="0E9D21B1"/>
    <w:rsid w:val="0EB97A43"/>
    <w:rsid w:val="0EBD2122"/>
    <w:rsid w:val="0F214EAE"/>
    <w:rsid w:val="11413E71"/>
    <w:rsid w:val="11B71E6A"/>
    <w:rsid w:val="13CC3BA5"/>
    <w:rsid w:val="149A1E0A"/>
    <w:rsid w:val="16934989"/>
    <w:rsid w:val="16E81DD2"/>
    <w:rsid w:val="1A9F3EA8"/>
    <w:rsid w:val="1AAF0063"/>
    <w:rsid w:val="1BE140DE"/>
    <w:rsid w:val="1C314E69"/>
    <w:rsid w:val="1DC7153C"/>
    <w:rsid w:val="1FBA0B75"/>
    <w:rsid w:val="248C197D"/>
    <w:rsid w:val="252959AF"/>
    <w:rsid w:val="277A6671"/>
    <w:rsid w:val="292D35B7"/>
    <w:rsid w:val="29B6075C"/>
    <w:rsid w:val="29EC6874"/>
    <w:rsid w:val="2C6E17C2"/>
    <w:rsid w:val="305A4537"/>
    <w:rsid w:val="30CA0614"/>
    <w:rsid w:val="30F73B34"/>
    <w:rsid w:val="32817910"/>
    <w:rsid w:val="33B76690"/>
    <w:rsid w:val="33EB6CFF"/>
    <w:rsid w:val="35A12947"/>
    <w:rsid w:val="37387040"/>
    <w:rsid w:val="3AA77E8B"/>
    <w:rsid w:val="3B625C0A"/>
    <w:rsid w:val="3CEE1963"/>
    <w:rsid w:val="3ED16309"/>
    <w:rsid w:val="3EF50E21"/>
    <w:rsid w:val="3F2F0297"/>
    <w:rsid w:val="433C29B6"/>
    <w:rsid w:val="436B78D3"/>
    <w:rsid w:val="47E03DB9"/>
    <w:rsid w:val="4C6A56AA"/>
    <w:rsid w:val="4C9C27FE"/>
    <w:rsid w:val="4DF27344"/>
    <w:rsid w:val="4E7445BE"/>
    <w:rsid w:val="4E9D7BB5"/>
    <w:rsid w:val="4FA57B27"/>
    <w:rsid w:val="4FDC32A3"/>
    <w:rsid w:val="503E6C32"/>
    <w:rsid w:val="50852256"/>
    <w:rsid w:val="512260B4"/>
    <w:rsid w:val="52BD6ACB"/>
    <w:rsid w:val="55537534"/>
    <w:rsid w:val="561A74F1"/>
    <w:rsid w:val="57FB7AFE"/>
    <w:rsid w:val="597244E8"/>
    <w:rsid w:val="5A1924BD"/>
    <w:rsid w:val="5BBB3B13"/>
    <w:rsid w:val="5D9C1458"/>
    <w:rsid w:val="5EB71C30"/>
    <w:rsid w:val="5EC155FD"/>
    <w:rsid w:val="5FF17B5B"/>
    <w:rsid w:val="63117EF0"/>
    <w:rsid w:val="638938A2"/>
    <w:rsid w:val="641E0C4D"/>
    <w:rsid w:val="66AF0CE5"/>
    <w:rsid w:val="68587E50"/>
    <w:rsid w:val="699A10A4"/>
    <w:rsid w:val="6A5E6B02"/>
    <w:rsid w:val="6AC537CF"/>
    <w:rsid w:val="6AE05E52"/>
    <w:rsid w:val="6D723F67"/>
    <w:rsid w:val="6E5B14A6"/>
    <w:rsid w:val="6EC62779"/>
    <w:rsid w:val="711B255E"/>
    <w:rsid w:val="740759EF"/>
    <w:rsid w:val="7BB51E06"/>
    <w:rsid w:val="7C387F7C"/>
    <w:rsid w:val="7DC05E8D"/>
    <w:rsid w:val="7FDE246A"/>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插入文本样式-插入部门职责文件"/>
    <w:basedOn w:val="1"/>
    <w:qFormat/>
    <w:uiPriority w:val="0"/>
    <w:pPr>
      <w:spacing w:line="500" w:lineRule="exact"/>
      <w:ind w:firstLine="560"/>
    </w:pPr>
    <w:rPr>
      <w:rFonts w:eastAsia="方正仿宋_GBK"/>
      <w:sz w:val="28"/>
    </w:rPr>
  </w:style>
  <w:style w:type="paragraph" w:customStyle="1" w:styleId="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职责分类绩效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7371</Words>
  <Characters>8862</Characters>
  <Lines>4</Lines>
  <Paragraphs>1</Paragraphs>
  <TotalTime>15</TotalTime>
  <ScaleCrop>false</ScaleCrop>
  <LinksUpToDate>false</LinksUpToDate>
  <CharactersWithSpaces>8926</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2024-03-06T07:40:00Z</cp:lastPrinted>
  <dcterms:modified xsi:type="dcterms:W3CDTF">2024-04-25T02:41:01Z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96934721B1514D3FBAA28020338CE855_12</vt:lpwstr>
  </property>
</Properties>
</file>