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hint="eastAsia" w:ascii="仿宋_GB2312" w:eastAsia="仿宋_GB2312"/>
          <w:sz w:val="32"/>
          <w:szCs w:val="32"/>
          <w:lang w:val="en-US" w:eastAsia="zh-CN"/>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石家庄市鹿泉区审计局</w:t>
      </w:r>
    </w:p>
    <w:p>
      <w:pPr>
        <w:widowControl w:val="0"/>
        <w:wordWrap/>
        <w:spacing w:line="560" w:lineRule="exact"/>
        <w:ind w:left="0" w:leftChars="0" w:right="0" w:firstLine="1325" w:firstLineChars="300"/>
        <w:jc w:val="both"/>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2023年度整体支出绩效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eastAsia="zh-CN"/>
        </w:rPr>
        <w:t>石家庄市鹿泉区审计局对</w:t>
      </w:r>
      <w:r>
        <w:rPr>
          <w:rFonts w:hint="eastAsia" w:ascii="仿宋" w:hAnsi="仿宋" w:eastAsia="仿宋"/>
          <w:sz w:val="32"/>
          <w:szCs w:val="32"/>
          <w:lang w:val="en-US" w:eastAsia="zh-CN"/>
        </w:rPr>
        <w:t>2023年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wordWrap/>
        <w:adjustRightInd w:val="0"/>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1.</w:t>
      </w:r>
      <w:r>
        <w:rPr>
          <w:rFonts w:hint="eastAsia" w:ascii="仿宋" w:hAnsi="仿宋" w:eastAsia="仿宋" w:cs="仿宋"/>
          <w:sz w:val="32"/>
          <w:szCs w:val="32"/>
        </w:rPr>
        <w:t>主管全区审计工作。负责对全区财政收支和依法属于审计监督范围的财务收支的真实、合法和效益进行审计监督,对公共资金、国有资产、国有资源和领导干部履行经济责任情况实行审计全覆盖,对领导干部实行自然资源资产离任审计,对省委、省政府、市委、市政府和区委、区政府有关重大政策措施贯彻落实情况进行跟踪审计。对审计、专项审计调查和核查社会审计机构相关审计报告的结果承担责任,并负有督促被审计单位整改的责任。</w:t>
      </w:r>
    </w:p>
    <w:p>
      <w:pPr>
        <w:widowControl w:val="0"/>
        <w:wordWrap/>
        <w:adjustRightInd w:val="0"/>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rPr>
        <w:t>贯彻执行审计法律、法规和方针、政策;拟订审计工作发展规划、专业领域审计工作规划,以及年度审计计划并组织实施,对直接审计、调查和核查的事项依法进行审计评价,作出审计决定或提出审计建议。</w:t>
      </w:r>
    </w:p>
    <w:p>
      <w:pPr>
        <w:widowControl w:val="0"/>
        <w:wordWrap/>
        <w:adjustRightInd w:val="0"/>
        <w:snapToGrid w:val="0"/>
        <w:spacing w:line="560" w:lineRule="exact"/>
        <w:ind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3.</w:t>
      </w:r>
      <w:r>
        <w:rPr>
          <w:rFonts w:hint="eastAsia" w:ascii="仿宋" w:hAnsi="仿宋" w:eastAsia="仿宋" w:cs="仿宋"/>
          <w:sz w:val="32"/>
          <w:szCs w:val="32"/>
        </w:rPr>
        <w:t>向中共石家庄市鹿泉区委审计委员会提出年度区本级预算执行和其他财政收支情况审计报告。向区长提出年度区本级预算执行和其他财政收支情况的审计结果报告。组织起草区政府向区人大常委会提出区本级预算执行和其他财政收支情况的审计工作报告、审计查出问题整改情况报告。向区委、区政府报告对其他事项的审计和专项审计调查情况及结果。依法向社会公布审计结果。向被审计单位通报审计情况和审计结果。</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4.</w:t>
      </w:r>
      <w:r>
        <w:rPr>
          <w:rFonts w:hint="eastAsia" w:ascii="仿宋" w:hAnsi="仿宋" w:eastAsia="仿宋" w:cs="仿宋"/>
          <w:sz w:val="32"/>
          <w:szCs w:val="32"/>
        </w:rPr>
        <w:t>直接审计下列事项,出具审计报告,在法定职权范围内作出审计决定,包括国家和省、市、区有关重大政策措施贯彻落实情况;区本级预算执行情况和其他财政收支,区直各部门(含所属单位)预算执行情况、决算草案和其他财政收支;乡(镇、区)政府预算执行情况、决算草案和其他财政收支;中央、省、市和区财政转移支付资金;使用区本级财政资金的事业单位和社会团体的财务收支;区投资和以区投资为主的建设项目的预算执行情况和决算,区重大公共工程项目的资金管理使用和建设运营情况;自然资源管理、污染防治和生态保护与修复情况;区属国有企业、区属国有资本占控股或主导地位的企业,上级授权审计的金融机构的境内外资产、负债和损益,区驻外非经营性机构的财务收支;有关社会保障基金、社会捐赠资金和其他基金、资金的财务收支;上级授权审计的国际组织和外国政府援助、贷款项目的财务收支;法律法规规定的其他事项。</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5.</w:t>
      </w:r>
      <w:r>
        <w:rPr>
          <w:rFonts w:hint="eastAsia" w:ascii="仿宋" w:hAnsi="仿宋" w:eastAsia="仿宋" w:cs="仿宋"/>
          <w:sz w:val="32"/>
          <w:szCs w:val="32"/>
        </w:rPr>
        <w:t>按规定对区管党政主要领导干部及其他单位主要负责人实施经济责任审计和自然资源资产离任审计。</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6.</w:t>
      </w:r>
      <w:r>
        <w:rPr>
          <w:rFonts w:hint="eastAsia" w:ascii="仿宋" w:hAnsi="仿宋" w:eastAsia="仿宋" w:cs="仿宋"/>
          <w:sz w:val="32"/>
          <w:szCs w:val="32"/>
        </w:rPr>
        <w:t>组织实施对财经法律法规、规章、政策和宏观调控措施执行情况、财政预算管理及国有资产管理使用等与财政收支有关的特定事项进行专项审计调查。</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7.</w:t>
      </w:r>
      <w:r>
        <w:rPr>
          <w:rFonts w:hint="eastAsia" w:ascii="仿宋" w:hAnsi="仿宋" w:eastAsia="仿宋" w:cs="仿宋"/>
          <w:sz w:val="32"/>
          <w:szCs w:val="32"/>
        </w:rPr>
        <w:t>依法检查审计决定执行情况,督促整改审计查出的问题,依法办理被审计单位对审计决定提请行政复议、行政诉讼或区政府裁决中的有关事项;协助配合有关部门查处相关重大案件。</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8.</w:t>
      </w:r>
      <w:r>
        <w:rPr>
          <w:rFonts w:hint="eastAsia" w:ascii="仿宋" w:hAnsi="仿宋" w:eastAsia="仿宋" w:cs="仿宋"/>
          <w:sz w:val="32"/>
          <w:szCs w:val="32"/>
        </w:rPr>
        <w:t>指导和监督内部审计工作,核查社会审计机构对依法属于审计监督对象的单位出具的相关审计报告。</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9.</w:t>
      </w:r>
      <w:r>
        <w:rPr>
          <w:rFonts w:hint="eastAsia" w:ascii="仿宋" w:hAnsi="仿宋" w:eastAsia="仿宋" w:cs="仿宋"/>
          <w:sz w:val="32"/>
          <w:szCs w:val="32"/>
        </w:rPr>
        <w:t>会同区委机构编制委员会办公室,对党政机关和所属事业单位的机构设置、编制使用,以及有关机构编制规定的执行情况进行审计调查。</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10.</w:t>
      </w:r>
      <w:r>
        <w:rPr>
          <w:rFonts w:hint="eastAsia" w:ascii="仿宋" w:hAnsi="仿宋" w:eastAsia="仿宋" w:cs="仿宋"/>
          <w:sz w:val="32"/>
          <w:szCs w:val="32"/>
        </w:rPr>
        <w:t>组织开展审计领域的交流与合作,负责审计信息系统建设,指导和推广信息技术在审计领域的应用。</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11.</w:t>
      </w:r>
      <w:r>
        <w:rPr>
          <w:rFonts w:hint="eastAsia" w:ascii="仿宋" w:hAnsi="仿宋" w:eastAsia="仿宋" w:cs="仿宋"/>
          <w:sz w:val="32"/>
          <w:szCs w:val="32"/>
        </w:rPr>
        <w:t>完成区委、区政府和上级审计机关交办的其他任务。</w:t>
      </w:r>
    </w:p>
    <w:p>
      <w:pPr>
        <w:jc w:val="center"/>
        <w:outlineLvl w:val="0"/>
        <w:rPr>
          <w:rFonts w:eastAsia="方正小标宋_GBK"/>
          <w:sz w:val="32"/>
        </w:rPr>
      </w:pPr>
      <w:r>
        <w:rPr>
          <w:rFonts w:eastAsia="方正小标宋_GBK"/>
          <w:sz w:val="32"/>
        </w:rPr>
        <w:t>部门</w:t>
      </w:r>
      <w:r>
        <w:rPr>
          <w:rFonts w:hint="eastAsia" w:eastAsia="方正小标宋_GBK"/>
          <w:sz w:val="32"/>
        </w:rPr>
        <w:t>机构设置情况</w:t>
      </w:r>
    </w:p>
    <w:tbl>
      <w:tblPr>
        <w:tblStyle w:val="4"/>
        <w:tblW w:w="983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67"/>
        <w:gridCol w:w="1146"/>
        <w:gridCol w:w="1289"/>
        <w:gridCol w:w="29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4467" w:type="dxa"/>
            <w:vMerge w:val="restart"/>
            <w:vAlign w:val="center"/>
          </w:tcPr>
          <w:p>
            <w:pPr>
              <w:spacing w:line="300" w:lineRule="exact"/>
              <w:jc w:val="center"/>
              <w:rPr>
                <w:rFonts w:eastAsia="方正书宋_GBK"/>
                <w:b/>
              </w:rPr>
            </w:pPr>
            <w:r>
              <w:rPr>
                <w:rFonts w:eastAsia="方正书宋_GBK"/>
                <w:b/>
              </w:rPr>
              <w:t>单位名称</w:t>
            </w:r>
          </w:p>
        </w:tc>
        <w:tc>
          <w:tcPr>
            <w:tcW w:w="1146" w:type="dxa"/>
            <w:vMerge w:val="restart"/>
            <w:vAlign w:val="center"/>
          </w:tcPr>
          <w:p>
            <w:pPr>
              <w:spacing w:line="300" w:lineRule="exact"/>
              <w:jc w:val="center"/>
              <w:rPr>
                <w:rFonts w:eastAsia="方正书宋_GBK"/>
                <w:b/>
              </w:rPr>
            </w:pPr>
            <w:r>
              <w:rPr>
                <w:rFonts w:eastAsia="方正书宋_GBK"/>
                <w:b/>
              </w:rPr>
              <w:t>单位性质</w:t>
            </w:r>
          </w:p>
        </w:tc>
        <w:tc>
          <w:tcPr>
            <w:tcW w:w="1289" w:type="dxa"/>
            <w:vMerge w:val="restart"/>
            <w:vAlign w:val="center"/>
          </w:tcPr>
          <w:p>
            <w:pPr>
              <w:spacing w:line="300" w:lineRule="exact"/>
              <w:jc w:val="center"/>
              <w:rPr>
                <w:rFonts w:eastAsia="方正书宋_GBK"/>
                <w:b/>
              </w:rPr>
            </w:pPr>
            <w:r>
              <w:rPr>
                <w:rFonts w:eastAsia="方正书宋_GBK"/>
                <w:b/>
              </w:rPr>
              <w:t>单位规格</w:t>
            </w:r>
          </w:p>
        </w:tc>
        <w:tc>
          <w:tcPr>
            <w:tcW w:w="2935" w:type="dxa"/>
            <w:vMerge w:val="restart"/>
            <w:vAlign w:val="center"/>
          </w:tcPr>
          <w:p>
            <w:pPr>
              <w:spacing w:line="300" w:lineRule="exact"/>
              <w:jc w:val="center"/>
              <w:rPr>
                <w:rFonts w:eastAsia="方正书宋_GBK"/>
                <w:b/>
              </w:rPr>
            </w:pPr>
            <w:r>
              <w:rPr>
                <w:rFonts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4467" w:type="dxa"/>
            <w:vMerge w:val="continue"/>
            <w:vAlign w:val="center"/>
          </w:tcPr>
          <w:p>
            <w:pPr>
              <w:spacing w:line="300" w:lineRule="exact"/>
              <w:jc w:val="left"/>
              <w:outlineLvl w:val="0"/>
            </w:pPr>
          </w:p>
        </w:tc>
        <w:tc>
          <w:tcPr>
            <w:tcW w:w="1146" w:type="dxa"/>
            <w:vMerge w:val="continue"/>
            <w:vAlign w:val="center"/>
          </w:tcPr>
          <w:p>
            <w:pPr>
              <w:spacing w:line="300" w:lineRule="exact"/>
              <w:jc w:val="left"/>
              <w:outlineLvl w:val="0"/>
            </w:pPr>
          </w:p>
        </w:tc>
        <w:tc>
          <w:tcPr>
            <w:tcW w:w="1289" w:type="dxa"/>
            <w:vMerge w:val="continue"/>
            <w:vAlign w:val="center"/>
          </w:tcPr>
          <w:p>
            <w:pPr>
              <w:spacing w:line="300" w:lineRule="exact"/>
              <w:jc w:val="left"/>
              <w:outlineLvl w:val="0"/>
            </w:pPr>
          </w:p>
        </w:tc>
        <w:tc>
          <w:tcPr>
            <w:tcW w:w="2935"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jc w:val="center"/>
        </w:trPr>
        <w:tc>
          <w:tcPr>
            <w:tcW w:w="4467" w:type="dxa"/>
            <w:tcBorders>
              <w:bottom w:val="single" w:color="auto" w:sz="4" w:space="0"/>
            </w:tcBorders>
            <w:vAlign w:val="center"/>
          </w:tcPr>
          <w:p>
            <w:pPr>
              <w:spacing w:line="300" w:lineRule="exact"/>
              <w:jc w:val="left"/>
              <w:rPr>
                <w:rFonts w:hint="eastAsia" w:eastAsia="方正书宋_GBK"/>
              </w:rPr>
            </w:pPr>
            <w:r>
              <w:rPr>
                <w:rFonts w:hint="eastAsia" w:ascii="方正书宋_GBK" w:eastAsia="方正书宋_GBK"/>
              </w:rPr>
              <w:t>石家庄市鹿泉区审计局</w:t>
            </w:r>
          </w:p>
        </w:tc>
        <w:tc>
          <w:tcPr>
            <w:tcW w:w="1146" w:type="dxa"/>
            <w:tcBorders>
              <w:bottom w:val="single" w:color="auto" w:sz="4" w:space="0"/>
            </w:tcBorders>
            <w:vAlign w:val="center"/>
          </w:tcPr>
          <w:p>
            <w:pPr>
              <w:spacing w:line="300" w:lineRule="exact"/>
              <w:jc w:val="center"/>
              <w:rPr>
                <w:rFonts w:eastAsia="方正书宋_GBK"/>
              </w:rPr>
            </w:pPr>
            <w:r>
              <w:rPr>
                <w:rFonts w:hint="eastAsia" w:ascii="方正书宋_GBK" w:eastAsia="方正书宋_GBK"/>
              </w:rPr>
              <w:t>行政</w:t>
            </w:r>
          </w:p>
        </w:tc>
        <w:tc>
          <w:tcPr>
            <w:tcW w:w="1289" w:type="dxa"/>
            <w:tcBorders>
              <w:bottom w:val="single" w:color="auto" w:sz="4" w:space="0"/>
            </w:tcBorders>
            <w:vAlign w:val="center"/>
          </w:tcPr>
          <w:p>
            <w:pPr>
              <w:spacing w:line="300" w:lineRule="exact"/>
              <w:jc w:val="center"/>
              <w:rPr>
                <w:rFonts w:hint="eastAsia" w:eastAsia="方正书宋_GBK"/>
              </w:rPr>
            </w:pPr>
            <w:r>
              <w:rPr>
                <w:rFonts w:hint="eastAsia" w:ascii="方正书宋_GBK" w:eastAsia="方正书宋_GBK"/>
              </w:rPr>
              <w:t>正科级</w:t>
            </w:r>
          </w:p>
        </w:tc>
        <w:tc>
          <w:tcPr>
            <w:tcW w:w="2935" w:type="dxa"/>
            <w:tcBorders>
              <w:bottom w:val="single" w:color="auto" w:sz="4" w:space="0"/>
            </w:tcBorders>
            <w:vAlign w:val="center"/>
          </w:tcPr>
          <w:p>
            <w:pPr>
              <w:spacing w:line="300" w:lineRule="exact"/>
              <w:jc w:val="center"/>
              <w:rPr>
                <w:rFonts w:eastAsia="方正书宋_GBK"/>
              </w:rPr>
            </w:pPr>
            <w:r>
              <w:rPr>
                <w:rFonts w:hint="eastAsia" w:ascii="方正书宋_GBK" w:eastAsia="方正书宋_GBK"/>
              </w:rPr>
              <w:t>财政拨款</w:t>
            </w:r>
          </w:p>
        </w:tc>
      </w:tr>
    </w:tbl>
    <w:p>
      <w:pPr>
        <w:numPr>
          <w:ilvl w:val="0"/>
          <w:numId w:val="0"/>
        </w:numPr>
        <w:snapToGrid w:val="0"/>
        <w:spacing w:line="58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截至202</w:t>
      </w:r>
      <w:r>
        <w:rPr>
          <w:rFonts w:hint="eastAsia" w:ascii="仿宋" w:hAnsi="仿宋" w:eastAsia="仿宋" w:cs="仿宋"/>
          <w:sz w:val="32"/>
          <w:szCs w:val="32"/>
          <w:lang w:val="en-US" w:eastAsia="zh-CN"/>
        </w:rPr>
        <w:t>3</w:t>
      </w:r>
      <w:r>
        <w:rPr>
          <w:rFonts w:hint="eastAsia" w:ascii="仿宋" w:hAnsi="仿宋" w:eastAsia="仿宋" w:cs="仿宋"/>
          <w:sz w:val="32"/>
          <w:szCs w:val="32"/>
        </w:rPr>
        <w:t>年12月31日，本</w:t>
      </w:r>
      <w:r>
        <w:rPr>
          <w:rFonts w:hint="eastAsia" w:ascii="仿宋" w:hAnsi="仿宋" w:eastAsia="仿宋" w:cs="仿宋"/>
          <w:sz w:val="32"/>
          <w:szCs w:val="32"/>
          <w:lang w:eastAsia="zh-CN"/>
        </w:rPr>
        <w:t>单位</w:t>
      </w:r>
      <w:r>
        <w:rPr>
          <w:rFonts w:hint="eastAsia" w:ascii="仿宋" w:hAnsi="仿宋" w:eastAsia="仿宋" w:cs="仿宋"/>
          <w:sz w:val="32"/>
          <w:szCs w:val="32"/>
        </w:rPr>
        <w:t>共有车辆</w:t>
      </w:r>
      <w:r>
        <w:rPr>
          <w:rFonts w:hint="eastAsia" w:ascii="仿宋" w:hAnsi="仿宋" w:eastAsia="仿宋" w:cs="仿宋"/>
          <w:sz w:val="32"/>
          <w:szCs w:val="32"/>
          <w:lang w:val="en-US" w:eastAsia="zh-CN"/>
        </w:rPr>
        <w:t>0</w:t>
      </w:r>
      <w:r>
        <w:rPr>
          <w:rFonts w:hint="eastAsia" w:ascii="仿宋" w:hAnsi="仿宋" w:eastAsia="仿宋" w:cs="仿宋"/>
          <w:sz w:val="32"/>
          <w:szCs w:val="32"/>
        </w:rPr>
        <w:t>辆，</w:t>
      </w:r>
      <w:r>
        <w:rPr>
          <w:rFonts w:hint="eastAsia" w:ascii="仿宋" w:hAnsi="仿宋" w:eastAsia="仿宋" w:cs="仿宋"/>
          <w:sz w:val="32"/>
          <w:szCs w:val="32"/>
          <w:lang w:eastAsia="zh-CN"/>
        </w:rPr>
        <w:t>与上年持平</w:t>
      </w:r>
      <w:r>
        <w:rPr>
          <w:rFonts w:hint="eastAsia" w:ascii="仿宋" w:hAnsi="仿宋" w:eastAsia="仿宋" w:cs="仿宋"/>
          <w:sz w:val="32"/>
          <w:szCs w:val="32"/>
        </w:rPr>
        <w:t>。</w:t>
      </w:r>
      <w:r>
        <w:rPr>
          <w:rFonts w:hint="eastAsia" w:ascii="仿宋" w:hAnsi="仿宋" w:eastAsia="仿宋" w:cs="仿宋"/>
          <w:sz w:val="32"/>
          <w:szCs w:val="32"/>
          <w:lang w:val="en-US" w:eastAsia="zh-CN"/>
        </w:rPr>
        <w:t>单位无价值50万元以上通用设备，与2022年持平，单位无价值100万元以上专用设备，与2022年持平。</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r>
        <w:rPr>
          <w:rFonts w:hint="eastAsia" w:ascii="仿宋" w:hAnsi="仿宋" w:eastAsia="仿宋" w:cs="楷体_GB2312"/>
          <w:b/>
          <w:bCs/>
          <w:sz w:val="32"/>
          <w:szCs w:val="32"/>
          <w:lang w:val="en-US" w:eastAsia="zh-CN"/>
        </w:rPr>
        <w:t xml:space="preserve"> </w:t>
      </w:r>
    </w:p>
    <w:p>
      <w:pPr>
        <w:widowControl w:val="0"/>
        <w:numPr>
          <w:ilvl w:val="0"/>
          <w:numId w:val="0"/>
        </w:numPr>
        <w:wordWrap/>
        <w:adjustRightInd w:val="0"/>
        <w:snapToGrid w:val="0"/>
        <w:spacing w:line="560" w:lineRule="exact"/>
        <w:ind w:leftChars="200" w:right="0" w:rightChars="0"/>
        <w:textAlignment w:val="auto"/>
        <w:outlineLvl w:val="9"/>
        <w:rPr>
          <w:rFonts w:hint="eastAsia" w:ascii="仿宋" w:hAnsi="仿宋" w:eastAsia="仿宋" w:cs="仿宋"/>
          <w:b w:val="0"/>
          <w:bCs w:val="0"/>
          <w:sz w:val="32"/>
          <w:szCs w:val="32"/>
          <w:lang w:val="en-US" w:eastAsia="zh-CN"/>
        </w:rPr>
      </w:pPr>
      <w:r>
        <w:rPr>
          <w:rFonts w:hint="eastAsia" w:ascii="仿宋" w:hAnsi="仿宋" w:eastAsia="仿宋" w:cs="楷体_GB2312"/>
          <w:b/>
          <w:bCs/>
          <w:sz w:val="32"/>
          <w:szCs w:val="32"/>
          <w:lang w:val="en-US" w:eastAsia="zh-CN"/>
        </w:rPr>
        <w:t xml:space="preserve">  </w:t>
      </w:r>
      <w:r>
        <w:rPr>
          <w:rFonts w:hint="eastAsia" w:ascii="仿宋_GB2312" w:hAnsi="仿宋_GB2312" w:eastAsia="仿宋_GB2312" w:cs="仿宋_GB2312"/>
          <w:b/>
          <w:bCs/>
          <w:sz w:val="32"/>
          <w:szCs w:val="32"/>
          <w:lang w:val="en-US" w:eastAsia="zh-CN"/>
        </w:rPr>
        <w:t xml:space="preserve"> </w:t>
      </w:r>
      <w:r>
        <w:rPr>
          <w:rFonts w:hint="eastAsia" w:ascii="仿宋" w:hAnsi="仿宋" w:eastAsia="仿宋" w:cs="仿宋"/>
          <w:b w:val="0"/>
          <w:bCs w:val="0"/>
          <w:sz w:val="32"/>
          <w:szCs w:val="32"/>
          <w:lang w:val="en-US" w:eastAsia="zh-CN"/>
        </w:rPr>
        <w:t>本单位2023年度决算财政拨款本年收入合计765.83万元,本年支出合计765.83万元。2023年年初预算本年收入合计776.46万元，本年支出合计776.46万元。</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_GB2312" w:hAnsi="Times New Roman" w:eastAsia="仿宋_GB2312" w:cs="仿宋_GB2312"/>
          <w:sz w:val="32"/>
          <w:szCs w:val="32"/>
          <w:lang w:val="en-US" w:eastAsia="zh-CN"/>
        </w:rPr>
        <w:t>1、</w:t>
      </w:r>
      <w:r>
        <w:rPr>
          <w:rFonts w:hint="eastAsia" w:ascii="仿宋" w:hAnsi="仿宋" w:eastAsia="仿宋" w:cs="仿宋"/>
          <w:sz w:val="32"/>
          <w:szCs w:val="32"/>
          <w:lang w:val="en-US" w:eastAsia="zh-CN"/>
        </w:rPr>
        <w:t>审计业务费</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绩效目标：通过各项审计，规范预算管理，提高财政资金使用效益；促进国家各项重大政策措施在我区落地生根；对单位主要领导在任职期间的工作给予客观评价。</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绩效指标：按照要求和计划时间完成审计任务的比例不低于95%，全年预计至少完成30个审计项目，完成计划项目的95%以上。</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针对审计中发现的问题监督被审计单位100%整改落实，100%采纳审计建议。</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2、对鹿泉宾馆清产核资和经营情况的审计</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绩效目标：对鹿泉宾馆全部资产、负债的真实性、合法性及完整性进行核实，核查欠缴职工工资、社保情况；对鹿泉宾馆2017-2021年经营情况进行分析审核。</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绩效指标：按照要求和计划时间完成审计任务，对收入成本的组成及变动进行分析审核的年度、查找收入成本变动原因的年度等。</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3、审计专网年度线路租赁及移动审计支撑系统建设运行</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绩效目标：保证省审计厅开发的审计平台、审计专网网站和视频会系统等正常运行。为审计人员提供一个可随时与审计机关联通的、安全可靠的审计现场信息化工作环境，从而满足审计人员外出审计、现场取证、项目管理和决策指挥等需求。</w:t>
      </w:r>
    </w:p>
    <w:p>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绩效指标：保障审计平台、审计专网网站和视频会系统正常运行；移动审计支撑系统终端及时通达率不低于95%，单位审计信息化覆盖率达95%以上。</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color w:val="auto"/>
          <w:sz w:val="32"/>
          <w:szCs w:val="32"/>
        </w:rPr>
      </w:pPr>
      <w:r>
        <w:rPr>
          <w:rFonts w:hint="eastAsia" w:ascii="仿宋" w:hAnsi="仿宋" w:eastAsia="仿宋"/>
          <w:sz w:val="32"/>
          <w:szCs w:val="32"/>
        </w:rPr>
        <w:t xml:space="preserve">    </w:t>
      </w:r>
      <w:r>
        <w:rPr>
          <w:rFonts w:hint="eastAsia" w:ascii="仿宋" w:hAnsi="仿宋" w:eastAsia="仿宋" w:cs="楷体_GB2312"/>
          <w:b/>
          <w:bCs/>
          <w:color w:val="auto"/>
          <w:sz w:val="32"/>
          <w:szCs w:val="32"/>
        </w:rPr>
        <w:t>（一）自评的组织工作</w:t>
      </w:r>
    </w:p>
    <w:p>
      <w:pPr>
        <w:widowControl w:val="0"/>
        <w:wordWrap/>
        <w:spacing w:line="560" w:lineRule="exact"/>
        <w:ind w:left="0" w:leftChars="0" w:right="0"/>
        <w:textAlignment w:val="auto"/>
        <w:outlineLvl w:val="9"/>
        <w:rPr>
          <w:rFonts w:hint="eastAsia" w:ascii="仿宋" w:hAnsi="仿宋" w:eastAsia="仿宋" w:cs="仿宋"/>
          <w:color w:val="0000FF"/>
          <w:sz w:val="32"/>
          <w:szCs w:val="32"/>
          <w:lang w:eastAsia="zh-CN"/>
        </w:rPr>
      </w:pPr>
      <w:r>
        <w:rPr>
          <w:rFonts w:hint="eastAsia" w:ascii="仿宋" w:hAnsi="仿宋" w:eastAsia="仿宋"/>
          <w:color w:val="0000FF"/>
          <w:sz w:val="32"/>
          <w:szCs w:val="32"/>
        </w:rPr>
        <w:t xml:space="preserve">    </w:t>
      </w:r>
      <w:r>
        <w:rPr>
          <w:rFonts w:hint="eastAsia" w:ascii="仿宋" w:hAnsi="仿宋" w:eastAsia="仿宋" w:cs="仿宋"/>
          <w:sz w:val="32"/>
          <w:szCs w:val="32"/>
        </w:rPr>
        <w:t>根据预算绩效管理要求，本</w:t>
      </w:r>
      <w:r>
        <w:rPr>
          <w:rFonts w:hint="eastAsia" w:ascii="仿宋" w:hAnsi="仿宋" w:eastAsia="仿宋" w:cs="仿宋"/>
          <w:sz w:val="32"/>
          <w:szCs w:val="32"/>
          <w:lang w:eastAsia="zh-CN"/>
        </w:rPr>
        <w:t>单位</w:t>
      </w:r>
      <w:r>
        <w:rPr>
          <w:rFonts w:hint="eastAsia" w:ascii="仿宋" w:hAnsi="仿宋" w:eastAsia="仿宋" w:cs="仿宋"/>
          <w:sz w:val="32"/>
          <w:szCs w:val="32"/>
        </w:rPr>
        <w:t>组织对202</w:t>
      </w:r>
      <w:r>
        <w:rPr>
          <w:rFonts w:hint="eastAsia" w:ascii="仿宋" w:hAnsi="仿宋" w:eastAsia="仿宋" w:cs="仿宋"/>
          <w:sz w:val="32"/>
          <w:szCs w:val="32"/>
          <w:lang w:val="en-US" w:eastAsia="zh-CN"/>
        </w:rPr>
        <w:t>3</w:t>
      </w:r>
      <w:r>
        <w:rPr>
          <w:rFonts w:hint="eastAsia" w:ascii="仿宋" w:hAnsi="仿宋" w:eastAsia="仿宋" w:cs="仿宋"/>
          <w:sz w:val="32"/>
          <w:szCs w:val="32"/>
        </w:rPr>
        <w:t>年度一般公共预算项目支出全面开展绩效自评</w:t>
      </w:r>
      <w:r>
        <w:rPr>
          <w:rFonts w:hint="eastAsia" w:ascii="仿宋" w:hAnsi="仿宋" w:eastAsia="仿宋" w:cs="仿宋"/>
          <w:sz w:val="32"/>
          <w:szCs w:val="32"/>
          <w:lang w:eastAsia="zh-CN"/>
        </w:rPr>
        <w:t>。</w:t>
      </w:r>
      <w:r>
        <w:rPr>
          <w:rFonts w:hint="eastAsia" w:ascii="仿宋" w:hAnsi="仿宋" w:eastAsia="仿宋" w:cs="仿宋"/>
          <w:sz w:val="32"/>
          <w:szCs w:val="32"/>
        </w:rPr>
        <w:t>组织对“</w:t>
      </w:r>
      <w:r>
        <w:rPr>
          <w:rFonts w:hint="eastAsia" w:ascii="仿宋" w:hAnsi="仿宋" w:eastAsia="仿宋" w:cs="仿宋"/>
          <w:sz w:val="32"/>
          <w:szCs w:val="32"/>
          <w:lang w:eastAsia="zh-CN"/>
        </w:rPr>
        <w:t>审计业务费</w:t>
      </w:r>
      <w:r>
        <w:rPr>
          <w:rFonts w:hint="eastAsia" w:ascii="仿宋" w:hAnsi="仿宋" w:eastAsia="仿宋" w:cs="仿宋"/>
          <w:sz w:val="32"/>
          <w:szCs w:val="32"/>
        </w:rPr>
        <w:t>”等</w:t>
      </w:r>
      <w:r>
        <w:rPr>
          <w:rFonts w:hint="eastAsia" w:ascii="仿宋" w:hAnsi="仿宋" w:eastAsia="仿宋" w:cs="仿宋"/>
          <w:sz w:val="32"/>
          <w:szCs w:val="32"/>
          <w:lang w:val="en-US" w:eastAsia="zh-CN"/>
        </w:rPr>
        <w:t>3</w:t>
      </w:r>
      <w:r>
        <w:rPr>
          <w:rFonts w:hint="eastAsia" w:ascii="仿宋" w:hAnsi="仿宋" w:eastAsia="仿宋" w:cs="仿宋"/>
          <w:sz w:val="32"/>
          <w:szCs w:val="32"/>
        </w:rPr>
        <w:t>个一级项目开展了重点评价</w:t>
      </w:r>
      <w:r>
        <w:rPr>
          <w:rFonts w:hint="eastAsia" w:ascii="仿宋" w:hAnsi="仿宋" w:eastAsia="仿宋" w:cs="仿宋"/>
          <w:sz w:val="32"/>
          <w:szCs w:val="32"/>
          <w:lang w:eastAsia="zh-CN"/>
        </w:rPr>
        <w:t>。</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color w:val="auto"/>
          <w:sz w:val="32"/>
          <w:szCs w:val="32"/>
        </w:rPr>
      </w:pPr>
      <w:r>
        <w:rPr>
          <w:rFonts w:hint="eastAsia" w:ascii="仿宋" w:hAnsi="仿宋" w:eastAsia="仿宋" w:cs="楷体_GB2312"/>
          <w:b/>
          <w:bCs/>
          <w:color w:val="auto"/>
          <w:sz w:val="32"/>
          <w:szCs w:val="32"/>
        </w:rPr>
        <w:t>自评的方法和过程</w:t>
      </w:r>
    </w:p>
    <w:p>
      <w:pPr>
        <w:adjustRightInd w:val="0"/>
        <w:snapToGrid w:val="0"/>
        <w:spacing w:line="580" w:lineRule="exact"/>
        <w:ind w:firstLine="640" w:firstLineChars="200"/>
        <w:rPr>
          <w:rFonts w:hint="eastAsia" w:ascii="仿宋" w:hAnsi="仿宋" w:eastAsia="仿宋" w:cs="仿宋"/>
          <w:b/>
          <w:bCs/>
          <w:color w:val="0000FF"/>
          <w:sz w:val="32"/>
          <w:szCs w:val="32"/>
        </w:rPr>
      </w:pPr>
      <w:r>
        <w:rPr>
          <w:rFonts w:hint="eastAsia" w:ascii="仿宋" w:hAnsi="仿宋" w:eastAsia="仿宋" w:cs="仿宋"/>
          <w:sz w:val="32"/>
          <w:szCs w:val="32"/>
          <w:lang w:val="en-US" w:eastAsia="zh-CN"/>
        </w:rPr>
        <w:t>按要求开展上年度单位预算绩效自评和重点评价工作，通过填写项目绩效自评表等方法进行自评，对评价中发现的问题及时整改，调整优化支出结构，提高财政资金使用效益。</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3"/>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1、审计业务</w:t>
      </w:r>
      <w:r>
        <w:rPr>
          <w:rFonts w:hint="eastAsia" w:ascii="仿宋" w:hAnsi="仿宋" w:eastAsia="仿宋" w:cs="仿宋"/>
          <w:sz w:val="32"/>
          <w:szCs w:val="32"/>
          <w:lang w:val="en-US" w:eastAsia="zh-CN"/>
        </w:rPr>
        <w:tab/>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主管全区审计工作。通过财政财务收支审计真实、合法和效益情况，维护国家财政经济秩序，促进廉政建设，保障国民经济的健康运行。</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2、审计管理</w:t>
      </w:r>
      <w:r>
        <w:rPr>
          <w:rFonts w:hint="eastAsia" w:ascii="仿宋" w:hAnsi="仿宋" w:eastAsia="仿宋" w:cs="仿宋"/>
          <w:sz w:val="32"/>
          <w:szCs w:val="32"/>
          <w:lang w:val="en-US" w:eastAsia="zh-CN"/>
        </w:rPr>
        <w:tab/>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进行内部审计管理和审计法制管理。贯彻落实相关法律法规及大内部审计管理制度提高审计质量和审计机关法制管理水平。</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3、审计政务管理</w:t>
      </w:r>
      <w:r>
        <w:rPr>
          <w:rFonts w:hint="eastAsia" w:ascii="仿宋" w:hAnsi="仿宋" w:eastAsia="仿宋" w:cs="仿宋"/>
          <w:sz w:val="32"/>
          <w:szCs w:val="32"/>
          <w:lang w:val="en-US" w:eastAsia="zh-CN"/>
        </w:rPr>
        <w:tab/>
      </w:r>
    </w:p>
    <w:p>
      <w:pPr>
        <w:adjustRightInd w:val="0"/>
        <w:snapToGrid w:val="0"/>
        <w:spacing w:line="580" w:lineRule="exact"/>
        <w:ind w:firstLine="640" w:firstLineChars="200"/>
        <w:rPr>
          <w:rFonts w:hint="eastAsia" w:ascii="仿宋" w:hAnsi="仿宋" w:eastAsia="仿宋" w:cs="仿宋"/>
          <w:color w:val="000000"/>
          <w:sz w:val="32"/>
          <w:szCs w:val="32"/>
          <w:lang w:val="en-US" w:eastAsia="zh-CN"/>
        </w:rPr>
      </w:pPr>
      <w:r>
        <w:rPr>
          <w:rFonts w:hint="eastAsia" w:ascii="仿宋" w:hAnsi="仿宋" w:eastAsia="仿宋" w:cs="仿宋"/>
          <w:sz w:val="32"/>
          <w:szCs w:val="32"/>
          <w:lang w:val="en-US" w:eastAsia="zh-CN"/>
        </w:rPr>
        <w:t>包括系统综合业务管理和机关综合事务管理。充分发挥参谋助手作用和综合协调作用，推进审计事业科学协调发展。</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adjustRightInd w:val="0"/>
        <w:snapToGrid w:val="0"/>
        <w:spacing w:line="58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本</w:t>
      </w:r>
      <w:r>
        <w:rPr>
          <w:rFonts w:hint="eastAsia" w:ascii="仿宋" w:hAnsi="仿宋" w:eastAsia="仿宋" w:cs="仿宋"/>
          <w:sz w:val="32"/>
          <w:szCs w:val="32"/>
          <w:lang w:eastAsia="zh-CN"/>
        </w:rPr>
        <w:t>单位</w:t>
      </w:r>
      <w:r>
        <w:rPr>
          <w:rFonts w:hint="eastAsia" w:ascii="仿宋" w:hAnsi="仿宋" w:eastAsia="仿宋" w:cs="仿宋"/>
          <w:sz w:val="32"/>
          <w:szCs w:val="32"/>
        </w:rPr>
        <w:t>在今年</w:t>
      </w:r>
      <w:r>
        <w:rPr>
          <w:rFonts w:hint="eastAsia" w:ascii="仿宋" w:hAnsi="仿宋" w:eastAsia="仿宋" w:cs="仿宋"/>
          <w:sz w:val="32"/>
          <w:szCs w:val="32"/>
          <w:lang w:eastAsia="zh-CN"/>
        </w:rPr>
        <w:t>单位</w:t>
      </w:r>
      <w:r>
        <w:rPr>
          <w:rFonts w:hint="eastAsia" w:ascii="仿宋" w:hAnsi="仿宋" w:eastAsia="仿宋" w:cs="仿宋"/>
          <w:sz w:val="32"/>
          <w:szCs w:val="32"/>
        </w:rPr>
        <w:t>决算公开中反映</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对鹿泉宾馆清产核资和经营情况的审计</w:t>
      </w:r>
      <w:r>
        <w:rPr>
          <w:rFonts w:hint="eastAsia" w:ascii="仿宋" w:hAnsi="仿宋" w:eastAsia="仿宋" w:cs="仿宋"/>
          <w:sz w:val="32"/>
          <w:szCs w:val="32"/>
          <w:lang w:eastAsia="zh-CN"/>
        </w:rPr>
        <w:t>”</w:t>
      </w:r>
      <w:r>
        <w:rPr>
          <w:rFonts w:hint="eastAsia" w:ascii="仿宋" w:hAnsi="仿宋" w:eastAsia="仿宋" w:cs="仿宋"/>
          <w:sz w:val="32"/>
          <w:szCs w:val="32"/>
        </w:rPr>
        <w:t>项目</w:t>
      </w:r>
      <w:r>
        <w:rPr>
          <w:rFonts w:hint="eastAsia" w:ascii="仿宋" w:hAnsi="仿宋" w:eastAsia="仿宋" w:cs="仿宋"/>
          <w:sz w:val="32"/>
          <w:szCs w:val="32"/>
          <w:lang w:eastAsia="zh-CN"/>
        </w:rPr>
        <w:t>、“审计业务费”</w:t>
      </w:r>
      <w:r>
        <w:rPr>
          <w:rFonts w:hint="eastAsia" w:ascii="仿宋" w:hAnsi="仿宋" w:eastAsia="仿宋" w:cs="仿宋"/>
          <w:sz w:val="32"/>
          <w:szCs w:val="32"/>
        </w:rPr>
        <w:t>项目</w:t>
      </w:r>
      <w:r>
        <w:rPr>
          <w:rFonts w:hint="eastAsia" w:ascii="仿宋" w:hAnsi="仿宋" w:eastAsia="仿宋" w:cs="仿宋"/>
          <w:sz w:val="32"/>
          <w:szCs w:val="32"/>
          <w:lang w:eastAsia="zh-CN"/>
        </w:rPr>
        <w:t>及“</w:t>
      </w:r>
      <w:r>
        <w:rPr>
          <w:rFonts w:hint="eastAsia" w:ascii="仿宋" w:hAnsi="仿宋" w:eastAsia="仿宋" w:cs="仿宋"/>
          <w:sz w:val="32"/>
          <w:szCs w:val="32"/>
          <w:lang w:val="en-US" w:eastAsia="zh-CN"/>
        </w:rPr>
        <w:t>2023年审计专网年度线路租赁费及移动审计支撑系统建设运行费</w:t>
      </w:r>
      <w:r>
        <w:rPr>
          <w:rFonts w:hint="eastAsia" w:ascii="仿宋" w:hAnsi="仿宋" w:eastAsia="仿宋" w:cs="仿宋"/>
          <w:sz w:val="32"/>
          <w:szCs w:val="32"/>
          <w:lang w:eastAsia="zh-CN"/>
        </w:rPr>
        <w:t>”</w:t>
      </w:r>
      <w:r>
        <w:rPr>
          <w:rFonts w:hint="eastAsia" w:ascii="仿宋" w:hAnsi="仿宋" w:eastAsia="仿宋" w:cs="仿宋"/>
          <w:sz w:val="32"/>
          <w:szCs w:val="32"/>
        </w:rPr>
        <w:t>等</w:t>
      </w:r>
      <w:r>
        <w:rPr>
          <w:rFonts w:hint="eastAsia" w:ascii="仿宋" w:hAnsi="仿宋" w:eastAsia="仿宋" w:cs="仿宋"/>
          <w:sz w:val="32"/>
          <w:szCs w:val="32"/>
          <w:lang w:val="en-US" w:eastAsia="zh-CN"/>
        </w:rPr>
        <w:t>3</w:t>
      </w:r>
      <w:r>
        <w:rPr>
          <w:rFonts w:hint="eastAsia" w:ascii="仿宋" w:hAnsi="仿宋" w:eastAsia="仿宋" w:cs="仿宋"/>
          <w:sz w:val="32"/>
          <w:szCs w:val="32"/>
        </w:rPr>
        <w:t>个项目绩效自评结果。</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1、对鹿泉宾馆清产核资和经营情况的审计</w:t>
      </w:r>
      <w:r>
        <w:rPr>
          <w:rFonts w:hint="eastAsia" w:ascii="仿宋" w:hAnsi="仿宋" w:eastAsia="仿宋" w:cs="仿宋"/>
          <w:sz w:val="32"/>
          <w:szCs w:val="32"/>
        </w:rPr>
        <w:t>自评综述：根据年初设定的绩效目标，项目绩效自评得分为</w:t>
      </w:r>
      <w:r>
        <w:rPr>
          <w:rFonts w:hint="eastAsia" w:ascii="仿宋" w:hAnsi="仿宋" w:eastAsia="仿宋" w:cs="仿宋"/>
          <w:sz w:val="32"/>
          <w:szCs w:val="32"/>
          <w:lang w:val="en-US" w:eastAsia="zh-CN"/>
        </w:rPr>
        <w:t>100</w:t>
      </w:r>
      <w:r>
        <w:rPr>
          <w:rFonts w:hint="eastAsia" w:ascii="仿宋" w:hAnsi="仿宋" w:eastAsia="仿宋" w:cs="仿宋"/>
          <w:sz w:val="32"/>
          <w:szCs w:val="32"/>
        </w:rPr>
        <w:t>分（绩效自评表附后）。全年预算数为</w:t>
      </w:r>
      <w:r>
        <w:rPr>
          <w:rFonts w:hint="eastAsia" w:ascii="仿宋" w:hAnsi="仿宋" w:eastAsia="仿宋" w:cs="仿宋"/>
          <w:sz w:val="32"/>
          <w:szCs w:val="32"/>
          <w:lang w:val="en-US" w:eastAsia="zh-CN"/>
        </w:rPr>
        <w:t>9</w:t>
      </w:r>
      <w:r>
        <w:rPr>
          <w:rFonts w:hint="eastAsia" w:ascii="仿宋" w:hAnsi="仿宋" w:eastAsia="仿宋" w:cs="仿宋"/>
          <w:sz w:val="32"/>
          <w:szCs w:val="32"/>
        </w:rPr>
        <w:t>万元，执行数为</w:t>
      </w:r>
      <w:r>
        <w:rPr>
          <w:rFonts w:hint="eastAsia" w:ascii="仿宋" w:hAnsi="仿宋" w:eastAsia="仿宋" w:cs="仿宋"/>
          <w:sz w:val="32"/>
          <w:szCs w:val="32"/>
          <w:lang w:val="en-US" w:eastAsia="zh-CN"/>
        </w:rPr>
        <w:t>9</w:t>
      </w:r>
      <w:r>
        <w:rPr>
          <w:rFonts w:hint="eastAsia" w:ascii="仿宋" w:hAnsi="仿宋" w:eastAsia="仿宋" w:cs="仿宋"/>
          <w:sz w:val="32"/>
          <w:szCs w:val="32"/>
        </w:rPr>
        <w:t>万元，完成预算的</w:t>
      </w:r>
      <w:r>
        <w:rPr>
          <w:rFonts w:hint="eastAsia" w:ascii="仿宋" w:hAnsi="仿宋" w:eastAsia="仿宋" w:cs="仿宋"/>
          <w:sz w:val="32"/>
          <w:szCs w:val="32"/>
          <w:lang w:val="en-US" w:eastAsia="zh-CN"/>
        </w:rPr>
        <w:t>100%</w:t>
      </w:r>
      <w:r>
        <w:rPr>
          <w:rFonts w:hint="eastAsia" w:ascii="仿宋" w:hAnsi="仿宋" w:eastAsia="仿宋" w:cs="仿宋"/>
          <w:sz w:val="32"/>
          <w:szCs w:val="32"/>
        </w:rPr>
        <w:t>。项目绩效目标完成情况：</w:t>
      </w:r>
      <w:r>
        <w:rPr>
          <w:rFonts w:hint="eastAsia" w:ascii="仿宋" w:hAnsi="仿宋" w:eastAsia="仿宋" w:cs="仿宋"/>
          <w:sz w:val="32"/>
          <w:szCs w:val="32"/>
          <w:lang w:val="en-US" w:eastAsia="zh-CN"/>
        </w:rPr>
        <w:t>审计项目均在规定时间内按照年初计划要求圆满完成。</w:t>
      </w:r>
    </w:p>
    <w:p>
      <w:pPr>
        <w:numPr>
          <w:ilvl w:val="0"/>
          <w:numId w:val="0"/>
        </w:numPr>
        <w:adjustRightInd w:val="0"/>
        <w:snapToGrid w:val="0"/>
        <w:spacing w:line="58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2、审计业务费项目绩效自评综述：根据年初设定的绩效目标，审计业务费项目绩效自评得分为97分。全年预算数为15万元，执行数为12.47万元，完成预算的83.13%。项目绩效目标完成情况：审计项目均在规定时间内按照年初计划要求圆满完成。</w:t>
      </w:r>
    </w:p>
    <w:p>
      <w:pPr>
        <w:numPr>
          <w:ilvl w:val="0"/>
          <w:numId w:val="0"/>
        </w:num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审计专网租赁费及移动支撑系统运行费项目绩效自评综行费项目绩效自评得分为100分。全年预算数为3.6万元，执行数为3.6万元，完成预算的100%。项目绩效目标完成情况：审计专网及移动支撑系统均运行良好，通达率100%。</w:t>
      </w:r>
    </w:p>
    <w:p>
      <w:pPr>
        <w:adjustRightInd w:val="0"/>
        <w:snapToGrid w:val="0"/>
        <w:spacing w:line="580" w:lineRule="exact"/>
        <w:rPr>
          <w:rFonts w:hint="eastAsia" w:ascii="仿宋_GB2312" w:hAnsi="仿宋_GB2312" w:eastAsia="仿宋_GB2312" w:cs="仿宋_GB2312"/>
          <w:b/>
          <w:bCs/>
          <w:sz w:val="32"/>
          <w:szCs w:val="32"/>
          <w:highlight w:val="none"/>
        </w:rPr>
      </w:pPr>
      <w:r>
        <w:rPr>
          <w:rFonts w:hint="eastAsia" w:ascii="仿宋_GB2312" w:hAnsi="仿宋_GB2312" w:eastAsia="仿宋_GB2312" w:cs="仿宋_GB2312"/>
          <w:b/>
          <w:bCs/>
          <w:sz w:val="32"/>
          <w:szCs w:val="32"/>
          <w:highlight w:val="none"/>
        </w:rPr>
        <w:t>附项目支出绩效自评表</w:t>
      </w:r>
    </w:p>
    <w:p>
      <w:pPr>
        <w:widowControl/>
        <w:jc w:val="left"/>
      </w:pPr>
      <w:r>
        <w:rPr>
          <w:rFonts w:hint="eastAsia" w:ascii="仿宋_GB2312" w:hAnsi="仿宋_GB2312" w:eastAsia="仿宋_GB2312" w:cs="仿宋_GB2312"/>
          <w:b/>
          <w:bCs/>
          <w:sz w:val="32"/>
          <w:szCs w:val="32"/>
          <w:lang w:val="en-US" w:eastAsia="zh-CN"/>
        </w:rPr>
        <w:t>序号           项目名称        自评得分    评价等级</w:t>
      </w:r>
      <w:r>
        <w:rPr>
          <w:rFonts w:hint="eastAsia" w:ascii="宋体" w:hAnsi="宋体" w:eastAsia="宋体" w:cs="宋体"/>
          <w:color w:val="000000"/>
          <w:kern w:val="0"/>
          <w:sz w:val="31"/>
          <w:szCs w:val="31"/>
          <w:lang w:val="en-US" w:eastAsia="zh-CN"/>
        </w:rPr>
        <w:t xml:space="preserve"> </w:t>
      </w:r>
    </w:p>
    <w:tbl>
      <w:tblPr>
        <w:tblStyle w:val="4"/>
        <w:tblW w:w="8744"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52"/>
        <w:gridCol w:w="3849"/>
        <w:gridCol w:w="1639"/>
        <w:gridCol w:w="23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6" w:hRule="atLeast"/>
        </w:trPr>
        <w:tc>
          <w:tcPr>
            <w:tcW w:w="952" w:type="dxa"/>
            <w:tcBorders>
              <w:top w:val="single" w:color="000000" w:sz="4" w:space="0"/>
              <w:left w:val="single" w:color="000000" w:sz="4" w:space="0"/>
              <w:bottom w:val="single" w:color="000000" w:sz="4" w:space="0"/>
              <w:right w:val="single" w:color="000000" w:sz="4" w:space="0"/>
            </w:tcBorders>
            <w:vAlign w:val="bottom"/>
          </w:tcPr>
          <w:p>
            <w:pPr>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w:t>
            </w:r>
          </w:p>
        </w:tc>
        <w:tc>
          <w:tcPr>
            <w:tcW w:w="3849" w:type="dxa"/>
            <w:tcBorders>
              <w:top w:val="single" w:color="000000" w:sz="4" w:space="0"/>
              <w:left w:val="single" w:color="000000" w:sz="4" w:space="0"/>
              <w:bottom w:val="single" w:color="000000" w:sz="4" w:space="0"/>
              <w:right w:val="single" w:color="000000" w:sz="4" w:space="0"/>
            </w:tcBorders>
            <w:vAlign w:val="center"/>
          </w:tcPr>
          <w:p>
            <w:pPr>
              <w:jc w:val="center"/>
              <w:rPr>
                <w:rFonts w:hint="default" w:ascii="Arial" w:hAnsi="Arial" w:cs="Arial"/>
                <w:i w:val="0"/>
                <w:iCs w:val="0"/>
                <w:color w:val="000000"/>
                <w:sz w:val="20"/>
                <w:szCs w:val="20"/>
                <w:u w:val="none"/>
              </w:rPr>
            </w:pPr>
            <w:r>
              <w:rPr>
                <w:rFonts w:hint="eastAsia" w:ascii="仿宋_GB2312" w:hAnsi="Times New Roman" w:eastAsia="仿宋_GB2312" w:cs="仿宋_GB2312"/>
                <w:sz w:val="32"/>
                <w:szCs w:val="32"/>
                <w:lang w:val="en-US" w:eastAsia="zh-CN"/>
              </w:rPr>
              <w:t>对鹿泉宾馆清产核资和经营情况的审计</w:t>
            </w:r>
          </w:p>
        </w:tc>
        <w:tc>
          <w:tcPr>
            <w:tcW w:w="1639" w:type="dxa"/>
            <w:tcBorders>
              <w:top w:val="single" w:color="000000" w:sz="4" w:space="0"/>
              <w:left w:val="single" w:color="000000" w:sz="4" w:space="0"/>
              <w:bottom w:val="single" w:color="000000" w:sz="4" w:space="0"/>
              <w:right w:val="single" w:color="000000" w:sz="4" w:space="0"/>
            </w:tcBorders>
            <w:vAlign w:val="bottom"/>
          </w:tcPr>
          <w:p>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vAlign w:val="bottom"/>
          </w:tcPr>
          <w:p>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7" w:hRule="atLeast"/>
        </w:trPr>
        <w:tc>
          <w:tcPr>
            <w:tcW w:w="952" w:type="dxa"/>
            <w:tcBorders>
              <w:top w:val="single" w:color="000000" w:sz="4" w:space="0"/>
              <w:left w:val="single" w:color="000000" w:sz="4" w:space="0"/>
              <w:bottom w:val="single" w:color="000000" w:sz="4" w:space="0"/>
              <w:right w:val="single" w:color="000000" w:sz="4" w:space="0"/>
            </w:tcBorders>
            <w:vAlign w:val="bottom"/>
          </w:tcPr>
          <w:p>
            <w:pP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2</w:t>
            </w:r>
          </w:p>
        </w:tc>
        <w:tc>
          <w:tcPr>
            <w:tcW w:w="3849" w:type="dxa"/>
            <w:tcBorders>
              <w:top w:val="single" w:color="000000" w:sz="4" w:space="0"/>
              <w:left w:val="single" w:color="000000" w:sz="4" w:space="0"/>
              <w:bottom w:val="single" w:color="000000" w:sz="4" w:space="0"/>
              <w:right w:val="single" w:color="000000" w:sz="4" w:space="0"/>
            </w:tcBorders>
            <w:vAlign w:val="bottom"/>
          </w:tcPr>
          <w:p>
            <w:pPr>
              <w:jc w:val="left"/>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审计业务费</w:t>
            </w:r>
          </w:p>
        </w:tc>
        <w:tc>
          <w:tcPr>
            <w:tcW w:w="1639" w:type="dxa"/>
            <w:tcBorders>
              <w:top w:val="single" w:color="000000" w:sz="4" w:space="0"/>
              <w:left w:val="single" w:color="000000" w:sz="4" w:space="0"/>
              <w:bottom w:val="single" w:color="000000" w:sz="4" w:space="0"/>
              <w:right w:val="single" w:color="000000" w:sz="4" w:space="0"/>
            </w:tcBorders>
            <w:vAlign w:val="bottom"/>
          </w:tcPr>
          <w:p>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97</w:t>
            </w:r>
          </w:p>
        </w:tc>
        <w:tc>
          <w:tcPr>
            <w:tcW w:w="2304" w:type="dxa"/>
            <w:tcBorders>
              <w:top w:val="single" w:color="000000" w:sz="4" w:space="0"/>
              <w:left w:val="single" w:color="000000" w:sz="4" w:space="0"/>
              <w:bottom w:val="single" w:color="000000" w:sz="4" w:space="0"/>
              <w:right w:val="single" w:color="000000" w:sz="4" w:space="0"/>
            </w:tcBorders>
            <w:vAlign w:val="bottom"/>
          </w:tcPr>
          <w:p>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4" w:hRule="atLeast"/>
        </w:trPr>
        <w:tc>
          <w:tcPr>
            <w:tcW w:w="952" w:type="dxa"/>
            <w:tcBorders>
              <w:top w:val="single" w:color="000000" w:sz="4" w:space="0"/>
              <w:left w:val="single" w:color="000000" w:sz="4" w:space="0"/>
              <w:bottom w:val="single" w:color="000000" w:sz="4" w:space="0"/>
              <w:right w:val="single" w:color="000000" w:sz="4" w:space="0"/>
            </w:tcBorders>
            <w:vAlign w:val="bottom"/>
          </w:tcPr>
          <w:p>
            <w:pP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3</w:t>
            </w:r>
          </w:p>
        </w:tc>
        <w:tc>
          <w:tcPr>
            <w:tcW w:w="3849" w:type="dxa"/>
            <w:tcBorders>
              <w:top w:val="single" w:color="000000" w:sz="4" w:space="0"/>
              <w:left w:val="single" w:color="000000" w:sz="4" w:space="0"/>
              <w:bottom w:val="single" w:color="000000" w:sz="4" w:space="0"/>
              <w:right w:val="single" w:color="000000" w:sz="4" w:space="0"/>
            </w:tcBorders>
            <w:vAlign w:val="bottom"/>
          </w:tcPr>
          <w:p>
            <w:pPr>
              <w:widowControl/>
              <w:jc w:val="left"/>
              <w:rPr>
                <w:rFonts w:hint="default" w:ascii="Arial" w:hAnsi="Arial" w:cs="Arial"/>
                <w:i w:val="0"/>
                <w:iCs w:val="0"/>
                <w:color w:val="000000"/>
                <w:sz w:val="20"/>
                <w:szCs w:val="20"/>
                <w:u w:val="none"/>
              </w:rPr>
            </w:pPr>
            <w:r>
              <w:rPr>
                <w:rFonts w:hint="eastAsia" w:ascii="仿宋_GB2312" w:hAnsi="仿宋_GB2312" w:eastAsia="仿宋_GB2312" w:cs="仿宋_GB2312"/>
                <w:kern w:val="2"/>
                <w:sz w:val="32"/>
                <w:szCs w:val="32"/>
                <w:lang w:val="en-US" w:eastAsia="zh-CN" w:bidi="ar-SA"/>
              </w:rPr>
              <w:t>审计专网租赁费及移动 支撑系统运行费</w:t>
            </w:r>
          </w:p>
        </w:tc>
        <w:tc>
          <w:tcPr>
            <w:tcW w:w="1639" w:type="dxa"/>
            <w:tcBorders>
              <w:top w:val="single" w:color="000000" w:sz="4" w:space="0"/>
              <w:left w:val="single" w:color="000000" w:sz="4" w:space="0"/>
              <w:bottom w:val="single" w:color="000000" w:sz="4" w:space="0"/>
              <w:right w:val="single" w:color="000000" w:sz="4" w:space="0"/>
            </w:tcBorders>
            <w:vAlign w:val="bottom"/>
          </w:tcPr>
          <w:p>
            <w:pPr>
              <w:jc w:val="center"/>
              <w:rPr>
                <w:rFonts w:hint="default"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100</w:t>
            </w:r>
          </w:p>
        </w:tc>
        <w:tc>
          <w:tcPr>
            <w:tcW w:w="2304" w:type="dxa"/>
            <w:tcBorders>
              <w:top w:val="single" w:color="000000" w:sz="4" w:space="0"/>
              <w:left w:val="single" w:color="000000" w:sz="4" w:space="0"/>
              <w:bottom w:val="single" w:color="000000" w:sz="4" w:space="0"/>
              <w:right w:val="single" w:color="000000" w:sz="4" w:space="0"/>
            </w:tcBorders>
            <w:vAlign w:val="bottom"/>
          </w:tcPr>
          <w:p>
            <w:pPr>
              <w:jc w:val="center"/>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优</w:t>
            </w:r>
          </w:p>
        </w:tc>
      </w:tr>
    </w:tbl>
    <w:p>
      <w:pPr>
        <w:widowControl w:val="0"/>
        <w:wordWrap/>
        <w:spacing w:line="560" w:lineRule="exact"/>
        <w:ind w:left="0" w:leftChars="0" w:right="0" w:firstLine="640" w:firstLineChars="200"/>
        <w:textAlignment w:val="auto"/>
        <w:outlineLvl w:val="9"/>
        <w:rPr>
          <w:rFonts w:ascii="仿宋" w:hAnsi="仿宋" w:eastAsia="仿宋"/>
          <w:sz w:val="32"/>
          <w:szCs w:val="32"/>
        </w:rPr>
      </w:pP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adjustRightInd w:val="0"/>
        <w:snapToGrid w:val="0"/>
        <w:spacing w:line="580" w:lineRule="exact"/>
        <w:ind w:firstLine="640" w:firstLineChars="200"/>
        <w:rPr>
          <w:rFonts w:hint="eastAsia" w:ascii="仿宋" w:hAnsi="仿宋" w:eastAsia="仿宋" w:cs="仿宋"/>
          <w:b/>
          <w:bCs/>
          <w:sz w:val="32"/>
          <w:szCs w:val="32"/>
        </w:rPr>
      </w:pPr>
      <w:r>
        <w:rPr>
          <w:rFonts w:hint="eastAsia" w:ascii="仿宋" w:hAnsi="仿宋" w:eastAsia="仿宋" w:cs="仿宋"/>
          <w:sz w:val="32"/>
          <w:szCs w:val="32"/>
          <w:lang w:val="en-US" w:eastAsia="zh-CN"/>
        </w:rPr>
        <w:t>2023年财政评价项目共 3 个，其中评价等级为“优” 项目 3个，评优率为 99</w:t>
      </w:r>
      <w:bookmarkStart w:id="0" w:name="_GoBack"/>
      <w:bookmarkEnd w:id="0"/>
      <w:r>
        <w:rPr>
          <w:rFonts w:hint="eastAsia" w:ascii="仿宋" w:hAnsi="仿宋" w:eastAsia="仿宋" w:cs="仿宋"/>
          <w:sz w:val="32"/>
          <w:szCs w:val="32"/>
          <w:lang w:val="en-US" w:eastAsia="zh-CN"/>
        </w:rPr>
        <w:t>%。</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adjustRightInd w:val="0"/>
        <w:snapToGrid w:val="0"/>
        <w:spacing w:line="58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无</w:t>
      </w:r>
    </w:p>
    <w:p>
      <w:pPr>
        <w:widowControl w:val="0"/>
        <w:numPr>
          <w:ilvl w:val="0"/>
          <w:numId w:val="3"/>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adjustRightInd w:val="0"/>
        <w:snapToGrid w:val="0"/>
        <w:spacing w:line="580" w:lineRule="exact"/>
        <w:ind w:firstLine="640" w:firstLineChars="200"/>
        <w:rPr>
          <w:rFonts w:hint="eastAsia" w:ascii="仿宋_GB2312" w:hAnsi="Times New Roman" w:eastAsia="仿宋_GB2312" w:cs="仿宋_GB2312"/>
          <w:sz w:val="32"/>
          <w:szCs w:val="32"/>
          <w:lang w:val="en-US" w:eastAsia="zh-CN"/>
        </w:rPr>
      </w:pPr>
      <w:r>
        <w:rPr>
          <w:rFonts w:hint="eastAsia" w:ascii="仿宋" w:hAnsi="仿宋" w:eastAsia="仿宋" w:cs="仿宋"/>
          <w:sz w:val="32"/>
          <w:szCs w:val="32"/>
          <w:lang w:val="en-US" w:eastAsia="zh-CN"/>
        </w:rPr>
        <w:t>无</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tbl>
      <w:tblPr>
        <w:tblStyle w:val="5"/>
        <w:tblpPr w:leftFromText="180" w:rightFromText="180" w:vertAnchor="text" w:horzAnchor="page" w:tblpX="2572" w:tblpY="38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70"/>
        <w:gridCol w:w="1530"/>
        <w:gridCol w:w="1215"/>
        <w:gridCol w:w="12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570" w:type="dxa"/>
            <w:vAlign w:val="top"/>
          </w:tcPr>
          <w:p>
            <w:pPr>
              <w:adjustRightInd w:val="0"/>
              <w:snapToGrid w:val="0"/>
              <w:spacing w:line="580" w:lineRule="exact"/>
              <w:ind w:firstLine="412" w:firstLineChars="0"/>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姓名</w:t>
            </w:r>
          </w:p>
        </w:tc>
        <w:tc>
          <w:tcPr>
            <w:tcW w:w="1530" w:type="dxa"/>
            <w:vAlign w:val="top"/>
          </w:tcPr>
          <w:p>
            <w:pPr>
              <w:adjustRightInd w:val="0"/>
              <w:snapToGrid w:val="0"/>
              <w:spacing w:line="580" w:lineRule="exact"/>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工作单位</w:t>
            </w:r>
          </w:p>
        </w:tc>
        <w:tc>
          <w:tcPr>
            <w:tcW w:w="1215" w:type="dxa"/>
            <w:vAlign w:val="top"/>
          </w:tcPr>
          <w:p>
            <w:pPr>
              <w:adjustRightInd w:val="0"/>
              <w:snapToGrid w:val="0"/>
              <w:spacing w:line="580" w:lineRule="exact"/>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职务</w:t>
            </w:r>
          </w:p>
        </w:tc>
        <w:tc>
          <w:tcPr>
            <w:tcW w:w="1200" w:type="dxa"/>
          </w:tcPr>
          <w:p>
            <w:pPr>
              <w:adjustRightInd w:val="0"/>
              <w:snapToGrid w:val="0"/>
              <w:spacing w:line="580" w:lineRule="exact"/>
              <w:rPr>
                <w:rFonts w:hint="eastAsia" w:ascii="仿宋" w:hAnsi="仿宋" w:eastAsia="仿宋" w:cs="仿宋"/>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570" w:type="dxa"/>
            <w:vAlign w:val="top"/>
          </w:tcPr>
          <w:p>
            <w:pPr>
              <w:adjustRightInd w:val="0"/>
              <w:snapToGrid w:val="0"/>
              <w:spacing w:line="580" w:lineRule="exact"/>
              <w:ind w:firstLine="307" w:firstLineChars="0"/>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康杰</w:t>
            </w:r>
          </w:p>
        </w:tc>
        <w:tc>
          <w:tcPr>
            <w:tcW w:w="1530" w:type="dxa"/>
          </w:tcPr>
          <w:p>
            <w:pPr>
              <w:adjustRightInd w:val="0"/>
              <w:snapToGrid w:val="0"/>
              <w:spacing w:line="580" w:lineRule="exact"/>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审计局</w:t>
            </w:r>
          </w:p>
        </w:tc>
        <w:tc>
          <w:tcPr>
            <w:tcW w:w="1215" w:type="dxa"/>
          </w:tcPr>
          <w:p>
            <w:pPr>
              <w:adjustRightInd w:val="0"/>
              <w:snapToGrid w:val="0"/>
              <w:spacing w:line="580" w:lineRule="exact"/>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局长</w:t>
            </w:r>
          </w:p>
        </w:tc>
        <w:tc>
          <w:tcPr>
            <w:tcW w:w="1200" w:type="dxa"/>
          </w:tcPr>
          <w:p>
            <w:pPr>
              <w:adjustRightInd w:val="0"/>
              <w:snapToGrid w:val="0"/>
              <w:spacing w:line="580" w:lineRule="exact"/>
              <w:rPr>
                <w:rFonts w:hint="eastAsia" w:ascii="仿宋" w:hAnsi="仿宋" w:eastAsia="仿宋" w:cs="仿宋"/>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570" w:type="dxa"/>
            <w:vAlign w:val="top"/>
          </w:tcPr>
          <w:p>
            <w:pPr>
              <w:adjustRightInd w:val="0"/>
              <w:snapToGrid w:val="0"/>
              <w:spacing w:line="580" w:lineRule="exact"/>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冯艳鹏</w:t>
            </w:r>
          </w:p>
        </w:tc>
        <w:tc>
          <w:tcPr>
            <w:tcW w:w="1530" w:type="dxa"/>
          </w:tcPr>
          <w:p>
            <w:pPr>
              <w:adjustRightInd w:val="0"/>
              <w:snapToGrid w:val="0"/>
              <w:spacing w:line="580" w:lineRule="exact"/>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审计局</w:t>
            </w:r>
          </w:p>
        </w:tc>
        <w:tc>
          <w:tcPr>
            <w:tcW w:w="1215" w:type="dxa"/>
          </w:tcPr>
          <w:p>
            <w:pPr>
              <w:adjustRightInd w:val="0"/>
              <w:snapToGrid w:val="0"/>
              <w:spacing w:line="580" w:lineRule="exact"/>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副局长</w:t>
            </w:r>
          </w:p>
        </w:tc>
        <w:tc>
          <w:tcPr>
            <w:tcW w:w="1200" w:type="dxa"/>
          </w:tcPr>
          <w:p>
            <w:pPr>
              <w:adjustRightInd w:val="0"/>
              <w:snapToGrid w:val="0"/>
              <w:spacing w:line="580" w:lineRule="exact"/>
              <w:rPr>
                <w:rFonts w:hint="eastAsia" w:ascii="仿宋" w:hAnsi="仿宋" w:eastAsia="仿宋" w:cs="仿宋"/>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8" w:hRule="atLeast"/>
        </w:trPr>
        <w:tc>
          <w:tcPr>
            <w:tcW w:w="1570" w:type="dxa"/>
            <w:vAlign w:val="top"/>
          </w:tcPr>
          <w:p>
            <w:pPr>
              <w:adjustRightInd w:val="0"/>
              <w:snapToGrid w:val="0"/>
              <w:spacing w:line="580" w:lineRule="exact"/>
              <w:jc w:val="center"/>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张蕊</w:t>
            </w:r>
          </w:p>
        </w:tc>
        <w:tc>
          <w:tcPr>
            <w:tcW w:w="1530" w:type="dxa"/>
          </w:tcPr>
          <w:p>
            <w:pPr>
              <w:adjustRightInd w:val="0"/>
              <w:snapToGrid w:val="0"/>
              <w:spacing w:line="580" w:lineRule="exact"/>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审计局</w:t>
            </w:r>
          </w:p>
        </w:tc>
        <w:tc>
          <w:tcPr>
            <w:tcW w:w="1215" w:type="dxa"/>
          </w:tcPr>
          <w:p>
            <w:pPr>
              <w:adjustRightInd w:val="0"/>
              <w:snapToGrid w:val="0"/>
              <w:spacing w:line="580" w:lineRule="exact"/>
              <w:rPr>
                <w:rFonts w:hint="eastAsia"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财务</w:t>
            </w:r>
          </w:p>
        </w:tc>
        <w:tc>
          <w:tcPr>
            <w:tcW w:w="1200" w:type="dxa"/>
          </w:tcPr>
          <w:p>
            <w:pPr>
              <w:adjustRightInd w:val="0"/>
              <w:snapToGrid w:val="0"/>
              <w:spacing w:line="580" w:lineRule="exact"/>
              <w:rPr>
                <w:rFonts w:hint="eastAsia" w:ascii="仿宋" w:hAnsi="仿宋" w:eastAsia="仿宋" w:cs="仿宋"/>
                <w:sz w:val="32"/>
                <w:szCs w:val="32"/>
                <w:vertAlign w:val="baseline"/>
                <w:lang w:val="en-US" w:eastAsia="zh-CN"/>
              </w:rPr>
            </w:pPr>
          </w:p>
        </w:tc>
      </w:tr>
    </w:tbl>
    <w:p>
      <w:pPr>
        <w:adjustRightInd w:val="0"/>
        <w:snapToGrid w:val="0"/>
        <w:spacing w:line="580" w:lineRule="exact"/>
        <w:ind w:firstLine="640" w:firstLineChars="200"/>
        <w:rPr>
          <w:rFonts w:hint="eastAsia" w:ascii="仿宋" w:hAnsi="仿宋" w:eastAsia="仿宋" w:cs="仿宋"/>
          <w:sz w:val="32"/>
          <w:szCs w:val="32"/>
          <w:lang w:val="en-US" w:eastAsia="zh-CN"/>
        </w:rPr>
      </w:pPr>
    </w:p>
    <w:sectPr>
      <w:footerReference r:id="rId3" w:type="default"/>
      <w:pgSz w:w="11906" w:h="16838"/>
      <w:pgMar w:top="1327" w:right="1474" w:bottom="1327" w:left="1587"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2"/>
        <w:lang w:val="en-US" w:eastAsia="zh-CN" w:bidi="ar-SA"/>
      </w:rPr>
      <w:pict>
        <v:rect id="Quad Arrow 3073" o:spid="_x0000_s4097" o:spt="1"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5CD6F01"/>
    <w:multiLevelType w:val="singleLevel"/>
    <w:tmpl w:val="A5CD6F01"/>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docVars>
    <w:docVar w:name="commondata" w:val="eyJoZGlkIjoiNTFhZGJhMGMyYjg1ODA5MmZlY2FiMDQxM2JlMzcxZTQifQ=="/>
  </w:docVars>
  <w:rsids>
    <w:rsidRoot w:val="0EBD2122"/>
    <w:rsid w:val="000B44D3"/>
    <w:rsid w:val="007E6C1F"/>
    <w:rsid w:val="00AF566A"/>
    <w:rsid w:val="00B6553A"/>
    <w:rsid w:val="012B0C8C"/>
    <w:rsid w:val="01B104CA"/>
    <w:rsid w:val="02106AB0"/>
    <w:rsid w:val="02B43A28"/>
    <w:rsid w:val="03B15391"/>
    <w:rsid w:val="046F331E"/>
    <w:rsid w:val="063876A4"/>
    <w:rsid w:val="06DA4BFF"/>
    <w:rsid w:val="07956271"/>
    <w:rsid w:val="09721397"/>
    <w:rsid w:val="09C91497"/>
    <w:rsid w:val="0A283ED3"/>
    <w:rsid w:val="0A8E11DF"/>
    <w:rsid w:val="0AF77F0E"/>
    <w:rsid w:val="0BB63BED"/>
    <w:rsid w:val="0CC91B50"/>
    <w:rsid w:val="0E1D0A63"/>
    <w:rsid w:val="0EB97A43"/>
    <w:rsid w:val="0EBD2122"/>
    <w:rsid w:val="0F214EAE"/>
    <w:rsid w:val="100920B1"/>
    <w:rsid w:val="11B71E6A"/>
    <w:rsid w:val="157D64AF"/>
    <w:rsid w:val="1AAF0063"/>
    <w:rsid w:val="1BE140DE"/>
    <w:rsid w:val="1D85546D"/>
    <w:rsid w:val="1DAF4298"/>
    <w:rsid w:val="1E680887"/>
    <w:rsid w:val="248C197D"/>
    <w:rsid w:val="252959AF"/>
    <w:rsid w:val="277A6671"/>
    <w:rsid w:val="28B60BD0"/>
    <w:rsid w:val="292D35B7"/>
    <w:rsid w:val="2A111E36"/>
    <w:rsid w:val="2A594280"/>
    <w:rsid w:val="2CA84CD4"/>
    <w:rsid w:val="31B56A55"/>
    <w:rsid w:val="33EB6CFF"/>
    <w:rsid w:val="35A12947"/>
    <w:rsid w:val="37387040"/>
    <w:rsid w:val="37F45271"/>
    <w:rsid w:val="3A80103E"/>
    <w:rsid w:val="3B625C0A"/>
    <w:rsid w:val="3C103963"/>
    <w:rsid w:val="3CEE1963"/>
    <w:rsid w:val="42672AE3"/>
    <w:rsid w:val="45580BF7"/>
    <w:rsid w:val="473C62ED"/>
    <w:rsid w:val="48B16866"/>
    <w:rsid w:val="4C9C27FE"/>
    <w:rsid w:val="4F2C50D6"/>
    <w:rsid w:val="512260B4"/>
    <w:rsid w:val="52BD6ACB"/>
    <w:rsid w:val="53F00B8B"/>
    <w:rsid w:val="541A49F1"/>
    <w:rsid w:val="55202DAA"/>
    <w:rsid w:val="55537534"/>
    <w:rsid w:val="561A74F1"/>
    <w:rsid w:val="56D46542"/>
    <w:rsid w:val="59246BE1"/>
    <w:rsid w:val="597244E8"/>
    <w:rsid w:val="59E720E8"/>
    <w:rsid w:val="5AA30F1D"/>
    <w:rsid w:val="5B4B47AC"/>
    <w:rsid w:val="5C0F1DCA"/>
    <w:rsid w:val="5E290AC1"/>
    <w:rsid w:val="5EB71C30"/>
    <w:rsid w:val="603911C4"/>
    <w:rsid w:val="60870181"/>
    <w:rsid w:val="629D3584"/>
    <w:rsid w:val="631303F2"/>
    <w:rsid w:val="63493E13"/>
    <w:rsid w:val="63957059"/>
    <w:rsid w:val="656D7946"/>
    <w:rsid w:val="66AF0CE5"/>
    <w:rsid w:val="69562DE6"/>
    <w:rsid w:val="6A2829D5"/>
    <w:rsid w:val="6AC537CF"/>
    <w:rsid w:val="6D245911"/>
    <w:rsid w:val="6D7F3299"/>
    <w:rsid w:val="6E3F653F"/>
    <w:rsid w:val="6E5B14A6"/>
    <w:rsid w:val="711B255E"/>
    <w:rsid w:val="7317199D"/>
    <w:rsid w:val="7487479C"/>
    <w:rsid w:val="78280044"/>
    <w:rsid w:val="7BB51E06"/>
    <w:rsid w:val="7C387F7C"/>
    <w:rsid w:val="7D697134"/>
    <w:rsid w:val="7EA63A70"/>
    <w:rsid w:val="7F547970"/>
    <w:rsid w:val="7F6A24D0"/>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autoRedefine/>
    <w:unhideWhenUsed/>
    <w:qFormat/>
    <w:uiPriority w:val="1"/>
  </w:style>
  <w:style w:type="table" w:default="1" w:styleId="4">
    <w:name w:val="Normal Table"/>
    <w:autoRedefine/>
    <w:unhideWhenUsed/>
    <w:qFormat/>
    <w:uiPriority w:val="99"/>
    <w:tblPr>
      <w:tblCellMar>
        <w:top w:w="0" w:type="dxa"/>
        <w:left w:w="108" w:type="dxa"/>
        <w:bottom w:w="0" w:type="dxa"/>
        <w:right w:w="108" w:type="dxa"/>
      </w:tblCellMar>
    </w:tblPr>
  </w:style>
  <w:style w:type="paragraph" w:styleId="2">
    <w:name w:val="footer"/>
    <w:basedOn w:val="1"/>
    <w:autoRedefine/>
    <w:qFormat/>
    <w:uiPriority w:val="0"/>
    <w:pPr>
      <w:tabs>
        <w:tab w:val="center" w:pos="4153"/>
        <w:tab w:val="right" w:pos="8306"/>
      </w:tabs>
      <w:snapToGrid w:val="0"/>
      <w:jc w:val="left"/>
    </w:pPr>
    <w:rPr>
      <w:sz w:val="18"/>
    </w:rPr>
  </w:style>
  <w:style w:type="paragraph" w:styleId="3">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7</Pages>
  <Words>3094</Words>
  <Characters>3224</Characters>
  <Lines>7</Lines>
  <Paragraphs>2</Paragraphs>
  <TotalTime>4</TotalTime>
  <ScaleCrop>false</ScaleCrop>
  <LinksUpToDate>false</LinksUpToDate>
  <CharactersWithSpaces>3290</CharactersWithSpaces>
  <Application>WPS Office_12.1.0.16910_F1E327BC-269C-435d-A152-05C5408002CA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2024-05-08T01:58:53Z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2052-12.1.0.16910</vt:lpwstr>
  </property>
  <property fmtid="{D5CDD505-2E9C-101B-9397-08002B2CF9AE}" pid="3" name="ICV">
    <vt:lpwstr>857ED109563C46CA91457D82D338A86C_12</vt:lpwstr>
  </property>
</Properties>
</file>