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0"/>
          <w:szCs w:val="48"/>
          <w:lang w:val="en-US" w:eastAsia="zh-CN"/>
        </w:rPr>
      </w:pPr>
    </w:p>
    <w:p>
      <w:pPr>
        <w:jc w:val="center"/>
        <w:rPr>
          <w:rFonts w:hint="eastAsia" w:ascii="黑体" w:hAnsi="黑体" w:eastAsia="黑体" w:cs="黑体"/>
          <w:sz w:val="40"/>
          <w:szCs w:val="48"/>
          <w:lang w:val="en-US" w:eastAsia="zh-CN"/>
        </w:rPr>
      </w:pPr>
    </w:p>
    <w:p>
      <w:pPr>
        <w:jc w:val="center"/>
        <w:rPr>
          <w:rFonts w:hint="eastAsia" w:ascii="黑体" w:hAnsi="黑体" w:eastAsia="黑体" w:cs="黑体"/>
          <w:sz w:val="40"/>
          <w:szCs w:val="48"/>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r>
        <w:rPr>
          <w:rFonts w:hint="eastAsia" w:ascii="黑体" w:hAnsi="黑体" w:eastAsia="黑体" w:cs="黑体"/>
          <w:sz w:val="72"/>
          <w:szCs w:val="144"/>
          <w:lang w:val="en-US" w:eastAsia="zh-CN"/>
        </w:rPr>
        <w:t>石家庄市鹿泉区寺家庄镇</w:t>
      </w:r>
    </w:p>
    <w:p>
      <w:pPr>
        <w:jc w:val="center"/>
        <w:rPr>
          <w:rFonts w:hint="eastAsia" w:ascii="黑体" w:hAnsi="黑体" w:eastAsia="黑体" w:cs="黑体"/>
          <w:sz w:val="72"/>
          <w:szCs w:val="144"/>
          <w:lang w:val="en-US" w:eastAsia="zh-CN"/>
        </w:rPr>
      </w:pPr>
      <w:r>
        <w:rPr>
          <w:rFonts w:hint="eastAsia" w:ascii="黑体" w:hAnsi="黑体" w:eastAsia="黑体" w:cs="黑体"/>
          <w:sz w:val="72"/>
          <w:szCs w:val="144"/>
          <w:lang w:val="en-US" w:eastAsia="zh-CN"/>
        </w:rPr>
        <w:t>东营北街村村庄规划公示</w:t>
      </w: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center"/>
        <w:rPr>
          <w:rFonts w:hint="eastAsia" w:ascii="黑体" w:hAnsi="黑体" w:eastAsia="黑体" w:cs="黑体"/>
          <w:sz w:val="72"/>
          <w:szCs w:val="144"/>
          <w:lang w:val="en-US" w:eastAsia="zh-CN"/>
        </w:rPr>
      </w:pPr>
    </w:p>
    <w:p>
      <w:pPr>
        <w:jc w:val="both"/>
        <w:rPr>
          <w:rFonts w:hint="eastAsia" w:ascii="黑体" w:hAnsi="黑体" w:eastAsia="黑体" w:cs="黑体"/>
          <w:sz w:val="72"/>
          <w:szCs w:val="144"/>
          <w:lang w:val="en-US" w:eastAsia="zh-CN"/>
        </w:rPr>
      </w:pPr>
    </w:p>
    <w:p>
      <w:pPr>
        <w:jc w:val="both"/>
        <w:rPr>
          <w:rFonts w:hint="eastAsia" w:ascii="黑体" w:hAnsi="黑体" w:eastAsia="黑体" w:cs="黑体"/>
          <w:sz w:val="72"/>
          <w:szCs w:val="144"/>
          <w:lang w:val="en-US" w:eastAsia="zh-CN"/>
        </w:rPr>
      </w:pPr>
    </w:p>
    <w:p>
      <w:pPr>
        <w:jc w:val="center"/>
        <w:rPr>
          <w:rFonts w:hint="eastAsia" w:ascii="黑体" w:hAnsi="黑体" w:eastAsia="黑体" w:cs="黑体"/>
          <w:sz w:val="36"/>
          <w:szCs w:val="44"/>
          <w:lang w:val="en-US" w:eastAsia="zh-CN"/>
        </w:rPr>
      </w:pPr>
      <w:r>
        <w:rPr>
          <w:rFonts w:hint="eastAsia" w:ascii="黑体" w:hAnsi="黑体" w:eastAsia="黑体" w:cs="黑体"/>
          <w:sz w:val="36"/>
          <w:szCs w:val="44"/>
          <w:lang w:val="en-US" w:eastAsia="zh-CN"/>
        </w:rPr>
        <w:t>《石家庄市鹿泉区寺家庄镇东营北街村村庄规划（2021-2035年）》</w:t>
      </w:r>
    </w:p>
    <w:p>
      <w:pPr>
        <w:jc w:val="center"/>
        <w:rPr>
          <w:rFonts w:hint="eastAsia" w:ascii="黑体" w:hAnsi="黑体" w:eastAsia="黑体" w:cs="黑体"/>
          <w:sz w:val="36"/>
          <w:szCs w:val="44"/>
          <w:lang w:val="en-US" w:eastAsia="zh-CN"/>
        </w:rPr>
      </w:pPr>
      <w:r>
        <w:rPr>
          <w:rFonts w:hint="eastAsia" w:ascii="黑体" w:hAnsi="黑体" w:eastAsia="黑体" w:cs="黑体"/>
          <w:sz w:val="36"/>
          <w:szCs w:val="44"/>
          <w:lang w:val="en-US" w:eastAsia="zh-CN"/>
        </w:rPr>
        <w:t>批前公示</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为深入贯彻落实党中央、国务院及省委省政府关于实施乡村振兴战略、改善农村人居环境，推动多规合一实用性村庄规划编制的指示精神，依据《河北省村庄规划技术规范》《河北省村庄规划编制导则（试行）》等，为加强石家庄市鹿泉区寺家庄镇东营北街村建设和管理水平，整体推进农用地整理、建设用地整理和乡村生态保护修复、农村住房和人居环境整治等工作，助推乡村振兴发展，特编制《石家庄市鹿泉区寺家庄镇东营北街村村庄规划（2021-2035年）》。</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石家庄市鹿泉区寺家庄镇东营北街村村庄规划（2021-2035年）》已由河北和恒城市规划设计有限公司编制完成，并经专家评审会议通过，现按规定程序将规划方案进行公示。若对本规划有异议的，请在公示期内以书面形式向鹿泉区寺家庄镇人民政府或石家庄市自然资源和规划局鹿泉分局反馈；若无异议的，将按法定程序报经审批后实施。</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联系人：王翠海</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联系方式：82267511</w:t>
      </w:r>
    </w:p>
    <w:p>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规划主要内容如下：</w:t>
      </w:r>
      <w:bookmarkStart w:id="0" w:name="_GoBack"/>
      <w:bookmarkEnd w:id="0"/>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规划期限</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本规划的规划期限与石家庄市鹿泉区国土空间总体规划保持一致，为2021-2035年，其中近期期限为2021-2025年。</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规划范围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本规划的规划范围涵盖东营北街村整个行政管理范围，总面积约183.24公顷。</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村庄定位</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集文旅休闲、现代农业、工贸融合等功能于一体的石家庄休闲农旅目的地、鹿泉区产城融合示范引领区。</w:t>
      </w:r>
    </w:p>
    <w:p>
      <w:pPr>
        <w:keepNext w:val="0"/>
        <w:keepLines w:val="0"/>
        <w:pageBreakBefore w:val="0"/>
        <w:widowControl w:val="0"/>
        <w:numPr>
          <w:ilvl w:val="0"/>
          <w:numId w:val="1"/>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国土空间布局规划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落实鹿泉区国土空间总体规划和用途管制要求，按照“生态空间天蓝田绿、农业空间规模高效、建设空间宜居适度”的原则，依据相关法律法规，确定生态空间、农业空间、建设空间相应的国土空间用途管控要求，引导各类土地合理保护和开发利用。</w:t>
      </w:r>
    </w:p>
    <w:p>
      <w:pPr>
        <w:keepNext w:val="0"/>
        <w:keepLines w:val="0"/>
        <w:pageBreakBefore w:val="0"/>
        <w:widowControl w:val="0"/>
        <w:numPr>
          <w:ilvl w:val="0"/>
          <w:numId w:val="2"/>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生态空间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东营北街村一般生态空间面积11.78公顷。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严格控制各类开发活动占用、破坏。允许符合要求的交通、水利、能源、基础设施、社会公益、农村新产业新业态、农村一三产业融合、乡村振兴战略、民生等项目由乡镇统筹，采用机动指标方式落实项目审批。</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农业空间</w:t>
      </w:r>
    </w:p>
    <w:p>
      <w:pPr>
        <w:keepNext w:val="0"/>
        <w:keepLines w:val="0"/>
        <w:pageBreakBefore w:val="0"/>
        <w:widowControl w:val="0"/>
        <w:numPr>
          <w:ilvl w:val="0"/>
          <w:numId w:val="3"/>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基本农田保护红线</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落实永久基本农田保护面积51.66公顷。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按照《中华人民共和国土地管理法》、《基本农田保护条例》等的相关规定管理。任何单位和个人不得擅自占用或改变用途，并通过土地综合整治、高标准基本农田建设和耕作层土壤剥离再利用等措施，确保永久基本农田“数量不减、质量不降、布局稳定”。</w:t>
      </w:r>
    </w:p>
    <w:p>
      <w:pPr>
        <w:keepNext w:val="0"/>
        <w:keepLines w:val="0"/>
        <w:pageBreakBefore w:val="0"/>
        <w:widowControl w:val="0"/>
        <w:numPr>
          <w:ilvl w:val="0"/>
          <w:numId w:val="3"/>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一般农业空间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总面积34.48公顷。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护控制要求：严格控制一般农业空间内的农用地转用，对质量等级较高的耕地、园地、林地等农用地实行优先保护；从严控制一般农业空间转为建设空间，经批准建设占用区内耕地，需按照“耕地占补平衡”原则，补充数量和质量相当的耕地。</w:t>
      </w:r>
    </w:p>
    <w:p>
      <w:pPr>
        <w:keepNext w:val="0"/>
        <w:keepLines w:val="0"/>
        <w:pageBreakBefore w:val="0"/>
        <w:widowControl w:val="0"/>
        <w:numPr>
          <w:ilvl w:val="0"/>
          <w:numId w:val="2"/>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建设空间</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根据村庄空间格局锁定全域建设空间为85.32公顷，占村域面积的46.56%。其中，村庄建设用地面积10.14公顷，城镇建设用地面积63.33公顷，区域基础设施用地面积11.67公顷，其他建设用地面积0.18公顷。</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管控要求：合理安排农村建设用地，优先满足农村基本公共服务设施用地需求；规划期内村庄建设边界原则上不得调整，如需调整按规划修改处理，严格论证，报规划审批机关批准。村庄建设空间内的经营性用地，应按照集体土地入市方式进行相应出让。</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五、产业发展布局结构</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整体为“两轴、三片区”的总体发展格局。</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“两轴”为沿红旗大街、衡井线形成的区域交通发展轴；“三片区”为城镇集中发展区、传统农业发展区、特色农业发展区。</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六、公共服务设施规划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按照《村庄规划技术规范》，村庄公共服务设施用地包括农村社区服务设施用地、公共管理与公共服务设施用地。其中农村社区服务设施用地包括村委会、文化活动室、小型体育活动场所、卫生室、农村商店及小型超市、农村电商服务站；公共管理与公共服务设施用地包含小学、幼儿园。</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七、道路交通规划</w:t>
      </w:r>
    </w:p>
    <w:p>
      <w:pPr>
        <w:keepNext w:val="0"/>
        <w:keepLines w:val="0"/>
        <w:pageBreakBefore w:val="0"/>
        <w:widowControl w:val="0"/>
        <w:numPr>
          <w:ilvl w:val="0"/>
          <w:numId w:val="4"/>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对外交通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村庄的主要对外交通为红旗大街和衡井线。</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规划红旗大街红线宽度30米。</w:t>
      </w:r>
    </w:p>
    <w:p>
      <w:pPr>
        <w:keepNext w:val="0"/>
        <w:keepLines w:val="0"/>
        <w:pageBreakBefore w:val="0"/>
        <w:widowControl w:val="0"/>
        <w:numPr>
          <w:ilvl w:val="0"/>
          <w:numId w:val="4"/>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村道和田间道规划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村域内向外联系的村道路面宽度为4-5米。</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村域内机耕路硬化率达到95%，路面宽度宜为4米。</w:t>
      </w:r>
    </w:p>
    <w:p>
      <w:pPr>
        <w:keepNext w:val="0"/>
        <w:keepLines w:val="0"/>
        <w:pageBreakBefore w:val="0"/>
        <w:widowControl w:val="0"/>
        <w:numPr>
          <w:ilvl w:val="0"/>
          <w:numId w:val="4"/>
        </w:numPr>
        <w:kinsoku/>
        <w:wordWrap/>
        <w:overflowPunct/>
        <w:topLinePunct w:val="0"/>
        <w:autoSpaceDE/>
        <w:autoSpaceDN/>
        <w:bidi w:val="0"/>
        <w:adjustRightInd/>
        <w:snapToGrid/>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村庄内部道路</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村内道路主要沿用现有道路骨架，按照干路、支路、巷道三个等级设置，其中干路红线宽度8-10米，为双车道；支路红线宽度6米，为双车道；巷道红线宽度为3-4米。</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八、公用设施规划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村庄与寺家庄镇区实现给水、燃气、供热、通信等基础设施的共建共享。</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九、全域用地管控规划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为适应东营北街村开发建设的需求，规划对村域内的建设用地进行编号并提出控制要求，为土地管理和规划建设管理提供直接依据。</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十、近期建设规划</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近期建设规划主要有三个方向，为产业发展、国土综合整治、村庄内部提升。</w:t>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村庄近期建设项目表</w:t>
      </w:r>
    </w:p>
    <w:tbl>
      <w:tblPr>
        <w:tblStyle w:val="3"/>
        <w:tblW w:w="4964"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869"/>
        <w:gridCol w:w="2274"/>
        <w:gridCol w:w="1491"/>
        <w:gridCol w:w="1426"/>
        <w:gridCol w:w="1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5" w:hRule="atLeast"/>
          <w:tblCellSpacing w:w="0" w:type="dxa"/>
        </w:trPr>
        <w:tc>
          <w:tcPr>
            <w:tcW w:w="1124"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项目类别</w:t>
            </w:r>
          </w:p>
        </w:tc>
        <w:tc>
          <w:tcPr>
            <w:tcW w:w="136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项目名称</w:t>
            </w:r>
          </w:p>
        </w:tc>
        <w:tc>
          <w:tcPr>
            <w:tcW w:w="896"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建设规模</w:t>
            </w:r>
          </w:p>
        </w:tc>
        <w:tc>
          <w:tcPr>
            <w:tcW w:w="85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资金估算</w:t>
            </w:r>
          </w:p>
        </w:tc>
        <w:tc>
          <w:tcPr>
            <w:tcW w:w="753"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建设时序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blCellSpacing w:w="0" w:type="dxa"/>
        </w:trPr>
        <w:tc>
          <w:tcPr>
            <w:tcW w:w="1124"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产业发展</w:t>
            </w:r>
          </w:p>
        </w:tc>
        <w:tc>
          <w:tcPr>
            <w:tcW w:w="136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花卉市场建设</w:t>
            </w:r>
          </w:p>
        </w:tc>
        <w:tc>
          <w:tcPr>
            <w:tcW w:w="896"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6.94公顷</w:t>
            </w:r>
          </w:p>
        </w:tc>
        <w:tc>
          <w:tcPr>
            <w:tcW w:w="85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700万</w:t>
            </w:r>
          </w:p>
        </w:tc>
        <w:tc>
          <w:tcPr>
            <w:tcW w:w="753"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blCellSpacing w:w="0" w:type="dxa"/>
        </w:trPr>
        <w:tc>
          <w:tcPr>
            <w:tcW w:w="1124" w:type="pct"/>
            <w:vMerge w:val="restar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国土综合整治</w:t>
            </w:r>
          </w:p>
        </w:tc>
        <w:tc>
          <w:tcPr>
            <w:tcW w:w="136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农用地整治</w:t>
            </w:r>
          </w:p>
        </w:tc>
        <w:tc>
          <w:tcPr>
            <w:tcW w:w="896"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4.70公顷</w:t>
            </w:r>
          </w:p>
        </w:tc>
        <w:tc>
          <w:tcPr>
            <w:tcW w:w="85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400万</w:t>
            </w:r>
          </w:p>
        </w:tc>
        <w:tc>
          <w:tcPr>
            <w:tcW w:w="753"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blCellSpacing w:w="0" w:type="dxa"/>
        </w:trPr>
        <w:tc>
          <w:tcPr>
            <w:tcW w:w="1124" w:type="pct"/>
            <w:vMerge w:val="continue"/>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jc w:val="center"/>
              <w:rPr>
                <w:rFonts w:hint="eastAsia" w:ascii="宋体"/>
                <w:sz w:val="21"/>
                <w:szCs w:val="21"/>
              </w:rPr>
            </w:pPr>
          </w:p>
        </w:tc>
        <w:tc>
          <w:tcPr>
            <w:tcW w:w="136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建设用地整治</w:t>
            </w:r>
          </w:p>
        </w:tc>
        <w:tc>
          <w:tcPr>
            <w:tcW w:w="896"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7.47公顷</w:t>
            </w:r>
          </w:p>
        </w:tc>
        <w:tc>
          <w:tcPr>
            <w:tcW w:w="85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700万</w:t>
            </w:r>
          </w:p>
        </w:tc>
        <w:tc>
          <w:tcPr>
            <w:tcW w:w="753"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2025年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blCellSpacing w:w="0" w:type="dxa"/>
        </w:trPr>
        <w:tc>
          <w:tcPr>
            <w:tcW w:w="1124" w:type="pct"/>
            <w:vMerge w:val="restar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村庄内部提升</w:t>
            </w:r>
          </w:p>
        </w:tc>
        <w:tc>
          <w:tcPr>
            <w:tcW w:w="136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新建礼堂</w:t>
            </w:r>
          </w:p>
        </w:tc>
        <w:tc>
          <w:tcPr>
            <w:tcW w:w="896"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1处</w:t>
            </w:r>
          </w:p>
        </w:tc>
        <w:tc>
          <w:tcPr>
            <w:tcW w:w="85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30万</w:t>
            </w:r>
          </w:p>
        </w:tc>
        <w:tc>
          <w:tcPr>
            <w:tcW w:w="753"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blCellSpacing w:w="0" w:type="dxa"/>
        </w:trPr>
        <w:tc>
          <w:tcPr>
            <w:tcW w:w="1124" w:type="pct"/>
            <w:vMerge w:val="continue"/>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jc w:val="center"/>
              <w:rPr>
                <w:rFonts w:hint="eastAsia" w:ascii="宋体"/>
                <w:sz w:val="21"/>
                <w:szCs w:val="21"/>
              </w:rPr>
            </w:pPr>
          </w:p>
        </w:tc>
        <w:tc>
          <w:tcPr>
            <w:tcW w:w="136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新建广场</w:t>
            </w:r>
          </w:p>
        </w:tc>
        <w:tc>
          <w:tcPr>
            <w:tcW w:w="896"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3处</w:t>
            </w:r>
          </w:p>
        </w:tc>
        <w:tc>
          <w:tcPr>
            <w:tcW w:w="857"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50万</w:t>
            </w:r>
          </w:p>
        </w:tc>
        <w:tc>
          <w:tcPr>
            <w:tcW w:w="753"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2024年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blCellSpacing w:w="0" w:type="dxa"/>
        </w:trPr>
        <w:tc>
          <w:tcPr>
            <w:tcW w:w="1124" w:type="pct"/>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合计</w:t>
            </w:r>
          </w:p>
        </w:tc>
        <w:tc>
          <w:tcPr>
            <w:tcW w:w="3875" w:type="pct"/>
            <w:gridSpan w:val="4"/>
            <w:tcBorders>
              <w:top w:val="single" w:color="000000" w:sz="6" w:space="0"/>
              <w:left w:val="single" w:color="000000" w:sz="6" w:space="0"/>
              <w:bottom w:val="single" w:color="000000" w:sz="6" w:space="0"/>
              <w:right w:val="single" w:color="000000" w:sz="6" w:space="0"/>
            </w:tcBorders>
            <w:shd w:val="clear" w:color="auto" w:fill="auto"/>
            <w:tcMar>
              <w:top w:w="20" w:type="dxa"/>
              <w:left w:w="20" w:type="dxa"/>
              <w:bottom w:w="72" w:type="dxa"/>
              <w:right w:w="20" w:type="dxa"/>
            </w:tcMar>
            <w:vAlign w:val="center"/>
          </w:tcPr>
          <w:p>
            <w:pPr>
              <w:pStyle w:val="2"/>
              <w:keepNext w:val="0"/>
              <w:keepLines w:val="0"/>
              <w:widowControl/>
              <w:suppressLineNumbers w:val="0"/>
              <w:jc w:val="center"/>
              <w:rPr>
                <w:sz w:val="21"/>
                <w:szCs w:val="21"/>
              </w:rPr>
            </w:pPr>
            <w:r>
              <w:rPr>
                <w:rFonts w:hint="default" w:ascii="Arial" w:hAnsi="Arial" w:cs="Arial"/>
                <w:color w:val="000000"/>
                <w:sz w:val="21"/>
                <w:szCs w:val="21"/>
              </w:rPr>
              <w:t>1880万</w:t>
            </w:r>
          </w:p>
        </w:tc>
      </w:tr>
    </w:tbl>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eastAsia"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59264" behindDoc="0" locked="0" layoutInCell="1" allowOverlap="1">
            <wp:simplePos x="0" y="0"/>
            <wp:positionH relativeFrom="column">
              <wp:posOffset>-147955</wp:posOffset>
            </wp:positionH>
            <wp:positionV relativeFrom="paragraph">
              <wp:posOffset>282575</wp:posOffset>
            </wp:positionV>
            <wp:extent cx="5640705" cy="3990975"/>
            <wp:effectExtent l="0" t="0" r="17145" b="9525"/>
            <wp:wrapTopAndBottom/>
            <wp:docPr id="1" name="图片 1" descr="E:/0付子菲/鹿泉区寺家庄镇/东营北街/ps2.2版/ps图纸/01区位.jpg01区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0付子菲/鹿泉区寺家庄镇/东营北街/ps2.2版/ps图纸/01区位.jpg01区位"/>
                    <pic:cNvPicPr>
                      <a:picLocks noChangeAspect="1"/>
                    </pic:cNvPicPr>
                  </pic:nvPicPr>
                  <pic:blipFill>
                    <a:blip r:embed="rId4"/>
                    <a:srcRect l="40" r="40"/>
                    <a:stretch>
                      <a:fillRect/>
                    </a:stretch>
                  </pic:blipFill>
                  <pic:spPr>
                    <a:xfrm>
                      <a:off x="0" y="0"/>
                      <a:ext cx="5640705" cy="3990975"/>
                    </a:xfrm>
                    <a:prstGeom prst="rect">
                      <a:avLst/>
                    </a:prstGeom>
                  </pic:spPr>
                </pic:pic>
              </a:graphicData>
            </a:graphic>
          </wp:anchor>
        </w:drawing>
      </w:r>
      <w:r>
        <w:rPr>
          <w:rFonts w:hint="eastAsia" w:ascii="黑体" w:hAnsi="黑体" w:eastAsia="黑体" w:cs="黑体"/>
          <w:sz w:val="28"/>
          <w:szCs w:val="28"/>
          <w:lang w:val="en-US" w:eastAsia="zh-CN"/>
        </w:rPr>
        <w:drawing>
          <wp:anchor distT="0" distB="0" distL="114300" distR="114300" simplePos="0" relativeHeight="251660288" behindDoc="0" locked="0" layoutInCell="1" allowOverlap="1">
            <wp:simplePos x="0" y="0"/>
            <wp:positionH relativeFrom="column">
              <wp:posOffset>-149225</wp:posOffset>
            </wp:positionH>
            <wp:positionV relativeFrom="paragraph">
              <wp:posOffset>4277360</wp:posOffset>
            </wp:positionV>
            <wp:extent cx="5609590" cy="3968115"/>
            <wp:effectExtent l="0" t="0" r="10160" b="13335"/>
            <wp:wrapTopAndBottom/>
            <wp:docPr id="2" name="图片 2" descr="E:/0付子菲/鹿泉区寺家庄镇/东营北街/ps2.2版/ps图纸/02村域现状.jpg02村域现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E:/0付子菲/鹿泉区寺家庄镇/东营北街/ps2.2版/ps图纸/02村域现状.jpg02村域现状"/>
                    <pic:cNvPicPr>
                      <a:picLocks noChangeAspect="1"/>
                    </pic:cNvPicPr>
                  </pic:nvPicPr>
                  <pic:blipFill>
                    <a:blip r:embed="rId5"/>
                    <a:srcRect l="32" r="32"/>
                    <a:stretch>
                      <a:fillRect/>
                    </a:stretch>
                  </pic:blipFill>
                  <pic:spPr>
                    <a:xfrm>
                      <a:off x="0" y="0"/>
                      <a:ext cx="5609590" cy="3968115"/>
                    </a:xfrm>
                    <a:prstGeom prst="rect">
                      <a:avLst/>
                    </a:prstGeom>
                  </pic:spPr>
                </pic:pic>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ind w:leftChars="0"/>
        <w:jc w:val="center"/>
        <w:textAlignment w:val="auto"/>
        <w:rPr>
          <w:rFonts w:hint="default" w:ascii="黑体" w:hAnsi="黑体" w:eastAsia="黑体" w:cs="黑体"/>
          <w:sz w:val="28"/>
          <w:szCs w:val="28"/>
          <w:lang w:val="en-US" w:eastAsia="zh-CN"/>
        </w:rPr>
      </w:pPr>
      <w:r>
        <w:rPr>
          <w:rFonts w:hint="default" w:ascii="黑体" w:hAnsi="黑体" w:eastAsia="黑体" w:cs="黑体"/>
          <w:sz w:val="28"/>
          <w:szCs w:val="28"/>
          <w:lang w:val="en-US" w:eastAsia="zh-CN"/>
        </w:rPr>
        <w:drawing>
          <wp:anchor distT="0" distB="0" distL="114300" distR="114300" simplePos="0" relativeHeight="251662336" behindDoc="0" locked="0" layoutInCell="1" allowOverlap="1">
            <wp:simplePos x="0" y="0"/>
            <wp:positionH relativeFrom="column">
              <wp:posOffset>-191135</wp:posOffset>
            </wp:positionH>
            <wp:positionV relativeFrom="paragraph">
              <wp:posOffset>4148455</wp:posOffset>
            </wp:positionV>
            <wp:extent cx="5674360" cy="4013835"/>
            <wp:effectExtent l="0" t="0" r="2540" b="5715"/>
            <wp:wrapSquare wrapText="bothSides"/>
            <wp:docPr id="4" name="图片 4" descr="E:/0付子菲/鹿泉区寺家庄镇/东营北街/ps2.2版/ps图纸/04控制线.jpg04控制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E:/0付子菲/鹿泉区寺家庄镇/东营北街/ps2.2版/ps图纸/04控制线.jpg04控制线"/>
                    <pic:cNvPicPr>
                      <a:picLocks noChangeAspect="1"/>
                    </pic:cNvPicPr>
                  </pic:nvPicPr>
                  <pic:blipFill>
                    <a:blip r:embed="rId6"/>
                    <a:srcRect l="32" r="32"/>
                    <a:stretch>
                      <a:fillRect/>
                    </a:stretch>
                  </pic:blipFill>
                  <pic:spPr>
                    <a:xfrm>
                      <a:off x="0" y="0"/>
                      <a:ext cx="5674360" cy="4013835"/>
                    </a:xfrm>
                    <a:prstGeom prst="rect">
                      <a:avLst/>
                    </a:prstGeom>
                  </pic:spPr>
                </pic:pic>
              </a:graphicData>
            </a:graphic>
          </wp:anchor>
        </w:drawing>
      </w:r>
      <w:r>
        <w:rPr>
          <w:rFonts w:hint="eastAsia" w:ascii="黑体" w:hAnsi="黑体" w:eastAsia="黑体" w:cs="黑体"/>
          <w:sz w:val="28"/>
          <w:szCs w:val="28"/>
          <w:lang w:val="en-US" w:eastAsia="zh-CN"/>
        </w:rPr>
        <w:drawing>
          <wp:anchor distT="0" distB="0" distL="114300" distR="114300" simplePos="0" relativeHeight="251661312" behindDoc="0" locked="0" layoutInCell="1" allowOverlap="1">
            <wp:simplePos x="0" y="0"/>
            <wp:positionH relativeFrom="column">
              <wp:posOffset>-121285</wp:posOffset>
            </wp:positionH>
            <wp:positionV relativeFrom="paragraph">
              <wp:posOffset>42545</wp:posOffset>
            </wp:positionV>
            <wp:extent cx="5574030" cy="3943350"/>
            <wp:effectExtent l="0" t="0" r="7620" b="0"/>
            <wp:wrapTopAndBottom/>
            <wp:docPr id="3" name="图片 3" descr="E:/0付子菲/鹿泉区寺家庄镇/东营北街/ps2.2版/ps图纸/03村域规划.jpg03村域规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0付子菲/鹿泉区寺家庄镇/东营北街/ps2.2版/ps图纸/03村域规划.jpg03村域规划"/>
                    <pic:cNvPicPr>
                      <a:picLocks noChangeAspect="1"/>
                    </pic:cNvPicPr>
                  </pic:nvPicPr>
                  <pic:blipFill>
                    <a:blip r:embed="rId7"/>
                    <a:srcRect l="32" r="32"/>
                    <a:stretch>
                      <a:fillRect/>
                    </a:stretch>
                  </pic:blipFill>
                  <pic:spPr>
                    <a:xfrm>
                      <a:off x="0" y="0"/>
                      <a:ext cx="5574030" cy="3943350"/>
                    </a:xfrm>
                    <a:prstGeom prst="rect">
                      <a:avLst/>
                    </a:prstGeom>
                  </pic:spPr>
                </pic:pic>
              </a:graphicData>
            </a:graphic>
          </wp:anchor>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6817AC"/>
    <w:multiLevelType w:val="singleLevel"/>
    <w:tmpl w:val="E86817AC"/>
    <w:lvl w:ilvl="0" w:tentative="0">
      <w:start w:val="1"/>
      <w:numFmt w:val="decimal"/>
      <w:suff w:val="nothing"/>
      <w:lvlText w:val="%1、"/>
      <w:lvlJc w:val="left"/>
    </w:lvl>
  </w:abstractNum>
  <w:abstractNum w:abstractNumId="1">
    <w:nsid w:val="00A4D01C"/>
    <w:multiLevelType w:val="singleLevel"/>
    <w:tmpl w:val="00A4D01C"/>
    <w:lvl w:ilvl="0" w:tentative="0">
      <w:start w:val="1"/>
      <w:numFmt w:val="chineseCounting"/>
      <w:suff w:val="nothing"/>
      <w:lvlText w:val="（%1）"/>
      <w:lvlJc w:val="left"/>
      <w:rPr>
        <w:rFonts w:hint="eastAsia"/>
      </w:rPr>
    </w:lvl>
  </w:abstractNum>
  <w:abstractNum w:abstractNumId="2">
    <w:nsid w:val="274F16D8"/>
    <w:multiLevelType w:val="singleLevel"/>
    <w:tmpl w:val="274F16D8"/>
    <w:lvl w:ilvl="0" w:tentative="0">
      <w:start w:val="1"/>
      <w:numFmt w:val="decimal"/>
      <w:suff w:val="nothing"/>
      <w:lvlText w:val="%1、"/>
      <w:lvlJc w:val="left"/>
    </w:lvl>
  </w:abstractNum>
  <w:abstractNum w:abstractNumId="3">
    <w:nsid w:val="4A94DB4A"/>
    <w:multiLevelType w:val="singleLevel"/>
    <w:tmpl w:val="4A94DB4A"/>
    <w:lvl w:ilvl="0" w:tentative="0">
      <w:start w:val="1"/>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QyZTM4NWJlMzQwZDJlNGFkNDU3Y2Y5OTI5Yzk3YjUifQ=="/>
    <w:docVar w:name="KSO_WPS_MARK_KEY" w:val="5a6ffad7-e863-4b83-a518-9801b8f1afef"/>
  </w:docVars>
  <w:rsids>
    <w:rsidRoot w:val="00000000"/>
    <w:rsid w:val="13DC2AA0"/>
    <w:rsid w:val="16E573D4"/>
    <w:rsid w:val="19C64C27"/>
    <w:rsid w:val="2BC6384D"/>
    <w:rsid w:val="2DFA4546"/>
    <w:rsid w:val="37F16590"/>
    <w:rsid w:val="484D62D8"/>
    <w:rsid w:val="4D930C30"/>
    <w:rsid w:val="4F462B66"/>
    <w:rsid w:val="585C4ADE"/>
    <w:rsid w:val="638719BC"/>
    <w:rsid w:val="65086241"/>
    <w:rsid w:val="6B9B216A"/>
    <w:rsid w:val="6F0C7D77"/>
    <w:rsid w:val="77DA3AED"/>
    <w:rsid w:val="78A040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5">
    <w:name w:val="Table Paragraph"/>
    <w:basedOn w:val="1"/>
    <w:autoRedefine/>
    <w:qFormat/>
    <w:uiPriority w:val="1"/>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1886</Words>
  <Characters>2010</Characters>
  <Lines>0</Lines>
  <Paragraphs>0</Paragraphs>
  <TotalTime>152</TotalTime>
  <ScaleCrop>false</ScaleCrop>
  <LinksUpToDate>false</LinksUpToDate>
  <CharactersWithSpaces>2010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2023-08-16T02:15:00Z</dcterms:created>
  <dc:creator>Administrator</dc:creator>
  <cp:lastModifiedBy>ls</cp:lastModifiedBy>
  <dcterms:modified xsi:type="dcterms:W3CDTF">2024-04-28T02:18:57Z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BD2535EB212E476B8184E702C4E085B2_13</vt:lpwstr>
  </property>
</Properties>
</file>