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jc w:val="center"/>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jc w:val="center"/>
        <w:rPr>
          <w:rFonts w:hint="eastAsia" w:ascii="宋体" w:hAnsi="宋体" w:eastAsia="宋体" w:cs="宋体"/>
          <w:color w:val="auto"/>
          <w:sz w:val="72"/>
          <w:szCs w:val="72"/>
          <w:highlight w:val="none"/>
          <w:lang w:val="en-US" w:eastAsia="zh-CN"/>
        </w:rPr>
      </w:pPr>
      <w:r>
        <w:rPr>
          <w:rFonts w:hint="eastAsia" w:ascii="宋体" w:hAnsi="宋体" w:eastAsia="宋体" w:cs="宋体"/>
          <w:color w:val="auto"/>
          <w:sz w:val="72"/>
          <w:szCs w:val="72"/>
          <w:highlight w:val="none"/>
          <w:lang w:val="en-US" w:eastAsia="zh-CN"/>
        </w:rPr>
        <w:t>石家庄市鹿泉区铜冶镇</w:t>
      </w:r>
    </w:p>
    <w:p>
      <w:pPr>
        <w:pageBreakBefore w:val="0"/>
        <w:widowControl w:val="0"/>
        <w:shd w:val="clear"/>
        <w:kinsoku/>
        <w:overflowPunct/>
        <w:autoSpaceDE/>
        <w:autoSpaceDN/>
        <w:bidi w:val="0"/>
        <w:spacing w:beforeLines="0" w:line="360" w:lineRule="auto"/>
        <w:jc w:val="center"/>
        <w:rPr>
          <w:rFonts w:hint="eastAsia" w:ascii="宋体" w:hAnsi="宋体" w:eastAsia="宋体" w:cs="宋体"/>
          <w:color w:val="auto"/>
          <w:sz w:val="72"/>
          <w:szCs w:val="72"/>
          <w:highlight w:val="none"/>
          <w:lang w:val="en-US" w:eastAsia="zh-CN"/>
        </w:rPr>
      </w:pPr>
      <w:r>
        <w:rPr>
          <w:rFonts w:hint="eastAsia" w:ascii="宋体" w:hAnsi="宋体" w:eastAsia="宋体" w:cs="宋体"/>
          <w:color w:val="auto"/>
          <w:sz w:val="72"/>
          <w:szCs w:val="72"/>
          <w:highlight w:val="none"/>
          <w:lang w:val="en-US" w:eastAsia="zh-CN"/>
        </w:rPr>
        <w:t>岭底村村庄规划公示</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《石家庄市鹿泉区铜冶镇岭底村村庄规划（2021-2035年）》</w:t>
      </w:r>
    </w:p>
    <w:p>
      <w:pPr>
        <w:pageBreakBefore w:val="0"/>
        <w:widowControl w:val="0"/>
        <w:shd w:val="clear"/>
        <w:kinsoku/>
        <w:overflowPunct/>
        <w:autoSpaceDE/>
        <w:autoSpaceDN/>
        <w:bidi w:val="0"/>
        <w:spacing w:beforeLines="0" w:line="360" w:lineRule="auto"/>
        <w:ind w:left="0" w:firstLine="560" w:firstLineChars="200"/>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批前公示</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为深入贯彻落实党中央、国务院及省委省政府关于实施乡村振兴战略、改善农村人居环境，推动多规合一实用性村庄规划编制的指示精神，依据《河北省村庄规划技术规范》《河北省村庄规划编制导则（试行）》等，为加强石家庄市鹿泉区铜冶镇岭底村建设和管理水平，整体推进农用地整理、建设用地整理和乡村生态保护修复、农村住房和人居环境整治等工作，助推乡村振兴发展，特编制《石家庄市鹿泉区铜冶镇岭底村村庄规划（2021-2035年）》。</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石家庄市鹿泉区铜冶镇岭底村村庄规划（2021-2035年）》已由河北和恒城市规划设计有限公司编制完成，并经专家评审会议通过，现按规定程序将规划方案进行公示。若对本规划有异议的，请在公示期内以书面形式向鹿泉区铜冶镇人民政府或石家庄市自然资源和规划局鹿泉分局反馈；若无异议的，将按法定程序报经审批后实施。</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联系人：樊二斌</w:t>
      </w:r>
    </w:p>
    <w:p>
      <w:pPr>
        <w:pageBreakBefore w:val="0"/>
        <w:widowControl w:val="0"/>
        <w:shd w:val="clear"/>
        <w:kinsoku/>
        <w:overflowPunct/>
        <w:autoSpaceDE/>
        <w:autoSpaceDN/>
        <w:bidi w:val="0"/>
        <w:spacing w:beforeLines="0" w:line="360" w:lineRule="auto"/>
        <w:ind w:left="0" w:firstLine="560" w:firstLineChars="200"/>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联系方式：82238220</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规划主要内容如下：</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规划期限</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zh-CN" w:eastAsia="zh-CN"/>
        </w:rPr>
      </w:pPr>
      <w:r>
        <w:rPr>
          <w:rFonts w:hint="eastAsia" w:ascii="宋体" w:hAnsi="宋体" w:eastAsia="宋体" w:cs="宋体"/>
          <w:color w:val="auto"/>
          <w:sz w:val="28"/>
          <w:szCs w:val="28"/>
          <w:highlight w:val="none"/>
          <w:lang w:val="zh-CN" w:eastAsia="zh-CN"/>
        </w:rPr>
        <w:t>本规划的规划期限与石家庄市鹿泉区国土空间总体规划保持一致，为2021</w:t>
      </w: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lang w:val="zh-CN" w:eastAsia="zh-CN"/>
        </w:rPr>
        <w:t>20</w:t>
      </w:r>
      <w:r>
        <w:rPr>
          <w:rFonts w:hint="eastAsia" w:ascii="宋体" w:hAnsi="宋体" w:eastAsia="宋体" w:cs="宋体"/>
          <w:color w:val="auto"/>
          <w:sz w:val="28"/>
          <w:szCs w:val="28"/>
          <w:highlight w:val="none"/>
          <w:lang w:val="en-US" w:eastAsia="zh-CN"/>
        </w:rPr>
        <w:t>3</w:t>
      </w:r>
      <w:r>
        <w:rPr>
          <w:rFonts w:hint="eastAsia" w:ascii="宋体" w:hAnsi="宋体" w:eastAsia="宋体" w:cs="宋体"/>
          <w:color w:val="auto"/>
          <w:sz w:val="28"/>
          <w:szCs w:val="28"/>
          <w:highlight w:val="none"/>
          <w:lang w:val="zh-CN" w:eastAsia="zh-CN"/>
        </w:rPr>
        <w:t>5年，其中近期期限为2021</w:t>
      </w:r>
      <w:r>
        <w:rPr>
          <w:rFonts w:hint="eastAsia" w:ascii="宋体" w:hAnsi="宋体" w:eastAsia="宋体" w:cs="宋体"/>
          <w:color w:val="auto"/>
          <w:sz w:val="28"/>
          <w:szCs w:val="28"/>
          <w:highlight w:val="none"/>
          <w:lang w:val="en-US" w:eastAsia="zh-CN"/>
        </w:rPr>
        <w:t>-</w:t>
      </w:r>
      <w:r>
        <w:rPr>
          <w:rFonts w:hint="eastAsia" w:ascii="宋体" w:hAnsi="宋体" w:eastAsia="宋体" w:cs="宋体"/>
          <w:color w:val="auto"/>
          <w:sz w:val="28"/>
          <w:szCs w:val="28"/>
          <w:highlight w:val="none"/>
          <w:lang w:val="zh-CN" w:eastAsia="zh-CN"/>
        </w:rPr>
        <w:t>2025年。</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规划范围</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zh-CN" w:eastAsia="zh-CN"/>
        </w:rPr>
        <w:t>规划范围为</w:t>
      </w:r>
      <w:r>
        <w:rPr>
          <w:rFonts w:hint="eastAsia" w:ascii="宋体" w:hAnsi="宋体" w:eastAsia="宋体" w:cs="宋体"/>
          <w:color w:val="auto"/>
          <w:sz w:val="28"/>
          <w:szCs w:val="28"/>
          <w:highlight w:val="none"/>
          <w:lang w:eastAsia="zh-CN"/>
        </w:rPr>
        <w:t>岭底村</w:t>
      </w:r>
      <w:r>
        <w:rPr>
          <w:rFonts w:hint="eastAsia" w:ascii="宋体" w:hAnsi="宋体" w:eastAsia="宋体" w:cs="宋体"/>
          <w:color w:val="auto"/>
          <w:sz w:val="28"/>
          <w:szCs w:val="28"/>
          <w:highlight w:val="none"/>
          <w:lang w:val="zh-CN" w:eastAsia="zh-CN"/>
        </w:rPr>
        <w:t>范围内的全部国土空间，总面积</w:t>
      </w:r>
      <w:r>
        <w:rPr>
          <w:rFonts w:hint="eastAsia" w:ascii="宋体" w:hAnsi="宋体" w:eastAsia="宋体" w:cs="宋体"/>
          <w:color w:val="auto"/>
          <w:sz w:val="28"/>
          <w:szCs w:val="28"/>
          <w:highlight w:val="none"/>
          <w:lang w:val="en-US" w:eastAsia="zh-CN"/>
        </w:rPr>
        <w:t>1022.16公顷。</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村庄定位</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sz w:val="28"/>
          <w:szCs w:val="36"/>
          <w:lang w:eastAsia="zh-CN"/>
        </w:rPr>
      </w:pPr>
      <w:r>
        <w:rPr>
          <w:rFonts w:hint="eastAsia" w:ascii="宋体" w:hAnsi="宋体" w:eastAsia="宋体" w:cs="宋体"/>
          <w:color w:val="auto"/>
          <w:sz w:val="28"/>
          <w:szCs w:val="28"/>
          <w:highlight w:val="none"/>
          <w:lang w:val="zh-CN" w:eastAsia="zh-CN"/>
        </w:rPr>
        <w:t>充分保护及利用村庄资源，依托太行山旅游带、封龙山组团、工贸创新组团等优势，夯实现有景区资源、生态田园、自然环境、农家百味等产业基础。规划村庄以旅游观光、生态休闲为主，通过规划整合提升，突出生态农业、休闲康养旅游的主题，打造生态宜居、旅游示范乡村。</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国土空间布局规划</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highlight w:val="none"/>
        </w:rPr>
      </w:pPr>
      <w:r>
        <w:rPr>
          <w:rFonts w:hint="eastAsia" w:ascii="宋体" w:hAnsi="宋体" w:eastAsia="宋体" w:cs="宋体"/>
          <w:sz w:val="28"/>
          <w:szCs w:val="36"/>
          <w:lang w:eastAsia="zh-CN"/>
        </w:rPr>
        <w:t>生态空间</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划定生态空间480.77公顷，其中生态保护红线范围内283.99公顷；</w:t>
      </w:r>
      <w:bookmarkStart w:id="0" w:name="_GoBack"/>
      <w:bookmarkEnd w:id="0"/>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将生态保护红线范围外的“其他草地、林地（生态林）、其他土地等地块划入一般生态空间。（196.78公顷）</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zh-CN" w:eastAsia="zh-CN"/>
        </w:rPr>
      </w:pPr>
      <w:r>
        <w:rPr>
          <w:rFonts w:hint="eastAsia" w:ascii="宋体" w:hAnsi="宋体" w:eastAsia="宋体" w:cs="宋体"/>
          <w:color w:val="auto"/>
          <w:sz w:val="28"/>
          <w:szCs w:val="28"/>
          <w:highlight w:val="none"/>
          <w:lang w:val="en-US" w:eastAsia="zh-CN"/>
        </w:rPr>
        <w:t>生态功能重要区域和生态环境敏感脆弱区域，严禁任意改变用途，一般生态功能区域，应限制开发利用。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8"/>
          <w:szCs w:val="36"/>
          <w:lang w:eastAsia="zh-CN"/>
        </w:rPr>
      </w:pPr>
      <w:r>
        <w:drawing>
          <wp:inline distT="0" distB="0" distL="114300" distR="114300">
            <wp:extent cx="4817745" cy="4070350"/>
            <wp:effectExtent l="0" t="0" r="1905" b="6350"/>
            <wp:docPr id="4" name="图片 3" descr="C:/Users/Administrator/Desktop/生态空间.JPG生态空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C:/Users/Administrator/Desktop/生态空间.JPG生态空间"/>
                    <pic:cNvPicPr>
                      <a:picLocks noChangeAspect="1"/>
                    </pic:cNvPicPr>
                  </pic:nvPicPr>
                  <pic:blipFill>
                    <a:blip r:embed="rId4"/>
                    <a:srcRect t="-248" b="363"/>
                    <a:stretch>
                      <a:fillRect/>
                    </a:stretch>
                  </pic:blipFill>
                  <pic:spPr>
                    <a:xfrm>
                      <a:off x="0" y="0"/>
                      <a:ext cx="4817745" cy="4070350"/>
                    </a:xfrm>
                    <a:prstGeom prst="rect">
                      <a:avLst/>
                    </a:prstGeom>
                  </pic:spPr>
                </pic:pic>
              </a:graphicData>
            </a:graphic>
          </wp:inline>
        </w:drawing>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农业空间</w:t>
      </w:r>
    </w:p>
    <w:p>
      <w:pPr>
        <w:pStyle w:val="4"/>
        <w:pageBreakBefore w:val="0"/>
        <w:widowControl w:val="0"/>
        <w:shd w:val="clear"/>
        <w:kinsoku/>
        <w:overflowPunct/>
        <w:autoSpaceDE/>
        <w:autoSpaceDN/>
        <w:bidi w:val="0"/>
        <w:spacing w:line="360" w:lineRule="auto"/>
        <w:ind w:left="0" w:leftChars="0" w:firstLine="0" w:firstLineChars="0"/>
        <w:jc w:val="center"/>
        <w:rPr>
          <w:rFonts w:hint="eastAsia" w:ascii="宋体" w:hAnsi="宋体" w:eastAsia="宋体" w:cs="宋体"/>
          <w:highlight w:val="none"/>
        </w:rPr>
      </w:pPr>
      <w:r>
        <w:drawing>
          <wp:inline distT="0" distB="0" distL="114300" distR="114300">
            <wp:extent cx="4829175" cy="4051300"/>
            <wp:effectExtent l="0" t="0" r="9525" b="6350"/>
            <wp:docPr id="2" name="图片 1" descr="C:/Users/Administrator/Desktop/农业空间.JPG农业空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农业空间.JPG农业空间"/>
                    <pic:cNvPicPr>
                      <a:picLocks noChangeAspect="1"/>
                    </pic:cNvPicPr>
                  </pic:nvPicPr>
                  <pic:blipFill>
                    <a:blip r:embed="rId5"/>
                    <a:srcRect t="314" b="230"/>
                    <a:stretch>
                      <a:fillRect/>
                    </a:stretch>
                  </pic:blipFill>
                  <pic:spPr>
                    <a:xfrm>
                      <a:off x="0" y="0"/>
                      <a:ext cx="4829175" cy="4051300"/>
                    </a:xfrm>
                    <a:prstGeom prst="rect">
                      <a:avLst/>
                    </a:prstGeom>
                  </pic:spPr>
                </pic:pic>
              </a:graphicData>
            </a:graphic>
          </wp:inline>
        </w:drawing>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划定农业空间183.48公顷，其中永久基本农田面积47.00公顷；</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划定一般农业空间，将生态空间、永久基本农田和建设空间范围外的“耕地、园地、设施农用地、沟渠、坑塘水面”等地块，划入一般农业空间。（136.48公顷）</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sz w:val="28"/>
          <w:szCs w:val="36"/>
          <w:lang w:eastAsia="zh-CN"/>
        </w:rPr>
      </w:pPr>
      <w:r>
        <w:rPr>
          <w:rFonts w:hint="eastAsia" w:ascii="宋体" w:hAnsi="宋体" w:eastAsia="宋体" w:cs="宋体"/>
          <w:color w:val="auto"/>
          <w:sz w:val="28"/>
          <w:szCs w:val="28"/>
          <w:highlight w:val="none"/>
          <w:lang w:val="en-US" w:eastAsia="zh-CN"/>
        </w:rPr>
        <w:t>永久基本农田一经划定，不得擅自占用和改变其用途。</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560" w:firstLineChars="200"/>
        <w:jc w:val="both"/>
        <w:textAlignment w:val="auto"/>
        <w:rPr>
          <w:rFonts w:hint="eastAsia" w:ascii="宋体" w:hAnsi="宋体" w:eastAsia="宋体" w:cs="宋体"/>
          <w:b/>
          <w:bCs/>
          <w:color w:val="auto"/>
          <w:sz w:val="30"/>
          <w:szCs w:val="30"/>
          <w:highlight w:val="none"/>
          <w:lang w:eastAsia="zh-CN"/>
        </w:rPr>
      </w:pPr>
      <w:r>
        <w:rPr>
          <w:rFonts w:hint="eastAsia" w:ascii="宋体" w:hAnsi="宋体" w:eastAsia="宋体" w:cs="宋体"/>
          <w:sz w:val="28"/>
          <w:szCs w:val="36"/>
          <w:lang w:eastAsia="zh-CN"/>
        </w:rPr>
        <w:t>建设空间</w:t>
      </w:r>
    </w:p>
    <w:p>
      <w:pPr>
        <w:pStyle w:val="4"/>
        <w:pageBreakBefore w:val="0"/>
        <w:widowControl w:val="0"/>
        <w:shd w:val="clear"/>
        <w:kinsoku/>
        <w:overflowPunct/>
        <w:autoSpaceDE/>
        <w:autoSpaceDN/>
        <w:bidi w:val="0"/>
        <w:spacing w:line="360" w:lineRule="auto"/>
        <w:ind w:left="0" w:leftChars="0" w:firstLine="0" w:firstLineChars="0"/>
        <w:jc w:val="center"/>
        <w:rPr>
          <w:rFonts w:hint="eastAsia" w:ascii="宋体" w:hAnsi="宋体" w:eastAsia="宋体" w:cs="宋体"/>
          <w:highlight w:val="none"/>
        </w:rPr>
      </w:pPr>
      <w:r>
        <w:rPr>
          <w:sz w:val="28"/>
        </w:rPr>
        <mc:AlternateContent>
          <mc:Choice Requires="wps">
            <w:drawing>
              <wp:anchor distT="0" distB="0" distL="114300" distR="114300" simplePos="0" relativeHeight="251661312" behindDoc="0" locked="0" layoutInCell="1" allowOverlap="1">
                <wp:simplePos x="0" y="0"/>
                <wp:positionH relativeFrom="column">
                  <wp:posOffset>1720215</wp:posOffset>
                </wp:positionH>
                <wp:positionV relativeFrom="paragraph">
                  <wp:posOffset>1630045</wp:posOffset>
                </wp:positionV>
                <wp:extent cx="29210" cy="87630"/>
                <wp:effectExtent l="0" t="0" r="8890" b="7620"/>
                <wp:wrapNone/>
                <wp:docPr id="8" name="任意多边形 8"/>
                <wp:cNvGraphicFramePr/>
                <a:graphic xmlns:a="http://schemas.openxmlformats.org/drawingml/2006/main">
                  <a:graphicData uri="http://schemas.microsoft.com/office/word/2010/wordprocessingShape">
                    <wps:wsp>
                      <wps:cNvSpPr/>
                      <wps:spPr>
                        <a:xfrm>
                          <a:off x="2863215" y="4921885"/>
                          <a:ext cx="29210" cy="87630"/>
                        </a:xfrm>
                        <a:custGeom>
                          <a:avLst/>
                          <a:gdLst>
                            <a:gd name="connisteX0" fmla="*/ 0 w 29210"/>
                            <a:gd name="connsiteY0" fmla="*/ 0 h 87630"/>
                            <a:gd name="connisteX1" fmla="*/ 26035 w 29210"/>
                            <a:gd name="connsiteY1" fmla="*/ 0 h 87630"/>
                            <a:gd name="connisteX2" fmla="*/ 29210 w 29210"/>
                            <a:gd name="connsiteY2" fmla="*/ 87630 h 87630"/>
                            <a:gd name="connisteX3" fmla="*/ 10795 w 29210"/>
                            <a:gd name="connsiteY3" fmla="*/ 83820 h 87630"/>
                            <a:gd name="connisteX4" fmla="*/ 0 w 29210"/>
                            <a:gd name="connsiteY4" fmla="*/ 0 h 87630"/>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29210" h="87630">
                              <a:moveTo>
                                <a:pt x="0" y="0"/>
                              </a:moveTo>
                              <a:lnTo>
                                <a:pt x="26035" y="0"/>
                              </a:lnTo>
                              <a:lnTo>
                                <a:pt x="29210" y="87630"/>
                              </a:lnTo>
                              <a:lnTo>
                                <a:pt x="10795" y="83820"/>
                              </a:lnTo>
                              <a:lnTo>
                                <a:pt x="0" y="0"/>
                              </a:lnTo>
                              <a:close/>
                            </a:path>
                          </a:pathLst>
                        </a:cu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135.45pt;margin-top:128.35pt;height:6.9pt;width:2.3pt;z-index:251661312;mso-width-relative:page;mso-height-relative:page;" fillcolor="#FF0000" filled="t" stroked="f" coordsize="29210,87630" o:gfxdata="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q8iHQdoAAAALAQAADwAAAAAAAAABACAAAAAiAAAAZHJzL2Rvd25yZXYueG1sUEsBAhQA&#10;FAAAAAgAh07iQDhjyr8NAwAAIAgAAA4AAAAAAAAAAQAgAAAAKQEAAGRycy9lMm9Eb2MueG1sUEsF&#10;BgAAAAAGAAYAWQEAAKgGAAAAAA==&#10;" path="m0,0l26035,0,29210,87630,10795,83820,0,0xe">
                <v:path o:connectlocs="0,0;26035,0;29210,87630;10795,83820;0,0" o:connectangles="0,0,0,0,0"/>
                <v:fill on="t" focussize="0,0"/>
                <v:stroke on="f" weight="1pt" miterlimit="8" joinstyle="miter"/>
                <v:imagedata o:title=""/>
                <o:lock v:ext="edit" aspectratio="f"/>
              </v:shape>
            </w:pict>
          </mc:Fallback>
        </mc:AlternateContent>
      </w:r>
      <w:r>
        <w:drawing>
          <wp:inline distT="0" distB="0" distL="114300" distR="114300">
            <wp:extent cx="4735830" cy="3996690"/>
            <wp:effectExtent l="0" t="0" r="7620" b="3810"/>
            <wp:docPr id="1" name="图片 1" descr="C:/Users/Administrator/Desktop/建设空间.JPG建设空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strator/Desktop/建设空间.JPG建设空间"/>
                    <pic:cNvPicPr>
                      <a:picLocks noChangeAspect="1"/>
                    </pic:cNvPicPr>
                  </pic:nvPicPr>
                  <pic:blipFill>
                    <a:blip r:embed="rId6"/>
                    <a:srcRect t="-164" b="129"/>
                    <a:stretch>
                      <a:fillRect/>
                    </a:stretch>
                  </pic:blipFill>
                  <pic:spPr>
                    <a:xfrm>
                      <a:off x="0" y="0"/>
                      <a:ext cx="4735830" cy="3996690"/>
                    </a:xfrm>
                    <a:prstGeom prst="rect">
                      <a:avLst/>
                    </a:prstGeom>
                  </pic:spPr>
                </pic:pic>
              </a:graphicData>
            </a:graphic>
          </wp:inline>
        </w:drawing>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落实划定的城镇开发边界261.67公顷。</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结合三调、土规、生态保护和未来产业发展，按照土地集约利用的原则，在现状村庄居民点集中布局建设用地，合理划定村庄建设边界。（72.98公顷）</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商业服务业用地容积率≤1.5，建筑密度≤50%，绿地率≥20%，建筑高度≤36米或≤24米；</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物流仓储用地容积率≤1.8，建筑密度≤60%，绿地率≥20%，建筑高度≤20米。</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国土规划用途与结构调整</w:t>
      </w: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27"/>
        <w:gridCol w:w="1554"/>
        <w:gridCol w:w="1214"/>
        <w:gridCol w:w="900"/>
        <w:gridCol w:w="1103"/>
        <w:gridCol w:w="876"/>
        <w:gridCol w:w="987"/>
        <w:gridCol w:w="9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村域国土空间功能结构调整表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用地类型</w:t>
            </w:r>
          </w:p>
        </w:tc>
        <w:tc>
          <w:tcPr>
            <w:tcW w:w="12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规划基期年</w:t>
            </w:r>
          </w:p>
        </w:tc>
        <w:tc>
          <w:tcPr>
            <w:tcW w:w="11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规划目标年</w:t>
            </w:r>
          </w:p>
        </w:tc>
        <w:tc>
          <w:tcPr>
            <w:tcW w:w="114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增减变化情况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4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面积</w:t>
            </w:r>
          </w:p>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（hm²）</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比重</w:t>
            </w:r>
          </w:p>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面积</w:t>
            </w:r>
          </w:p>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（hm²）</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比重（%）</w:t>
            </w:r>
          </w:p>
        </w:tc>
        <w:tc>
          <w:tcPr>
            <w:tcW w:w="5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面积</w:t>
            </w:r>
          </w:p>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（hm²）</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比重（%）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耕地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102.86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10.06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103.23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10.10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0.37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园地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74.45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7.28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62.20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6.08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-12.25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26.89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林地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379.48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37.13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375.26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36.71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-4.22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9.27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草地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108.28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10.59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99.77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9.76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-8.51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18.68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农业设施建设用地</w:t>
            </w:r>
          </w:p>
        </w:tc>
        <w:tc>
          <w:tcPr>
            <w:tcW w:w="9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村道用地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6.19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0.61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5.98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0.58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-0.21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0.46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p>
        </w:tc>
        <w:tc>
          <w:tcPr>
            <w:tcW w:w="9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种植设施建设用地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0.21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0.02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7.14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0.70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6.93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15.21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p>
        </w:tc>
        <w:tc>
          <w:tcPr>
            <w:tcW w:w="9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畜禽养殖设施建设用地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0.74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0.07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0.22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0.02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-0.52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1.14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p>
        </w:tc>
        <w:tc>
          <w:tcPr>
            <w:tcW w:w="9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水产养殖设施建设用地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城乡建设用地</w:t>
            </w:r>
          </w:p>
        </w:tc>
        <w:tc>
          <w:tcPr>
            <w:tcW w:w="9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城镇建设用地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261.67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25.60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261.67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25.60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p>
        </w:tc>
        <w:tc>
          <w:tcPr>
            <w:tcW w:w="9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村庄建设用地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59.18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5.79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72.98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7.14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13.80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30.29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区域基础设施用地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21.85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2.14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21.84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2.14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-0.01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其他建设用地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0.77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0.08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2.82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0.28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2.05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4.50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陆地水域</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4.90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0.48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8.35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0.82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3.45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-7.57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其他土地</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1.57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0.15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0.70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0.07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-0.87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1.92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5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合计</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1022.16 </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100.00 </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1022.16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100.00 </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0.00 </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100.00 </w:t>
            </w:r>
          </w:p>
        </w:tc>
      </w:tr>
    </w:tbl>
    <w:p>
      <w:pPr>
        <w:pageBreakBefore w:val="0"/>
        <w:widowControl w:val="0"/>
        <w:shd w:val="clear"/>
        <w:kinsoku/>
        <w:overflowPunct/>
        <w:autoSpaceDE/>
        <w:autoSpaceDN/>
        <w:bidi w:val="0"/>
        <w:spacing w:beforeLines="0" w:line="360" w:lineRule="auto"/>
        <w:ind w:left="0" w:firstLine="420" w:firstLineChars="200"/>
        <w:rPr>
          <w:sz w:val="21"/>
        </w:rPr>
      </w:pPr>
    </w:p>
    <w:p>
      <w:pPr>
        <w:rPr>
          <w:sz w:val="21"/>
        </w:rPr>
      </w:pPr>
      <w:r>
        <w:rPr>
          <w:sz w:val="21"/>
        </w:rPr>
        <w:br w:type="page"/>
      </w:r>
    </w:p>
    <w:p>
      <w:pPr>
        <w:pageBreakBefore w:val="0"/>
        <w:widowControl w:val="0"/>
        <w:shd w:val="clear"/>
        <w:kinsoku/>
        <w:overflowPunct/>
        <w:autoSpaceDE/>
        <w:autoSpaceDN/>
        <w:bidi w:val="0"/>
        <w:spacing w:beforeLines="0" w:line="360" w:lineRule="auto"/>
        <w:rPr>
          <w:rFonts w:hint="eastAsia" w:eastAsiaTheme="minorEastAsia"/>
          <w:sz w:val="21"/>
          <w:lang w:eastAsia="zh-CN"/>
        </w:rPr>
      </w:pPr>
      <w:r>
        <w:rPr>
          <w:sz w:val="21"/>
        </w:rPr>
        <mc:AlternateContent>
          <mc:Choice Requires="wps">
            <w:drawing>
              <wp:anchor distT="0" distB="0" distL="114300" distR="114300" simplePos="0" relativeHeight="251659264" behindDoc="0" locked="0" layoutInCell="1" allowOverlap="1">
                <wp:simplePos x="0" y="0"/>
                <wp:positionH relativeFrom="column">
                  <wp:posOffset>6985</wp:posOffset>
                </wp:positionH>
                <wp:positionV relativeFrom="paragraph">
                  <wp:posOffset>3874770</wp:posOffset>
                </wp:positionV>
                <wp:extent cx="825500" cy="245110"/>
                <wp:effectExtent l="4445" t="4445" r="8255" b="17145"/>
                <wp:wrapNone/>
                <wp:docPr id="6" name="矩形 6"/>
                <wp:cNvGraphicFramePr/>
                <a:graphic xmlns:a="http://schemas.openxmlformats.org/drawingml/2006/main">
                  <a:graphicData uri="http://schemas.microsoft.com/office/word/2010/wordprocessingShape">
                    <wps:wsp>
                      <wps:cNvSpPr/>
                      <wps:spPr>
                        <a:xfrm>
                          <a:off x="5015230" y="980440"/>
                          <a:ext cx="825500" cy="245110"/>
                        </a:xfrm>
                        <a:prstGeom prst="rect">
                          <a:avLst/>
                        </a:prstGeom>
                        <a:solidFill>
                          <a:schemeClr val="bg1"/>
                        </a:solidFill>
                        <a:ln w="381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keepNext w:val="0"/>
                              <w:keepLines w:val="0"/>
                              <w:pageBreakBefore w:val="0"/>
                              <w:widowControl w:val="0"/>
                              <w:kinsoku/>
                              <w:wordWrap/>
                              <w:overflowPunct/>
                              <w:topLinePunct w:val="0"/>
                              <w:bidi w:val="0"/>
                              <w:adjustRightInd/>
                              <w:snapToGrid/>
                              <w:spacing w:line="240" w:lineRule="auto"/>
                              <w:jc w:val="center"/>
                              <w:textAlignment w:val="auto"/>
                              <w:rPr>
                                <w:rFonts w:hint="eastAsia" w:eastAsiaTheme="minorEastAsia"/>
                                <w:color w:val="000000" w:themeColor="text1"/>
                                <w:sz w:val="11"/>
                                <w:szCs w:val="11"/>
                                <w:lang w:eastAsia="zh-CN"/>
                                <w14:textFill>
                                  <w14:solidFill>
                                    <w14:schemeClr w14:val="tx1"/>
                                  </w14:solidFill>
                                </w14:textFill>
                              </w:rPr>
                            </w:pPr>
                            <w:r>
                              <w:rPr>
                                <w:rFonts w:hint="eastAsia"/>
                                <w:color w:val="000000" w:themeColor="text1"/>
                                <w:sz w:val="11"/>
                                <w:szCs w:val="11"/>
                                <w:lang w:eastAsia="zh-CN"/>
                                <w14:textFill>
                                  <w14:solidFill>
                                    <w14:schemeClr w14:val="tx1"/>
                                  </w14:solidFill>
                                </w14:textFill>
                              </w:rPr>
                              <w:t>国土空间现状图</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0.55pt;margin-top:305.1pt;height:19.3pt;width:65pt;z-index:251659264;v-text-anchor:middle;mso-width-relative:page;mso-height-relative:page;" fillcolor="#FFFFFF [3212]" filled="t" stroked="t" coordsize="21600,21600" o:gfxdata="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D5vnhc1AAAAAkBAAAPAAAAAAAAAAEAIAAAACIA&#10;AABkcnMvZG93bnJldi54bWxQSwECFAAUAAAACACHTuJAVNVP+H8CAAAIBQAADgAAAAAAAAABACAA&#10;AAAjAQAAZHJzL2Uyb0RvYy54bWxQSwUGAAAAAAYABgBZAQAAFAYAAAAA&#10;">
                <v:fill on="t" focussize="0,0"/>
                <v:stroke weight="0.3pt" color="#000000 [3213]" miterlimit="8" joinstyle="miter"/>
                <v:imagedata o:title=""/>
                <o:lock v:ext="edit" aspectratio="f"/>
                <v:textbox>
                  <w:txbxContent>
                    <w:p>
                      <w:pPr>
                        <w:keepNext w:val="0"/>
                        <w:keepLines w:val="0"/>
                        <w:pageBreakBefore w:val="0"/>
                        <w:widowControl w:val="0"/>
                        <w:kinsoku/>
                        <w:wordWrap/>
                        <w:overflowPunct/>
                        <w:topLinePunct w:val="0"/>
                        <w:bidi w:val="0"/>
                        <w:adjustRightInd/>
                        <w:snapToGrid/>
                        <w:spacing w:line="240" w:lineRule="auto"/>
                        <w:jc w:val="center"/>
                        <w:textAlignment w:val="auto"/>
                        <w:rPr>
                          <w:rFonts w:hint="eastAsia" w:eastAsiaTheme="minorEastAsia"/>
                          <w:color w:val="000000" w:themeColor="text1"/>
                          <w:sz w:val="11"/>
                          <w:szCs w:val="11"/>
                          <w:lang w:eastAsia="zh-CN"/>
                          <w14:textFill>
                            <w14:solidFill>
                              <w14:schemeClr w14:val="tx1"/>
                            </w14:solidFill>
                          </w14:textFill>
                        </w:rPr>
                      </w:pPr>
                      <w:r>
                        <w:rPr>
                          <w:rFonts w:hint="eastAsia"/>
                          <w:color w:val="000000" w:themeColor="text1"/>
                          <w:sz w:val="11"/>
                          <w:szCs w:val="11"/>
                          <w:lang w:eastAsia="zh-CN"/>
                          <w14:textFill>
                            <w14:solidFill>
                              <w14:schemeClr w14:val="tx1"/>
                            </w14:solidFill>
                          </w14:textFill>
                        </w:rPr>
                        <w:t>国土空间现状图</w:t>
                      </w:r>
                    </w:p>
                  </w:txbxContent>
                </v:textbox>
              </v:rect>
            </w:pict>
          </mc:Fallback>
        </mc:AlternateContent>
      </w:r>
      <w:r>
        <w:rPr>
          <w:rFonts w:hint="eastAsia" w:eastAsiaTheme="minorEastAsia"/>
          <w:sz w:val="21"/>
          <w:lang w:eastAsia="zh-CN"/>
        </w:rPr>
        <w:drawing>
          <wp:inline distT="0" distB="0" distL="114300" distR="114300">
            <wp:extent cx="4826635" cy="4076700"/>
            <wp:effectExtent l="0" t="0" r="12065" b="0"/>
            <wp:docPr id="9" name="图片 9" descr="02村域国土空间现状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02村域国土空间现状图"/>
                    <pic:cNvPicPr>
                      <a:picLocks noChangeAspect="1"/>
                    </pic:cNvPicPr>
                  </pic:nvPicPr>
                  <pic:blipFill>
                    <a:blip r:embed="rId7"/>
                    <a:stretch>
                      <a:fillRect/>
                    </a:stretch>
                  </pic:blipFill>
                  <pic:spPr>
                    <a:xfrm>
                      <a:off x="0" y="0"/>
                      <a:ext cx="4826635" cy="4076700"/>
                    </a:xfrm>
                    <a:prstGeom prst="rect">
                      <a:avLst/>
                    </a:prstGeom>
                  </pic:spPr>
                </pic:pic>
              </a:graphicData>
            </a:graphic>
          </wp:inline>
        </w:drawing>
      </w:r>
    </w:p>
    <w:p>
      <w:pPr>
        <w:pageBreakBefore w:val="0"/>
        <w:widowControl w:val="0"/>
        <w:shd w:val="clear"/>
        <w:kinsoku/>
        <w:overflowPunct/>
        <w:autoSpaceDE/>
        <w:autoSpaceDN/>
        <w:bidi w:val="0"/>
        <w:spacing w:beforeLines="0" w:line="360" w:lineRule="auto"/>
        <w:rPr>
          <w:rFonts w:hint="eastAsia" w:eastAsiaTheme="minorEastAsia"/>
          <w:sz w:val="21"/>
          <w:lang w:eastAsia="zh-CN"/>
        </w:rPr>
      </w:pPr>
      <w:r>
        <w:rPr>
          <w:sz w:val="21"/>
        </w:rPr>
        <mc:AlternateContent>
          <mc:Choice Requires="wps">
            <w:drawing>
              <wp:anchor distT="0" distB="0" distL="114300" distR="114300" simplePos="0" relativeHeight="251662336" behindDoc="0" locked="0" layoutInCell="1" allowOverlap="1">
                <wp:simplePos x="0" y="0"/>
                <wp:positionH relativeFrom="column">
                  <wp:posOffset>6350</wp:posOffset>
                </wp:positionH>
                <wp:positionV relativeFrom="paragraph">
                  <wp:posOffset>3883025</wp:posOffset>
                </wp:positionV>
                <wp:extent cx="825500" cy="245110"/>
                <wp:effectExtent l="4445" t="4445" r="8255" b="17145"/>
                <wp:wrapNone/>
                <wp:docPr id="12" name="矩形 12"/>
                <wp:cNvGraphicFramePr/>
                <a:graphic xmlns:a="http://schemas.openxmlformats.org/drawingml/2006/main">
                  <a:graphicData uri="http://schemas.microsoft.com/office/word/2010/wordprocessingShape">
                    <wps:wsp>
                      <wps:cNvSpPr/>
                      <wps:spPr>
                        <a:xfrm>
                          <a:off x="0" y="0"/>
                          <a:ext cx="825500" cy="245110"/>
                        </a:xfrm>
                        <a:prstGeom prst="rect">
                          <a:avLst/>
                        </a:prstGeom>
                        <a:solidFill>
                          <a:schemeClr val="bg1"/>
                        </a:solidFill>
                        <a:ln w="381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keepNext w:val="0"/>
                              <w:keepLines w:val="0"/>
                              <w:pageBreakBefore w:val="0"/>
                              <w:widowControl w:val="0"/>
                              <w:kinsoku/>
                              <w:wordWrap/>
                              <w:overflowPunct/>
                              <w:topLinePunct w:val="0"/>
                              <w:bidi w:val="0"/>
                              <w:adjustRightInd/>
                              <w:snapToGrid/>
                              <w:spacing w:line="240" w:lineRule="auto"/>
                              <w:jc w:val="center"/>
                              <w:textAlignment w:val="auto"/>
                              <w:rPr>
                                <w:rFonts w:hint="eastAsia" w:eastAsiaTheme="minorEastAsia"/>
                                <w:color w:val="000000" w:themeColor="text1"/>
                                <w:sz w:val="11"/>
                                <w:szCs w:val="11"/>
                                <w:lang w:eastAsia="zh-CN"/>
                                <w14:textFill>
                                  <w14:solidFill>
                                    <w14:schemeClr w14:val="tx1"/>
                                  </w14:solidFill>
                                </w14:textFill>
                              </w:rPr>
                            </w:pPr>
                            <w:r>
                              <w:rPr>
                                <w:rFonts w:hint="eastAsia"/>
                                <w:color w:val="000000" w:themeColor="text1"/>
                                <w:sz w:val="11"/>
                                <w:szCs w:val="11"/>
                                <w:lang w:eastAsia="zh-CN"/>
                                <w14:textFill>
                                  <w14:solidFill>
                                    <w14:schemeClr w14:val="tx1"/>
                                  </w14:solidFill>
                                </w14:textFill>
                              </w:rPr>
                              <w:t>国土空间规划图</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0.5pt;margin-top:305.75pt;height:19.3pt;width:65pt;z-index:251662336;v-text-anchor:middle;mso-width-relative:page;mso-height-relative:page;" fillcolor="#FFFFFF [3212]" filled="t" stroked="t" coordsize="21600,21600" o:gfxdata="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LuE/EfUAAAACQEAAA8AAAAAAAAAAQAgAAAAIgAAAGRycy9kb3du&#10;cmV2LnhtbFBLAQIUABQAAAAIAIdO4kDNHiYldQIAAP8EAAAOAAAAAAAAAAEAIAAAACMBAABkcnMv&#10;ZTJvRG9jLnhtbFBLBQYAAAAABgAGAFkBAAAKBgAAAAA=&#10;">
                <v:fill on="t" focussize="0,0"/>
                <v:stroke weight="0.3pt" color="#000000 [3213]" miterlimit="8" joinstyle="miter"/>
                <v:imagedata o:title=""/>
                <o:lock v:ext="edit" aspectratio="f"/>
                <v:textbox>
                  <w:txbxContent>
                    <w:p>
                      <w:pPr>
                        <w:keepNext w:val="0"/>
                        <w:keepLines w:val="0"/>
                        <w:pageBreakBefore w:val="0"/>
                        <w:widowControl w:val="0"/>
                        <w:kinsoku/>
                        <w:wordWrap/>
                        <w:overflowPunct/>
                        <w:topLinePunct w:val="0"/>
                        <w:bidi w:val="0"/>
                        <w:adjustRightInd/>
                        <w:snapToGrid/>
                        <w:spacing w:line="240" w:lineRule="auto"/>
                        <w:jc w:val="center"/>
                        <w:textAlignment w:val="auto"/>
                        <w:rPr>
                          <w:rFonts w:hint="eastAsia" w:eastAsiaTheme="minorEastAsia"/>
                          <w:color w:val="000000" w:themeColor="text1"/>
                          <w:sz w:val="11"/>
                          <w:szCs w:val="11"/>
                          <w:lang w:eastAsia="zh-CN"/>
                          <w14:textFill>
                            <w14:solidFill>
                              <w14:schemeClr w14:val="tx1"/>
                            </w14:solidFill>
                          </w14:textFill>
                        </w:rPr>
                      </w:pPr>
                      <w:r>
                        <w:rPr>
                          <w:rFonts w:hint="eastAsia"/>
                          <w:color w:val="000000" w:themeColor="text1"/>
                          <w:sz w:val="11"/>
                          <w:szCs w:val="11"/>
                          <w:lang w:eastAsia="zh-CN"/>
                          <w14:textFill>
                            <w14:solidFill>
                              <w14:schemeClr w14:val="tx1"/>
                            </w14:solidFill>
                          </w14:textFill>
                        </w:rPr>
                        <w:t>国土空间规划图</w:t>
                      </w:r>
                    </w:p>
                  </w:txbxContent>
                </v:textbox>
              </v:rect>
            </w:pict>
          </mc:Fallback>
        </mc:AlternateContent>
      </w:r>
      <w:r>
        <w:rPr>
          <w:rFonts w:hint="eastAsia" w:eastAsiaTheme="minorEastAsia"/>
          <w:sz w:val="21"/>
          <w:lang w:eastAsia="zh-CN"/>
        </w:rPr>
        <w:drawing>
          <wp:inline distT="0" distB="0" distL="114300" distR="114300">
            <wp:extent cx="4826635" cy="4076700"/>
            <wp:effectExtent l="0" t="0" r="12065" b="0"/>
            <wp:docPr id="11" name="图片 11" descr="C:/Users/Administrator/Desktop/03村域国土空间规划图.JPG03村域国土空间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Users/Administrator/Desktop/03村域国土空间规划图.JPG03村域国土空间规划图"/>
                    <pic:cNvPicPr>
                      <a:picLocks noChangeAspect="1"/>
                    </pic:cNvPicPr>
                  </pic:nvPicPr>
                  <pic:blipFill>
                    <a:blip r:embed="rId8"/>
                    <a:srcRect t="132" b="132"/>
                    <a:stretch>
                      <a:fillRect/>
                    </a:stretch>
                  </pic:blipFill>
                  <pic:spPr>
                    <a:xfrm>
                      <a:off x="0" y="0"/>
                      <a:ext cx="4826635" cy="4076700"/>
                    </a:xfrm>
                    <a:prstGeom prst="rect">
                      <a:avLst/>
                    </a:prstGeom>
                  </pic:spPr>
                </pic:pic>
              </a:graphicData>
            </a:graphic>
          </wp:inline>
        </w:drawing>
      </w:r>
    </w:p>
    <w:p>
      <w:pPr>
        <w:rPr>
          <w:rFonts w:hint="eastAsia" w:ascii="宋体" w:hAnsi="宋体" w:eastAsia="宋体" w:cs="宋体"/>
          <w:color w:val="auto"/>
          <w:sz w:val="28"/>
          <w:szCs w:val="28"/>
          <w:highlight w:val="none"/>
          <w:lang w:val="en-US" w:eastAsia="zh-CN"/>
        </w:rPr>
      </w:pPr>
      <w:r>
        <w:rPr>
          <w:rFonts w:hint="eastAsia" w:eastAsiaTheme="minorEastAsia"/>
          <w:sz w:val="21"/>
          <w:lang w:eastAsia="zh-CN"/>
        </w:rPr>
        <w:br w:type="page"/>
      </w:r>
      <w:r>
        <w:rPr>
          <w:sz w:val="21"/>
        </w:rPr>
        <mc:AlternateContent>
          <mc:Choice Requires="wps">
            <w:drawing>
              <wp:anchor distT="0" distB="0" distL="114300" distR="114300" simplePos="0" relativeHeight="251660288" behindDoc="0" locked="0" layoutInCell="1" allowOverlap="1">
                <wp:simplePos x="0" y="0"/>
                <wp:positionH relativeFrom="column">
                  <wp:posOffset>3882390</wp:posOffset>
                </wp:positionH>
                <wp:positionV relativeFrom="paragraph">
                  <wp:posOffset>3211195</wp:posOffset>
                </wp:positionV>
                <wp:extent cx="1754505" cy="284480"/>
                <wp:effectExtent l="4445" t="4445" r="12700" b="15875"/>
                <wp:wrapNone/>
                <wp:docPr id="7" name="矩形 7"/>
                <wp:cNvGraphicFramePr/>
                <a:graphic xmlns:a="http://schemas.openxmlformats.org/drawingml/2006/main">
                  <a:graphicData uri="http://schemas.microsoft.com/office/word/2010/wordprocessingShape">
                    <wps:wsp>
                      <wps:cNvSpPr/>
                      <wps:spPr>
                        <a:xfrm>
                          <a:off x="0" y="0"/>
                          <a:ext cx="1754505" cy="284480"/>
                        </a:xfrm>
                        <a:prstGeom prst="rect">
                          <a:avLst/>
                        </a:prstGeom>
                        <a:solidFill>
                          <a:schemeClr val="bg1"/>
                        </a:solidFill>
                        <a:ln w="381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rFonts w:hint="eastAsia" w:eastAsiaTheme="minorEastAsia"/>
                                <w:color w:val="000000" w:themeColor="text1"/>
                                <w:sz w:val="16"/>
                                <w:szCs w:val="20"/>
                                <w:lang w:eastAsia="zh-CN"/>
                                <w14:textFill>
                                  <w14:solidFill>
                                    <w14:schemeClr w14:val="tx1"/>
                                  </w14:solidFill>
                                </w14:textFill>
                              </w:rPr>
                            </w:pPr>
                            <w:r>
                              <w:rPr>
                                <w:rFonts w:hint="eastAsia"/>
                                <w:color w:val="000000" w:themeColor="text1"/>
                                <w:sz w:val="16"/>
                                <w:szCs w:val="20"/>
                                <w:lang w:eastAsia="zh-CN"/>
                                <w14:textFill>
                                  <w14:solidFill>
                                    <w14:schemeClr w14:val="tx1"/>
                                  </w14:solidFill>
                                </w14:textFill>
                              </w:rPr>
                              <w:t>国土空间规划图</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05.7pt;margin-top:252.85pt;height:22.4pt;width:138.15pt;z-index:251660288;v-text-anchor:middle;mso-width-relative:page;mso-height-relative:page;" fillcolor="#FFFFFF [3212]" filled="t" stroked="t" coordsize="21600,21600" o:gfxdata="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&#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N5eJRnYAAAACwEAAA8AAAAAAAAAAQAgAAAAIgAAAGRy&#10;cy9kb3ducmV2LnhtbFBLAQIUABQAAAAIAIdO4kC49ihWdwIAAP4EAAAOAAAAAAAAAAEAIAAAACcB&#10;AABkcnMvZTJvRG9jLnhtbFBLBQYAAAAABgAGAFkBAAAQBgAAAAA=&#10;">
                <v:fill on="t" focussize="0,0"/>
                <v:stroke weight="0.3pt" color="#000000 [3213]" miterlimit="8" joinstyle="miter"/>
                <v:imagedata o:title=""/>
                <o:lock v:ext="edit" aspectratio="f"/>
                <v:textbox>
                  <w:txbxContent>
                    <w:p>
                      <w:pPr>
                        <w:jc w:val="center"/>
                        <w:rPr>
                          <w:rFonts w:hint="eastAsia" w:eastAsiaTheme="minorEastAsia"/>
                          <w:color w:val="000000" w:themeColor="text1"/>
                          <w:sz w:val="16"/>
                          <w:szCs w:val="20"/>
                          <w:lang w:eastAsia="zh-CN"/>
                          <w14:textFill>
                            <w14:solidFill>
                              <w14:schemeClr w14:val="tx1"/>
                            </w14:solidFill>
                          </w14:textFill>
                        </w:rPr>
                      </w:pPr>
                      <w:r>
                        <w:rPr>
                          <w:rFonts w:hint="eastAsia"/>
                          <w:color w:val="000000" w:themeColor="text1"/>
                          <w:sz w:val="16"/>
                          <w:szCs w:val="20"/>
                          <w:lang w:eastAsia="zh-CN"/>
                          <w14:textFill>
                            <w14:solidFill>
                              <w14:schemeClr w14:val="tx1"/>
                            </w14:solidFill>
                          </w14:textFill>
                        </w:rPr>
                        <w:t>国土空间规划图</w:t>
                      </w:r>
                    </w:p>
                  </w:txbxContent>
                </v:textbox>
              </v:rect>
            </w:pict>
          </mc:Fallback>
        </mc:AlternateConten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产业发展布局结构</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zh-CN" w:eastAsia="zh-CN"/>
        </w:rPr>
      </w:pPr>
      <w:r>
        <w:rPr>
          <w:rFonts w:hint="eastAsia" w:ascii="宋体" w:hAnsi="宋体" w:eastAsia="宋体" w:cs="宋体"/>
          <w:color w:val="auto"/>
          <w:sz w:val="28"/>
          <w:szCs w:val="28"/>
          <w:highlight w:val="none"/>
          <w:lang w:val="zh-CN" w:eastAsia="zh-CN"/>
        </w:rPr>
        <w:t>提升一产品质、促进第三产业、带动二产发展，形成“1+2+3”融合发展。</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zh-CN" w:eastAsia="zh-CN"/>
        </w:rPr>
      </w:pPr>
      <w:r>
        <w:rPr>
          <w:rFonts w:hint="eastAsia" w:ascii="宋体" w:hAnsi="宋体" w:eastAsia="宋体" w:cs="宋体"/>
          <w:color w:val="auto"/>
          <w:sz w:val="28"/>
          <w:szCs w:val="28"/>
          <w:highlight w:val="none"/>
          <w:lang w:val="zh-CN" w:eastAsia="zh-CN"/>
        </w:rPr>
        <w:t>依托现状发展特色产业发展布局，形成“一线、九片区”的总体发展格局:“一线”：山前大道旅游路线；“九片区”：城镇建设区、高效农业种植区、乡风民俗体验区、自然风貌保护区、山体风貌旅游区、特色林果种植区、绿化苗木种植区、龙泉湖城镇协调发展区、水上活动娱乐区。</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公共服务设施规划</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按照《村庄规划技术规范》，村庄公共服务设施用地包括农村社区服务设施用地、公共管理与公共服务设施用地，其中农村社区服务设施用地包括村委会、文化活动室、小型体育活动场所、卫生服务站、农村商店及小型超市、农村电商服务站；公共管理与公共服务设施用地包含小学、幼儿园。</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道路交通规划</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对村内道路进行修整，规划后村内干路宽度为10米、8米和6米，支路宽度5米，巷道为2-4米。</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主要道路应设置照明设施，道路两侧进行绿化。</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道路路面类型：道路为混凝土或沥青路面，宅间路可因地制宜选取简易材料铺装，如卵石或石板路面。</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公用设施规划</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村庄与鹿泉区、铜冶镇实现给水、排水、燃气、供电通信等基础设施的共建共享。</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全域用地管控规划</w:t>
      </w:r>
    </w:p>
    <w:p>
      <w:pPr>
        <w:pageBreakBefore w:val="0"/>
        <w:widowControl w:val="0"/>
        <w:shd w:val="clear"/>
        <w:kinsoku/>
        <w:overflowPunct/>
        <w:autoSpaceDE/>
        <w:autoSpaceDN/>
        <w:bidi w:val="0"/>
        <w:spacing w:beforeLines="0" w:line="360" w:lineRule="auto"/>
        <w:ind w:left="0"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为适应村庄村开发建设的需求，规划对村域内的建设用地进行整理并提出控制要求，为土地管理和规划建设管理提供直接依据。</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jc w:val="both"/>
        <w:textAlignment w:val="auto"/>
        <w:rPr>
          <w:rFonts w:hint="eastAsia" w:ascii="宋体" w:hAnsi="宋体" w:eastAsia="宋体" w:cs="宋体"/>
          <w:sz w:val="28"/>
          <w:szCs w:val="36"/>
          <w:lang w:eastAsia="zh-CN"/>
        </w:rPr>
      </w:pPr>
      <w:r>
        <w:rPr>
          <w:rFonts w:hint="eastAsia" w:ascii="宋体" w:hAnsi="宋体" w:eastAsia="宋体" w:cs="宋体"/>
          <w:sz w:val="28"/>
          <w:szCs w:val="36"/>
          <w:lang w:eastAsia="zh-CN"/>
        </w:rPr>
        <w:t>近期建设规划</w:t>
      </w: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1"/>
        <w:gridCol w:w="555"/>
        <w:gridCol w:w="1316"/>
        <w:gridCol w:w="1096"/>
        <w:gridCol w:w="1057"/>
        <w:gridCol w:w="1478"/>
        <w:gridCol w:w="856"/>
        <w:gridCol w:w="102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近期建设项目表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项目类别</w:t>
            </w:r>
          </w:p>
        </w:tc>
        <w:tc>
          <w:tcPr>
            <w:tcW w:w="3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序号</w:t>
            </w:r>
          </w:p>
        </w:tc>
        <w:tc>
          <w:tcPr>
            <w:tcW w:w="7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项目名称</w:t>
            </w:r>
          </w:p>
        </w:tc>
        <w:tc>
          <w:tcPr>
            <w:tcW w:w="6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建设规模</w:t>
            </w:r>
          </w:p>
        </w:tc>
        <w:tc>
          <w:tcPr>
            <w:tcW w:w="6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资金估算</w:t>
            </w:r>
          </w:p>
        </w:tc>
        <w:tc>
          <w:tcPr>
            <w:tcW w:w="8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筹措方式</w:t>
            </w:r>
          </w:p>
        </w:tc>
        <w:tc>
          <w:tcPr>
            <w:tcW w:w="5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责任</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主体</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建设</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时序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3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7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6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6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8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5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restar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产业发展</w:t>
            </w: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公共墓地</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2.05hm²</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300万元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企业+村集体</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continue"/>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村庄产业</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2.93hm²</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150万元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企业+村集体</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生态修复</w:t>
            </w: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3</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水库治理</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3.62hm²</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40万元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政府专项</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资金</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国土综合整治</w:t>
            </w: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4</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土地资源开发</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3.58hm²</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100万元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政府专项</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资金</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道路交通</w:t>
            </w: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5</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道路建设</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50555㎡</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405万元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政府专项</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资金</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6</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道路硬化</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修缮</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30048㎡</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240万元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政府专项</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资金</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基础设施</w:t>
            </w: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7</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公共厕所</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5处</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25万元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政府专项</w:t>
            </w:r>
          </w:p>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资金</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镇政府</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公共服务设施</w:t>
            </w: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8</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互助养老设施</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1处</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50万元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村集体</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村委会</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9</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银行储蓄</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1处</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村集体</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村委会</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6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326" w:type="pct"/>
            <w:tcBorders>
              <w:top w:val="single" w:color="000000" w:sz="4" w:space="0"/>
              <w:left w:val="single" w:color="000000" w:sz="4" w:space="0"/>
              <w:bottom w:val="nil"/>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10</w:t>
            </w:r>
          </w:p>
        </w:tc>
        <w:tc>
          <w:tcPr>
            <w:tcW w:w="77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邮政所</w:t>
            </w: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1处</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20万元</w:t>
            </w: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村集体</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村委会</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合计</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p>
        </w:tc>
        <w:tc>
          <w:tcPr>
            <w:tcW w:w="400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5"/>
              <w:pageBreakBefore w:val="0"/>
              <w:widowControl w:val="0"/>
              <w:shd w:val="clear"/>
              <w:kinsoku/>
              <w:overflowPunct/>
              <w:autoSpaceDE/>
              <w:autoSpaceDN/>
              <w:bidi w:val="0"/>
              <w:spacing w:before="2" w:beforeLines="-2147483648" w:after="0" w:line="240" w:lineRule="auto"/>
              <w:ind w:left="0" w:right="0" w:firstLine="0"/>
              <w:jc w:val="center"/>
              <w:rPr>
                <w:rFonts w:hint="eastAsia" w:ascii="宋体" w:hAnsi="宋体" w:eastAsia="宋体" w:cs="宋体"/>
                <w:b w:val="0"/>
                <w:bCs w:val="0"/>
                <w:kern w:val="0"/>
                <w:sz w:val="21"/>
                <w:szCs w:val="21"/>
                <w:highlight w:val="none"/>
                <w:lang w:val="en-US" w:eastAsia="zh-CN"/>
              </w:rPr>
            </w:pPr>
            <w:r>
              <w:rPr>
                <w:rFonts w:hint="eastAsia" w:ascii="宋体" w:hAnsi="宋体" w:eastAsia="宋体" w:cs="宋体"/>
                <w:b w:val="0"/>
                <w:bCs w:val="0"/>
                <w:kern w:val="0"/>
                <w:sz w:val="21"/>
                <w:szCs w:val="21"/>
                <w:highlight w:val="none"/>
                <w:lang w:val="en-US" w:eastAsia="zh-CN"/>
              </w:rPr>
              <w:t>1350万元</w:t>
            </w:r>
          </w:p>
        </w:tc>
      </w:tr>
    </w:tbl>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jc w:val="both"/>
        <w:textAlignment w:val="auto"/>
        <w:rPr>
          <w:rFonts w:hint="eastAsia" w:ascii="宋体" w:hAnsi="宋体" w:eastAsia="宋体" w:cs="宋体"/>
          <w:sz w:val="28"/>
          <w:szCs w:val="36"/>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CF556C"/>
    <w:multiLevelType w:val="singleLevel"/>
    <w:tmpl w:val="B9CF556C"/>
    <w:lvl w:ilvl="0" w:tentative="0">
      <w:start w:val="1"/>
      <w:numFmt w:val="chineseCounting"/>
      <w:suff w:val="nothing"/>
      <w:lvlText w:val="（%1）"/>
      <w:lvlJc w:val="left"/>
      <w:rPr>
        <w:rFonts w:hint="eastAsia"/>
      </w:rPr>
    </w:lvl>
  </w:abstractNum>
  <w:abstractNum w:abstractNumId="1">
    <w:nsid w:val="473C22F3"/>
    <w:multiLevelType w:val="singleLevel"/>
    <w:tmpl w:val="473C22F3"/>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0Y2Q3MDU2NWU2ZGU2ZWVlYThlMjMyMGI4OGJmZDEifQ=="/>
  </w:docVars>
  <w:rsids>
    <w:rsidRoot w:val="0B4A7219"/>
    <w:rsid w:val="00E311DB"/>
    <w:rsid w:val="02993083"/>
    <w:rsid w:val="037C17C9"/>
    <w:rsid w:val="0AA909A5"/>
    <w:rsid w:val="0B4A7219"/>
    <w:rsid w:val="0C4477EA"/>
    <w:rsid w:val="11585FBF"/>
    <w:rsid w:val="1E572AB6"/>
    <w:rsid w:val="1EBB549C"/>
    <w:rsid w:val="2C68652B"/>
    <w:rsid w:val="3BA96372"/>
    <w:rsid w:val="3F3C19CC"/>
    <w:rsid w:val="41C51F5B"/>
    <w:rsid w:val="499C2EBD"/>
    <w:rsid w:val="49C47659"/>
    <w:rsid w:val="4C251437"/>
    <w:rsid w:val="4D676655"/>
    <w:rsid w:val="567A5CA9"/>
    <w:rsid w:val="5ACC27AE"/>
    <w:rsid w:val="5D21082D"/>
    <w:rsid w:val="5EC872A7"/>
    <w:rsid w:val="628B76D9"/>
    <w:rsid w:val="629B7D2C"/>
    <w:rsid w:val="64531628"/>
    <w:rsid w:val="690942DC"/>
    <w:rsid w:val="6CC713AA"/>
    <w:rsid w:val="6E481A15"/>
    <w:rsid w:val="72FC167C"/>
    <w:rsid w:val="774B29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正文新"/>
    <w:qFormat/>
    <w:uiPriority w:val="0"/>
    <w:pPr>
      <w:ind w:firstLine="200" w:firstLineChars="200"/>
      <w:contextualSpacing/>
      <w:jc w:val="both"/>
    </w:pPr>
    <w:rPr>
      <w:rFonts w:ascii="仿宋_GB2312" w:hAnsi="Times New Roman" w:eastAsia="仿宋_GB2312" w:cs="Times New Roman"/>
      <w:kern w:val="2"/>
      <w:sz w:val="28"/>
      <w:szCs w:val="28"/>
      <w:lang w:val="en-US" w:eastAsia="zh-CN" w:bidi="ar-SA"/>
    </w:rPr>
  </w:style>
  <w:style w:type="paragraph" w:customStyle="1" w:styleId="5">
    <w:name w:val="Table Paragraph"/>
    <w:basedOn w:val="1"/>
    <w:qFormat/>
    <w:uiPriority w:val="1"/>
  </w:style>
  <w:style w:type="character" w:customStyle="1" w:styleId="6">
    <w:name w:val="font11"/>
    <w:basedOn w:val="3"/>
    <w:autoRedefine/>
    <w:qFormat/>
    <w:uiPriority w:val="0"/>
    <w:rPr>
      <w:rFonts w:hint="eastAsia" w:ascii="黑体" w:hAnsi="宋体" w:eastAsia="黑体" w:cs="黑体"/>
      <w:color w:val="000000"/>
      <w:sz w:val="22"/>
      <w:szCs w:val="22"/>
      <w:u w:val="none"/>
    </w:rPr>
  </w:style>
  <w:style w:type="character" w:customStyle="1" w:styleId="7">
    <w:name w:val="font01"/>
    <w:basedOn w:val="3"/>
    <w:autoRedefine/>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1694</Words>
  <Characters>2213</Characters>
  <Lines>0</Lines>
  <Paragraphs>0</Paragraphs>
  <TotalTime>2</TotalTime>
  <ScaleCrop>false</ScaleCrop>
  <LinksUpToDate>false</LinksUpToDate>
  <CharactersWithSpaces>2309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2023-08-17T08:14:00Z</dcterms:created>
  <dc:creator>王</dc:creator>
  <cp:lastModifiedBy>Fanxpp</cp:lastModifiedBy>
  <dcterms:modified xsi:type="dcterms:W3CDTF">2024-03-23T01:31:46Z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65F6264E20CC4395A9C3C0F204D8E19E</vt:lpwstr>
  </property>
</Properties>
</file>