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eastAsia="黑体"/>
          <w:b/>
          <w:sz w:val="44"/>
        </w:rPr>
      </w:pPr>
      <w:r>
        <w:rPr>
          <w:rFonts w:hint="eastAsia" w:ascii="黑体" w:eastAsia="黑体"/>
          <w:b/>
          <w:sz w:val="44"/>
        </w:rPr>
        <w:t>石家庄市鹿泉区消防大队所属单位</w:t>
      </w:r>
    </w:p>
    <w:p>
      <w:pPr>
        <w:jc w:val="center"/>
        <w:outlineLvl w:val="0"/>
        <w:rPr>
          <w:rFonts w:hAnsi="宋体"/>
          <w:b/>
          <w:sz w:val="44"/>
        </w:rPr>
      </w:pPr>
      <w:r>
        <w:rPr>
          <w:rFonts w:hint="eastAsia" w:ascii="黑体" w:eastAsia="黑体"/>
          <w:b/>
          <w:sz w:val="44"/>
        </w:rPr>
        <w:t>2021年单位预算信息公开</w:t>
      </w:r>
    </w:p>
    <w:p>
      <w:pPr>
        <w:jc w:val="center"/>
        <w:rPr>
          <w:rFonts w:hAnsi="宋体"/>
          <w:b/>
          <w:sz w:val="30"/>
        </w:rPr>
      </w:pPr>
      <w:r>
        <w:rPr>
          <w:rFonts w:ascii="黑体" w:hAnsi="黑体" w:eastAsia="黑体"/>
          <w:b/>
          <w:sz w:val="30"/>
        </w:rPr>
        <w:t xml:space="preserve"> </w:t>
      </w:r>
    </w:p>
    <w:p>
      <w:pPr>
        <w:pStyle w:val="6"/>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"_Toc68164992" </w:instrText>
      </w:r>
      <w:r>
        <w:fldChar w:fldCharType="separate"/>
      </w:r>
      <w:r>
        <w:rPr>
          <w:rStyle w:val="10"/>
          <w:rFonts w:hint="eastAsia" w:eastAsia="方正仿宋_GBK"/>
          <w:sz w:val="28"/>
          <w:u w:val="none"/>
        </w:rPr>
        <w:t>一、</w:t>
      </w:r>
      <w:r>
        <w:rPr>
          <w:rFonts w:hint="eastAsia" w:ascii="方正小标宋_GBK" w:eastAsia="方正小标宋_GBK"/>
          <w:sz w:val="24"/>
        </w:rPr>
        <w:t>石家庄市鹿泉区消防大队本级</w:t>
      </w:r>
      <w:r>
        <w:rPr>
          <w:rFonts w:eastAsia="方正仿宋_GBK"/>
          <w:sz w:val="28"/>
        </w:rPr>
        <w:tab/>
      </w:r>
      <w:r>
        <w:rPr>
          <w:rFonts w:eastAsia="方正仿宋_GBK"/>
          <w:sz w:val="28"/>
        </w:rPr>
        <w:fldChar w:fldCharType="begin"/>
      </w:r>
      <w:r>
        <w:rPr>
          <w:rFonts w:eastAsia="方正仿宋_GBK"/>
          <w:sz w:val="28"/>
        </w:rPr>
        <w:instrText xml:space="preserve"> PAGEREF _Toc68164992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hint="eastAsia" w:eastAsia="方正仿宋_GBK"/>
          <w:sz w:val="28"/>
        </w:rPr>
      </w:pPr>
    </w:p>
    <w:p>
      <w:pPr>
        <w:ind w:left="420" w:leftChars="200"/>
        <w:rPr>
          <w:rFonts w:hAnsi="宋体"/>
        </w:rPr>
      </w:pPr>
      <w:r>
        <w:rPr>
          <w:rFonts w:eastAsia="方正仿宋_GBK"/>
          <w:sz w:val="28"/>
        </w:rPr>
        <w:fldChar w:fldCharType="end"/>
      </w:r>
    </w:p>
    <w:p>
      <w:pPr>
        <w:ind w:left="420" w:leftChars="200"/>
        <w:jc w:val="center"/>
        <w:rPr>
          <w:rFonts w:hAnsi="宋体"/>
        </w:rPr>
      </w:pP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outlineLvl w:val="1"/>
        <w:rPr>
          <w:rFonts w:ascii="方正小标宋_GBK" w:eastAsia="方正小标宋_GBK"/>
          <w:sz w:val="36"/>
        </w:rPr>
        <w:sectPr>
          <w:headerReference r:id="rId3" w:type="default"/>
          <w:footerReference r:id="rId4" w:type="default"/>
          <w:pgSz w:w="16839" w:h="11907" w:orient="landscape"/>
          <w:pgMar w:top="1361" w:right="1020" w:bottom="1134" w:left="1020" w:header="851" w:footer="992" w:gutter="0"/>
          <w:cols w:space="720" w:num="1"/>
          <w:docGrid w:type="lines" w:linePitch="312" w:charSpace="0"/>
        </w:sectPr>
      </w:pPr>
      <w:bookmarkStart w:id="0" w:name="_Toc68164992"/>
    </w:p>
    <w:p>
      <w:pPr>
        <w:jc w:val="center"/>
        <w:outlineLvl w:val="1"/>
        <w:rPr>
          <w:rFonts w:hAnsi="宋体"/>
          <w:sz w:val="36"/>
        </w:rPr>
      </w:pPr>
      <w:r>
        <w:rPr>
          <w:rFonts w:hint="eastAsia" w:ascii="方正小标宋_GBK" w:eastAsia="方正小标宋_GBK"/>
          <w:sz w:val="36"/>
        </w:rPr>
        <w:t>单位预算收支总表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bottom"/>
          </w:tcPr>
          <w:p>
            <w:pPr>
              <w:jc w:val="right"/>
              <w:rPr>
                <w:rFonts w:ascii="宋体" w:hAnsi="宋体" w:cs="宋体"/>
                <w:color w:val="000000"/>
                <w:sz w:val="22"/>
                <w:szCs w:val="22"/>
              </w:rPr>
            </w:pPr>
            <w:r>
              <w:rPr>
                <w:rFonts w:hint="eastAsia"/>
                <w:color w:val="000000"/>
                <w:sz w:val="22"/>
                <w:szCs w:val="22"/>
              </w:rPr>
              <w:t>1659.7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bottom"/>
          </w:tcPr>
          <w:p>
            <w:pPr>
              <w:jc w:val="right"/>
              <w:rPr>
                <w:rFonts w:ascii="宋体" w:hAnsi="宋体" w:cs="宋体"/>
                <w:color w:val="000000"/>
                <w:sz w:val="22"/>
                <w:szCs w:val="22"/>
              </w:rPr>
            </w:pPr>
            <w:r>
              <w:rPr>
                <w:rFonts w:hint="eastAsia"/>
                <w:color w:val="000000"/>
                <w:sz w:val="22"/>
                <w:szCs w:val="22"/>
              </w:rPr>
              <w:t>697.91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bottom"/>
          </w:tcPr>
          <w:p>
            <w:pPr>
              <w:jc w:val="right"/>
              <w:rPr>
                <w:rFonts w:ascii="宋体" w:hAnsi="宋体" w:cs="宋体"/>
                <w:color w:val="000000"/>
                <w:sz w:val="22"/>
                <w:szCs w:val="22"/>
              </w:rPr>
            </w:pPr>
            <w:r>
              <w:rPr>
                <w:rFonts w:hint="eastAsia"/>
                <w:color w:val="000000"/>
                <w:sz w:val="22"/>
                <w:szCs w:val="22"/>
              </w:rPr>
              <w:t>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bottom"/>
          </w:tcPr>
          <w:p>
            <w:pPr>
              <w:jc w:val="right"/>
              <w:rPr>
                <w:rFonts w:ascii="宋体" w:hAnsi="宋体" w:cs="宋体"/>
                <w:color w:val="000000"/>
                <w:sz w:val="22"/>
                <w:szCs w:val="22"/>
              </w:rPr>
            </w:pPr>
            <w:r>
              <w:rPr>
                <w:rFonts w:hint="eastAsia"/>
                <w:color w:val="000000"/>
                <w:sz w:val="22"/>
                <w:szCs w:val="22"/>
              </w:rP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bottom"/>
          </w:tcPr>
          <w:p>
            <w:pPr>
              <w:jc w:val="right"/>
              <w:rPr>
                <w:rFonts w:ascii="宋体" w:hAnsi="宋体" w:cs="宋体"/>
                <w:color w:val="000000"/>
                <w:sz w:val="22"/>
                <w:szCs w:val="22"/>
              </w:rPr>
            </w:pPr>
            <w:r>
              <w:rPr>
                <w:rFonts w:hint="eastAsia"/>
                <w:color w:val="000000"/>
                <w:sz w:val="22"/>
                <w:szCs w:val="22"/>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bottom"/>
          </w:tcPr>
          <w:p>
            <w:pPr>
              <w:jc w:val="right"/>
              <w:rPr>
                <w:rFonts w:ascii="宋体" w:hAnsi="宋体" w:cs="宋体"/>
                <w:color w:val="000000"/>
                <w:sz w:val="22"/>
                <w:szCs w:val="22"/>
              </w:rPr>
            </w:pPr>
            <w:r>
              <w:rPr>
                <w:rFonts w:hint="eastAsia"/>
                <w:color w:val="000000"/>
                <w:sz w:val="22"/>
                <w:szCs w:val="22"/>
              </w:rPr>
              <w:t>69.72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bottom"/>
          </w:tcPr>
          <w:p>
            <w:pPr>
              <w:jc w:val="right"/>
              <w:rPr>
                <w:rFonts w:ascii="宋体" w:hAnsi="宋体" w:cs="宋体"/>
                <w:color w:val="000000"/>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bottom"/>
          </w:tcPr>
          <w:p>
            <w:pPr>
              <w:jc w:val="right"/>
              <w:rPr>
                <w:rFonts w:ascii="宋体" w:hAnsi="宋体" w:cs="宋体"/>
                <w:color w:val="000000"/>
                <w:sz w:val="22"/>
                <w:szCs w:val="22"/>
              </w:rPr>
            </w:pPr>
            <w:r>
              <w:rPr>
                <w:rFonts w:hint="eastAsia"/>
                <w:color w:val="000000"/>
                <w:sz w:val="22"/>
                <w:szCs w:val="22"/>
              </w:rPr>
              <w:t>1491.44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bottom"/>
          </w:tcPr>
          <w:p>
            <w:pPr>
              <w:spacing w:line="300" w:lineRule="exact"/>
              <w:jc w:val="right"/>
              <w:rPr>
                <w:rFonts w:ascii="方正书宋_GBK" w:eastAsia="方正书宋_GBK"/>
                <w:b/>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bottom"/>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bottom"/>
          </w:tcPr>
          <w:p>
            <w:pPr>
              <w:spacing w:line="300" w:lineRule="exact"/>
              <w:jc w:val="right"/>
              <w:rPr>
                <w:rFonts w:ascii="方正书宋_GBK" w:eastAsia="方正书宋_GBK"/>
                <w:b/>
              </w:rPr>
            </w:pPr>
            <w:r>
              <w:rPr>
                <w:rFonts w:hint="eastAsia" w:ascii="方正书宋_GBK" w:eastAsia="方正书宋_GBK"/>
                <w:b/>
              </w:rPr>
              <w:t>2357.61</w:t>
            </w:r>
          </w:p>
        </w:tc>
      </w:tr>
    </w:tbl>
    <w:p>
      <w:pPr>
        <w:spacing w:line="300" w:lineRule="exact"/>
        <w:jc w:val="left"/>
        <w:outlineLvl w:val="1"/>
        <w:sectPr>
          <w:footerReference r:id="rId5" w:type="default"/>
          <w:pgSz w:w="16839" w:h="11907" w:orient="landscape"/>
          <w:pgMar w:top="1361" w:right="1020" w:bottom="1134" w:left="1020" w:header="851" w:footer="992" w:gutter="0"/>
          <w:pgNumType w:start="1"/>
          <w:cols w:space="720" w:num="1"/>
          <w:docGrid w:type="lines" w:linePitch="312" w:charSpace="0"/>
        </w:sectPr>
      </w:pPr>
    </w:p>
    <w:p>
      <w:pPr>
        <w:jc w:val="center"/>
        <w:outlineLvl w:val="1"/>
        <w:rPr>
          <w:rFonts w:hAnsi="宋体"/>
          <w:sz w:val="36"/>
        </w:rPr>
      </w:pPr>
      <w:bookmarkStart w:id="1" w:name="_Toc68164993"/>
      <w:r>
        <w:rPr>
          <w:rFonts w:hint="eastAsia" w:ascii="方正小标宋_GBK" w:eastAsia="方正小标宋_GBK"/>
          <w:sz w:val="36"/>
        </w:rPr>
        <w:t>单位预算收入总表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outlineLvl w:val="1"/>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outlineLvl w:val="1"/>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212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2120803</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2120804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22402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2240201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2240202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ascii="方正书宋_GBK" w:eastAsia="方正书宋_GBK"/>
              </w:rPr>
              <w:t>2240204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ascii="方正书宋_GBK" w:eastAsia="方正书宋_GBK"/>
              </w:rPr>
              <w:t>2240299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2" w:name="_Toc68164994"/>
      <w:r>
        <w:rPr>
          <w:rFonts w:hint="eastAsia" w:ascii="方正小标宋_GBK" w:eastAsia="方正小标宋_GBK"/>
          <w:sz w:val="36"/>
        </w:rPr>
        <w:t>单位预算支出总表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c>
          <w:tcPr>
            <w:tcW w:w="136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1361" w:type="dxa"/>
            <w:vAlign w:val="bottom"/>
          </w:tcPr>
          <w:p>
            <w:pPr>
              <w:spacing w:line="300" w:lineRule="exact"/>
              <w:jc w:val="right"/>
              <w:rPr>
                <w:rFonts w:ascii="方正书宋_GBK" w:eastAsia="方正书宋_GBK"/>
                <w:b/>
              </w:rPr>
            </w:pPr>
            <w:r>
              <w:rPr>
                <w:rFonts w:hint="eastAsia" w:ascii="方正书宋_GBK" w:eastAsia="方正书宋_GBK"/>
                <w:b/>
              </w:rPr>
              <w:t>1146.28</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2120803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2120804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361" w:type="dxa"/>
            <w:vAlign w:val="bottom"/>
          </w:tcPr>
          <w:p>
            <w:pPr>
              <w:spacing w:line="300" w:lineRule="exact"/>
              <w:jc w:val="right"/>
              <w:rPr>
                <w:rFonts w:ascii="方正书宋_GBK" w:eastAsia="方正书宋_GBK"/>
              </w:rPr>
            </w:pPr>
          </w:p>
        </w:tc>
        <w:tc>
          <w:tcPr>
            <w:tcW w:w="136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361" w:type="dxa"/>
            <w:vAlign w:val="bottom"/>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448.37</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22402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448.37</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2240201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1361" w:type="dxa"/>
            <w:vAlign w:val="bottom"/>
          </w:tcPr>
          <w:p>
            <w:pPr>
              <w:spacing w:line="300" w:lineRule="exact"/>
              <w:ind w:right="220"/>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2240202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60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ascii="方正书宋_GBK" w:eastAsia="方正书宋_GBK"/>
              </w:rPr>
              <w:t>2240204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140.46</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ascii="方正书宋_GBK" w:eastAsia="方正书宋_GBK"/>
              </w:rPr>
              <w:t>2240299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1361"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1361" w:type="dxa"/>
            <w:vAlign w:val="center"/>
          </w:tcPr>
          <w:p>
            <w:pPr>
              <w:spacing w:line="300" w:lineRule="exact"/>
              <w:jc w:val="right"/>
              <w:rPr>
                <w:rFonts w:ascii="方正书宋_GBK" w:eastAsia="方正书宋_GBK"/>
              </w:rPr>
            </w:pPr>
          </w:p>
        </w:tc>
        <w:tc>
          <w:tcPr>
            <w:tcW w:w="1361" w:type="dxa"/>
            <w:vAlign w:val="bottom"/>
          </w:tcPr>
          <w:p>
            <w:pPr>
              <w:jc w:val="right"/>
              <w:rPr>
                <w:rFonts w:ascii="方正书宋_GBK" w:eastAsia="方正书宋_GBK"/>
              </w:rPr>
            </w:pPr>
            <w:r>
              <w:rPr>
                <w:rFonts w:hint="eastAsia" w:ascii="方正书宋_GBK" w:eastAsia="方正书宋_GBK"/>
              </w:rPr>
              <w:t>247.91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3" w:name="_Toc68164995"/>
      <w:r>
        <w:rPr>
          <w:rFonts w:hint="eastAsia" w:ascii="方正小标宋_GBK" w:eastAsia="方正小标宋_GBK"/>
          <w:sz w:val="36"/>
        </w:rPr>
        <w:t>单位预算财政拨款收支总表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bottom"/>
          </w:tcPr>
          <w:p>
            <w:pPr>
              <w:jc w:val="right"/>
              <w:rPr>
                <w:rFonts w:ascii="宋体" w:hAnsi="宋体" w:cs="宋体"/>
                <w:color w:val="000000"/>
                <w:sz w:val="22"/>
                <w:szCs w:val="22"/>
              </w:rPr>
            </w:pPr>
            <w:r>
              <w:rPr>
                <w:rFonts w:hint="eastAsia"/>
                <w:color w:val="000000"/>
                <w:sz w:val="22"/>
                <w:szCs w:val="22"/>
              </w:rPr>
              <w:t>1659.7</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bottom"/>
          </w:tcPr>
          <w:p>
            <w:pPr>
              <w:jc w:val="right"/>
              <w:rPr>
                <w:rFonts w:ascii="宋体" w:hAnsi="宋体" w:cs="宋体"/>
                <w:color w:val="000000"/>
                <w:sz w:val="22"/>
                <w:szCs w:val="22"/>
              </w:rPr>
            </w:pPr>
            <w:r>
              <w:rPr>
                <w:rFonts w:hint="eastAsia"/>
                <w:color w:val="000000"/>
                <w:sz w:val="22"/>
                <w:szCs w:val="22"/>
              </w:rPr>
              <w:t>697.91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r>
              <w:rPr>
                <w:rFonts w:hint="eastAsia" w:ascii="方正书宋_GBK" w:eastAsia="方正书宋_GBK"/>
              </w:rPr>
              <w:t>697.91</w:t>
            </w: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474"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bottom"/>
          </w:tcPr>
          <w:p>
            <w:pPr>
              <w:spacing w:line="300" w:lineRule="exact"/>
              <w:jc w:val="right"/>
              <w:rPr>
                <w:rFonts w:ascii="方正书宋_GBK" w:eastAsia="方正书宋_GBK"/>
              </w:rPr>
            </w:pPr>
          </w:p>
        </w:tc>
        <w:tc>
          <w:tcPr>
            <w:tcW w:w="1474" w:type="dxa"/>
            <w:vAlign w:val="bottom"/>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1474" w:type="dxa"/>
            <w:vAlign w:val="center"/>
          </w:tcPr>
          <w:p>
            <w:pPr>
              <w:spacing w:line="300" w:lineRule="exact"/>
              <w:jc w:val="right"/>
              <w:rPr>
                <w:rFonts w:ascii="方正书宋_GBK" w:eastAsia="方正书宋_GBK"/>
                <w:b/>
              </w:rPr>
            </w:pPr>
            <w:r>
              <w:rPr>
                <w:rFonts w:hint="eastAsia" w:ascii="方正书宋_GBK" w:eastAsia="方正书宋_GBK"/>
                <w:b/>
              </w:rPr>
              <w:t>697.91</w:t>
            </w: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2357.61</w:t>
            </w:r>
          </w:p>
        </w:tc>
        <w:tc>
          <w:tcPr>
            <w:tcW w:w="1474"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1474" w:type="dxa"/>
            <w:vAlign w:val="center"/>
          </w:tcPr>
          <w:p>
            <w:pPr>
              <w:spacing w:line="300" w:lineRule="exact"/>
              <w:jc w:val="right"/>
              <w:rPr>
                <w:rFonts w:ascii="方正书宋_GBK" w:eastAsia="方正书宋_GBK"/>
                <w:b/>
              </w:rPr>
            </w:pPr>
            <w:r>
              <w:rPr>
                <w:rFonts w:hint="eastAsia" w:ascii="方正书宋_GBK" w:eastAsia="方正书宋_GBK"/>
                <w:b/>
              </w:rPr>
              <w:t>697.91</w:t>
            </w:r>
          </w:p>
        </w:tc>
        <w:tc>
          <w:tcPr>
            <w:tcW w:w="1474" w:type="dxa"/>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4" w:name="_Toc68164996"/>
      <w:r>
        <w:rPr>
          <w:rFonts w:hint="eastAsia" w:ascii="方正小标宋_GBK" w:eastAsia="方正小标宋_GBK"/>
          <w:sz w:val="36"/>
        </w:rPr>
        <w:t>单位预算一般公共预算财政拨款支出表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1659.7</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224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灾害防治及应急管理支出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22402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消防事务</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1491.44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448.37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2240201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1043.07</w:t>
            </w:r>
          </w:p>
        </w:tc>
        <w:tc>
          <w:tcPr>
            <w:tcW w:w="2551" w:type="dxa"/>
            <w:vAlign w:val="bottom"/>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2240202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2240204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消防应急救援</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140.46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140.46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2240299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其他消防事务支出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247.91</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247.91</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5" w:name="_Toc68164997"/>
      <w:r>
        <w:rPr>
          <w:rFonts w:hint="eastAsia" w:ascii="方正小标宋_GBK" w:eastAsia="方正小标宋_GBK"/>
          <w:sz w:val="36"/>
        </w:rPr>
        <w:t>单位预算一般公共预算财政拨款基本支出表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1211.33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1087.13</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1087.13</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1087.13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376.89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376.89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279.61</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279.61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105</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105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50.64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47.9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6.01</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6.01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151.36</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151.36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124.2</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82.2</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邮电费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5.96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取暖费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5.4</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9.04</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30231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21.6</w:t>
            </w:r>
          </w:p>
        </w:tc>
        <w:tc>
          <w:tcPr>
            <w:tcW w:w="2551" w:type="dxa"/>
            <w:vAlign w:val="center"/>
          </w:tcPr>
          <w:p>
            <w:pPr>
              <w:spacing w:line="300" w:lineRule="exact"/>
              <w:jc w:val="right"/>
              <w:rPr>
                <w:rFonts w:ascii="方正书宋_GBK" w:eastAsia="方正书宋_GBK"/>
              </w:rPr>
            </w:pPr>
          </w:p>
        </w:tc>
        <w:tc>
          <w:tcPr>
            <w:tcW w:w="2551" w:type="dxa"/>
            <w:vAlign w:val="bottom"/>
          </w:tcPr>
          <w:p>
            <w:pPr>
              <w:jc w:val="right"/>
              <w:rPr>
                <w:rFonts w:ascii="方正书宋_GBK" w:eastAsia="方正书宋_GBK"/>
              </w:rPr>
            </w:pPr>
            <w:r>
              <w:rPr>
                <w:rFonts w:hint="eastAsia" w:ascii="方正书宋_GBK" w:eastAsia="方正书宋_GBK"/>
              </w:rPr>
              <w:t>21.6</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6" w:name="_Toc68164998"/>
      <w:r>
        <w:rPr>
          <w:rFonts w:hint="eastAsia" w:ascii="方正小标宋_GBK" w:eastAsia="方正小标宋_GBK"/>
          <w:sz w:val="36"/>
        </w:rPr>
        <w:t>单位预算政府基金预算财政拨款支出表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697.91</w:t>
            </w:r>
          </w:p>
        </w:tc>
        <w:tc>
          <w:tcPr>
            <w:tcW w:w="2551" w:type="dxa"/>
            <w:vAlign w:val="center"/>
          </w:tcPr>
          <w:p>
            <w:pPr>
              <w:spacing w:line="300" w:lineRule="exact"/>
              <w:jc w:val="right"/>
              <w:rPr>
                <w:rFonts w:ascii="方正书宋_GBK" w:eastAsia="方正书宋_GBK"/>
                <w:b/>
              </w:rPr>
            </w:pPr>
          </w:p>
        </w:tc>
        <w:tc>
          <w:tcPr>
            <w:tcW w:w="2551" w:type="dxa"/>
            <w:vAlign w:val="bottom"/>
          </w:tcPr>
          <w:p>
            <w:pPr>
              <w:spacing w:line="300" w:lineRule="exact"/>
              <w:jc w:val="right"/>
              <w:rPr>
                <w:rFonts w:ascii="方正书宋_GBK" w:eastAsia="方正书宋_GBK"/>
                <w:b/>
              </w:rPr>
            </w:pPr>
            <w:r>
              <w:rPr>
                <w:rFonts w:hint="eastAsia" w:ascii="方正书宋_GBK" w:eastAsia="方正书宋_GBK"/>
                <w:b/>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城乡社区支出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21208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国有土地使用权出让收入安排的支出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697.91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2120803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城市建设支出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585.41</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585.41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2120804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农村基础设施建设支出</w:t>
            </w:r>
          </w:p>
        </w:tc>
        <w:tc>
          <w:tcPr>
            <w:tcW w:w="2551" w:type="dxa"/>
            <w:vAlign w:val="bottom"/>
          </w:tcPr>
          <w:p>
            <w:pPr>
              <w:spacing w:line="300" w:lineRule="exact"/>
              <w:jc w:val="right"/>
              <w:rPr>
                <w:rFonts w:ascii="方正书宋_GBK" w:eastAsia="方正书宋_GBK"/>
              </w:rPr>
            </w:pPr>
            <w:r>
              <w:rPr>
                <w:rFonts w:hint="eastAsia" w:ascii="方正书宋_GBK" w:eastAsia="方正书宋_GBK"/>
              </w:rPr>
              <w:t>112.5</w:t>
            </w:r>
          </w:p>
        </w:tc>
        <w:tc>
          <w:tcPr>
            <w:tcW w:w="2551" w:type="dxa"/>
            <w:vAlign w:val="center"/>
          </w:tcPr>
          <w:p>
            <w:pPr>
              <w:spacing w:line="300" w:lineRule="exact"/>
              <w:jc w:val="right"/>
              <w:rPr>
                <w:rFonts w:ascii="方正书宋_GBK" w:eastAsia="方正书宋_GBK"/>
              </w:rPr>
            </w:pPr>
          </w:p>
        </w:tc>
        <w:tc>
          <w:tcPr>
            <w:tcW w:w="2551" w:type="dxa"/>
            <w:vAlign w:val="bottom"/>
          </w:tcPr>
          <w:p>
            <w:pPr>
              <w:spacing w:line="300" w:lineRule="exact"/>
              <w:jc w:val="right"/>
              <w:rPr>
                <w:rFonts w:ascii="方正书宋_GBK" w:eastAsia="方正书宋_GBK"/>
              </w:rPr>
            </w:pPr>
            <w:r>
              <w:rPr>
                <w:rFonts w:hint="eastAsia" w:ascii="方正书宋_GBK" w:eastAsia="方正书宋_GBK"/>
              </w:rPr>
              <w:t>112.5</w:t>
            </w:r>
          </w:p>
        </w:tc>
      </w:tr>
    </w:tbl>
    <w:p>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7" w:name="_Toc68164999"/>
      <w:r>
        <w:rPr>
          <w:rFonts w:hint="eastAsia" w:ascii="方正小标宋_GBK" w:eastAsia="方正小标宋_GBK"/>
          <w:sz w:val="36"/>
        </w:rPr>
        <w:t>单位预算国有资本经营预算财政拨款支出表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c>
          <w:tcPr>
            <w:tcW w:w="2551" w:type="dxa"/>
            <w:vMerge w:val="continue"/>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outlineLvl w:val="1"/>
        <w:rPr>
          <w:rFonts w:hAnsi="宋体"/>
          <w:sz w:val="36"/>
        </w:rPr>
      </w:pPr>
      <w:bookmarkStart w:id="8" w:name="_Toc68165000"/>
      <w:r>
        <w:rPr>
          <w:rFonts w:hint="eastAsia" w:ascii="方正小标宋_GBK" w:eastAsia="方正小标宋_GBK"/>
          <w:sz w:val="36"/>
        </w:rPr>
        <w:t>单位预算财政拨款“三公”经费支出表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outlineLvl w:val="1"/>
            </w:pPr>
          </w:p>
        </w:tc>
        <w:tc>
          <w:tcPr>
            <w:tcW w:w="3798" w:type="dxa"/>
            <w:vMerge w:val="continue"/>
            <w:vAlign w:val="center"/>
          </w:tcPr>
          <w:p>
            <w:pPr>
              <w:spacing w:line="300" w:lineRule="exact"/>
              <w:jc w:val="left"/>
              <w:outlineLvl w:val="1"/>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798"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right"/>
              <w:rPr>
                <w:rFonts w:ascii="方正书宋_GBK" w:eastAsia="方正书宋_GBK"/>
                <w:b/>
              </w:rPr>
            </w:pPr>
            <w:r>
              <w:rPr>
                <w:rFonts w:hint="eastAsia" w:ascii="方正书宋_GBK" w:eastAsia="方正书宋_GBK"/>
                <w:b/>
              </w:rPr>
              <w:t>21.6</w:t>
            </w:r>
          </w:p>
        </w:tc>
        <w:tc>
          <w:tcPr>
            <w:tcW w:w="2381" w:type="dxa"/>
            <w:vAlign w:val="center"/>
          </w:tcPr>
          <w:p>
            <w:pPr>
              <w:spacing w:line="300" w:lineRule="exact"/>
              <w:jc w:val="right"/>
              <w:rPr>
                <w:rFonts w:ascii="方正书宋_GBK" w:eastAsia="方正书宋_GBK"/>
                <w:b/>
              </w:rPr>
            </w:pPr>
            <w:r>
              <w:rPr>
                <w:rFonts w:hint="eastAsia" w:ascii="方正书宋_GBK" w:eastAsia="方正书宋_GBK"/>
                <w:b/>
              </w:rPr>
              <w:t>21.6</w:t>
            </w: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一、因公出国（境）费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二、公务用车购置及运维费</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r>
              <w:rPr>
                <w:rFonts w:hint="eastAsia" w:ascii="方正书宋_GBK" w:eastAsia="方正书宋_GBK"/>
              </w:rPr>
              <w:t>21.6</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361" w:left="1020" w:header="851" w:footer="992" w:gutter="0"/>
          <w:cols w:space="720" w:num="1"/>
          <w:docGrid w:type="lines" w:linePitch="312" w:charSpace="0"/>
        </w:sectPr>
      </w:pPr>
    </w:p>
    <w:p>
      <w:pPr>
        <w:jc w:val="center"/>
        <w:rPr>
          <w:rFonts w:hAnsi="宋体"/>
          <w:b/>
          <w:sz w:val="44"/>
          <w:szCs w:val="44"/>
        </w:rPr>
      </w:pPr>
      <w:r>
        <w:rPr>
          <w:rFonts w:hint="eastAsia" w:ascii="方正楷体_GBK" w:eastAsia="方正楷体_GBK"/>
          <w:b/>
          <w:sz w:val="44"/>
          <w:szCs w:val="44"/>
        </w:rPr>
        <w:t>2021年单位预算信息公开情况说明</w:t>
      </w:r>
    </w:p>
    <w:p>
      <w:pPr>
        <w:jc w:val="center"/>
        <w:rPr>
          <w:rFonts w:ascii="方正小标宋_GBK" w:eastAsia="方正小标宋_GBK"/>
          <w:sz w:val="44"/>
        </w:rPr>
      </w:pP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按照《中华人民共和国预算法》《地方预决算公开操作规程》和《河北省省级预算公开办法》规定，现将石家庄市鹿泉区消防救援大队2021年单位预算公开如下：</w:t>
      </w:r>
    </w:p>
    <w:p>
      <w:pPr>
        <w:spacing w:before="156" w:beforeLines="50" w:after="156" w:afterLines="50"/>
        <w:ind w:firstLine="640" w:firstLineChars="200"/>
        <w:jc w:val="left"/>
        <w:outlineLvl w:val="2"/>
        <w:rPr>
          <w:rFonts w:ascii="黑体" w:hAnsi="黑体" w:eastAsia="黑体" w:cs="黑体"/>
          <w:sz w:val="32"/>
          <w:szCs w:val="32"/>
        </w:rPr>
      </w:pPr>
      <w:bookmarkStart w:id="9" w:name="_Toc68165001"/>
      <w:r>
        <w:rPr>
          <w:rFonts w:hint="eastAsia" w:ascii="黑体" w:hAnsi="黑体" w:eastAsia="黑体" w:cs="黑体"/>
          <w:sz w:val="32"/>
          <w:szCs w:val="32"/>
        </w:rPr>
        <w:t>一、单位职责及机构设置情况</w:t>
      </w:r>
      <w:bookmarkEnd w:id="9"/>
    </w:p>
    <w:p>
      <w:pPr>
        <w:ind w:firstLine="643" w:firstLineChars="200"/>
        <w:jc w:val="left"/>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单位职责：</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1.结合鹿泉区实际情况，研判火灾形势，组织召开消防工作会议，部署调度重点消防工作。</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组织开展日常防火工作，推动我区各部门各单位落实消防安全责任制；组织开展消防宣传教育培训工作，提高社会群众消防法制观念、消防安全意识和火灾防控水平；组织开展安全生产宣传教育工作，增强全民安全意识。</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3.积极开展消防人员的岗位练兵活动，进行消防技术训练和灭火救援演习，并有效配备消防设施、器材，妥善维护、保养，使之处于良好状态，提高灭火救援作战水平，完成好灭火救援和各项消防安全保卫任务。</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4.协调有关部门开展消防宣传教育，推动相关部门加强公共消防基础设施建设，督促相关单位认真落实消防法规、政策，消除火灾隐患。</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加强政治教育，不断提高消防员的觉悟，保证消防员在政治上永远合格。队伍管理教育是一项综合性的科学，既要严格按照条令条例管理，又要加强有力的思想政治的工作，认真的开展消防职业道德教育，落实教育内容、改进教学方法，确保消防员思想稳定。认真进行“执法为民”教育，使每个消防员都牢记人民群众的根本利益，认真履行党和人民赋予的消防灭火执勤和抢险救援的神圣职责，全心全意为人民服务。</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火灾形势持续平稳。通过构筑社会消防安全“防火墙”，提高社会单位消防安全“四个能力”，夯实城镇、农村、社区火灾防控基础，遏制较大以上火灾事故，坚决防止重特大火灾事故、杜绝群死群伤火灾事故发生。</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7.应急救援水平进一步提升。确保紧急情况下第一时间保障到位。严格管理，科学练兵，加强业务训练和实战演练，提高实际灭火作战能力。在执勤备战方面，保证人员在位率。无论是平时或是节假日，严格按条令条例有关规定办理。保证车辆、器材装备完整好用。严格按照车辆、器材检查保养的有关规定，始终保持车辆器材的完整好用。加强学习，使消防员明确各自的值班职责，增强责任意识。</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8.公共消防基础建设进一步加强。新、改、扩建消防站。消防装备结构进一步优化。更新消防车，特勤装备、灭火救援攻坚组装备、综合应急救援队装备、个人防护装备全部达标。</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9.加强派出所消防监督执法规范化建设力度。加大对派出所消防民警的培训力度、对派出所消防工作的检查指导力度，充分发挥派出所在“九小场所”整治及农村、社区消防工作中的监督指导作用。</w:t>
      </w:r>
    </w:p>
    <w:p>
      <w:pPr>
        <w:ind w:firstLine="640"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石家庄市鹿泉区消防救援大队本级</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副处（县）级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640" w:firstLineChars="200"/>
        <w:jc w:val="left"/>
        <w:outlineLvl w:val="2"/>
        <w:rPr>
          <w:rFonts w:hAnsi="宋体"/>
          <w:sz w:val="32"/>
        </w:rPr>
      </w:pPr>
      <w:bookmarkStart w:id="10" w:name="_Toc68165002"/>
      <w:r>
        <w:rPr>
          <w:rFonts w:hint="eastAsia" w:ascii="黑体" w:hAnsi="黑体" w:eastAsia="黑体"/>
          <w:sz w:val="32"/>
        </w:rPr>
        <w:t>二、单位预算安排的总体情况</w:t>
      </w:r>
      <w:bookmarkEnd w:id="10"/>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按照预算管理有关规定，目前我区单位预算的编制实行综合预算管理，即全部收入和支出都反映在预算中。石家庄市鹿泉区消防大队本级的收支包含在单位预算中。</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反映本单位当年全部收入。2021年预算收入2357.61万元，其中：一般公共预算收入1659.7万元，基金预算收入697.91万元，财政专户核拨收入0万元，其他来源收入0万元。</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鹿泉区消防救援大队预算中支出预算的总体情况。2021年单位支出预算为2357.61万元，其中基本支出1211.33万元，包括人员经费1087.13万元和日常公用经费124.20万元；项目支出1146.28万元。</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2021年单位预算收支安排2357.61万元，2020年单位预算收支安排</w:t>
      </w:r>
      <w:r>
        <w:rPr>
          <w:rFonts w:hint="eastAsia" w:ascii="仿宋_GB2312" w:hAnsi="仿宋_GB2312" w:eastAsia="仿宋_GB2312" w:cs="仿宋_GB2312"/>
          <w:color w:val="000000"/>
          <w:sz w:val="32"/>
          <w:szCs w:val="32"/>
        </w:rPr>
        <w:t>1412.43万元，</w:t>
      </w:r>
      <w:r>
        <w:rPr>
          <w:rFonts w:hint="eastAsia" w:ascii="仿宋_GB2312" w:hAnsi="仿宋_GB2312" w:eastAsia="仿宋_GB2312" w:cs="仿宋_GB2312"/>
          <w:sz w:val="32"/>
          <w:szCs w:val="32"/>
        </w:rPr>
        <w:t>较2020年增加945.18万元，其中：主要是人员、伙食、公用经费、新增工会经费、项目增加。</w:t>
      </w:r>
    </w:p>
    <w:p>
      <w:pPr>
        <w:spacing w:before="156" w:beforeLines="50" w:after="156" w:afterLines="50"/>
        <w:ind w:firstLine="640" w:firstLineChars="200"/>
        <w:jc w:val="left"/>
        <w:outlineLvl w:val="2"/>
        <w:rPr>
          <w:rFonts w:hAnsi="宋体"/>
          <w:sz w:val="32"/>
        </w:rPr>
      </w:pPr>
      <w:bookmarkStart w:id="11" w:name="_Toc68165003"/>
      <w:r>
        <w:rPr>
          <w:rFonts w:hint="eastAsia" w:ascii="黑体" w:hAnsi="黑体" w:eastAsia="黑体"/>
          <w:sz w:val="32"/>
        </w:rPr>
        <w:t>三、机关运行经费安排情况</w:t>
      </w:r>
      <w:bookmarkEnd w:id="11"/>
    </w:p>
    <w:p>
      <w:pPr>
        <w:spacing w:line="500" w:lineRule="exact"/>
        <w:ind w:firstLine="640" w:firstLineChars="200"/>
        <w:jc w:val="left"/>
        <w:rPr>
          <w:rFonts w:eastAsia="方正仿宋_GBK"/>
          <w:sz w:val="28"/>
        </w:rPr>
      </w:pPr>
      <w:r>
        <w:rPr>
          <w:rFonts w:hint="eastAsia" w:ascii="仿宋" w:hAnsi="仿宋" w:eastAsia="仿宋" w:cs="仿宋"/>
          <w:sz w:val="32"/>
          <w:szCs w:val="32"/>
        </w:rPr>
        <w:t>2021年，鹿泉区消防救援大队机关运行经费共计安排124.20万元，主要用于保证机关正常运转的办公及印刷费、邮电费、专用燃料、办公用房水电费、办公用房取暖费、日常维修费、公务车运行维护费、工会等支出。</w:t>
      </w:r>
    </w:p>
    <w:p>
      <w:pPr>
        <w:spacing w:before="156" w:beforeLines="50" w:after="156" w:afterLines="50"/>
        <w:ind w:firstLine="640" w:firstLineChars="200"/>
        <w:jc w:val="left"/>
        <w:outlineLvl w:val="2"/>
        <w:rPr>
          <w:rFonts w:hAnsi="宋体"/>
          <w:sz w:val="32"/>
        </w:rPr>
      </w:pPr>
      <w:bookmarkStart w:id="12" w:name="_Toc68165004"/>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bookmarkEnd w:id="12"/>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2021年，我单位财政拨款“三公”经费预算安排21.6万元，其中：因公出国（境）费0万元；公务用车购置及运维费21.6万元（其中：公务用车购置费0万元，公务用车运行维护费21.6万元)；公务接待费0万元。与2020年相比持平，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outlineLvl w:val="2"/>
        <w:rPr>
          <w:rFonts w:hAnsi="宋体"/>
          <w:sz w:val="32"/>
        </w:rPr>
      </w:pPr>
      <w:bookmarkStart w:id="13" w:name="_Toc68165005"/>
      <w:r>
        <w:rPr>
          <w:rFonts w:hint="eastAsia" w:ascii="黑体" w:hAnsi="黑体" w:eastAsia="黑体"/>
          <w:sz w:val="32"/>
        </w:rPr>
        <w:t>五、预算绩效信息</w:t>
      </w:r>
      <w:bookmarkEnd w:id="13"/>
    </w:p>
    <w:p>
      <w:pPr>
        <w:ind w:firstLine="562" w:firstLineChars="200"/>
        <w:jc w:val="left"/>
        <w:rPr>
          <w:rFonts w:hAnsi="宋体"/>
          <w:b/>
          <w:sz w:val="28"/>
        </w:rPr>
      </w:pPr>
      <w:r>
        <w:rPr>
          <w:rFonts w:hint="eastAsia" w:ascii="方正仿宋_GBK" w:eastAsia="方正仿宋_GBK"/>
          <w:b/>
          <w:sz w:val="28"/>
        </w:rPr>
        <w:t>1、在职人员高危执勤补贴、加班补贴绩效目标表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鹿泉区消防大队现役人员</w:t>
            </w:r>
            <w:r>
              <w:rPr>
                <w:rFonts w:ascii="方正书宋_GBK" w:eastAsia="方正书宋_GBK"/>
              </w:rPr>
              <w:t>12</w:t>
            </w:r>
            <w:r>
              <w:rPr>
                <w:rFonts w:hint="eastAsia" w:ascii="方正书宋_GBK" w:eastAsia="方正书宋_GBK"/>
              </w:rPr>
              <w:t>人，每月发放高危执勤补贴、加班补贴。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通过补助、补贴，缓解现役人员生活困难，提高生活水平。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发放补贴人数人数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补贴发放人数</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补贴、补助发放覆盖率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补助发放覆盖率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补贴经费及时发放率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补贴经费及时发放率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人均补助、补贴标准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人均补助、补贴发放标准</w:t>
            </w:r>
          </w:p>
        </w:tc>
        <w:tc>
          <w:tcPr>
            <w:tcW w:w="2551" w:type="dxa"/>
            <w:vAlign w:val="center"/>
          </w:tcPr>
          <w:p>
            <w:pPr>
              <w:spacing w:line="300" w:lineRule="exact"/>
              <w:jc w:val="left"/>
              <w:rPr>
                <w:rFonts w:ascii="方正书宋_GBK" w:eastAsia="方正书宋_GBK"/>
              </w:rPr>
            </w:pPr>
            <w:r>
              <w:rPr>
                <w:rFonts w:ascii="方正书宋_GBK" w:eastAsia="方正书宋_GBK"/>
              </w:rPr>
              <w:t>23976</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受补助人群生活水平提高程度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受补助人群生活水平提高程度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被服务对象满意程度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接受补助人员补助满意程度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2、消防业务费绩效目标表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加快资金支出进度，发挥其应有作用，为区人民财产安全和经济发展保驾护航。</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开展抢险救援相关业务活动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购买相关业务的学习资料份数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份</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相关业务的学习培训保障率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及时保障各项相关业务的学习培训需求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消防业务费支出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消防业务费支出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保障应急救援任务圆满完成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保障应急救援任务圆满完成率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3、灭火药剂（干粉、泡沫）绩效目标表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为进一步提高消防救援队伍灭火救援作战能力，确保队伍战斗力，需定期补充灭火药剂。</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购置更新数量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数量以救援站为计量单</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站</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购置灭火药剂质量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购置灭火药剂质量合格率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达到行业标准率</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招标采购时间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招标采购时间</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月份前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灭火药剂购置成本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每座消防救援站购置成本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每半年</w:t>
            </w:r>
            <w:r>
              <w:rPr>
                <w:rFonts w:ascii="方正书宋_GBK" w:eastAsia="方正书宋_GBK"/>
              </w:rPr>
              <w:t>10</w:t>
            </w:r>
            <w:r>
              <w:rPr>
                <w:rFonts w:hint="eastAsia" w:ascii="方正书宋_GBK" w:eastAsia="方正书宋_GBK"/>
              </w:rPr>
              <w:t>万元左右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灭火药剂使用年限</w:t>
            </w:r>
          </w:p>
        </w:tc>
        <w:tc>
          <w:tcPr>
            <w:tcW w:w="2551" w:type="dxa"/>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年不等</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4、山前大道消防救援站执勤备战设施用品绩效目标表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为山前大道顺利投入执勤，需购置电脑、打印机等办公用品，食堂需购置炊具餐桌餐椅等，宿舍需配备床、柜子、热水器等必需品，保障消防救援站的正常运转。</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购置办公用品及必需品保障的人数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购置办公用品及必需品保障正常投入使用的人数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采购物品到位时间</w:t>
            </w:r>
          </w:p>
        </w:tc>
        <w:tc>
          <w:tcPr>
            <w:tcW w:w="2551" w:type="dxa"/>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采购物品成本</w:t>
            </w:r>
          </w:p>
        </w:tc>
        <w:tc>
          <w:tcPr>
            <w:tcW w:w="2551" w:type="dxa"/>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物品使用年限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物品可使用年限</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正常年限</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5、防火监督检查设备费绩效目标表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购置防火监督设备到位后，对于防火监督检查中对消防设施完整好用的测试、检查更加准确，有效解决目前检查装备落后带来的监督质量不高等问题。</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保障保工人数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购置质量合格的数量占购置总数</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及时保障各项防火监督检查办公需要</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日常防火监督检查设备费用支出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日常防火监督检查设备费用支出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保障日常监督检查办公需要</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保障日常监督检查办公需要，维持单位正常运转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服务对象满意占总服务对象的满意程度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6、装备器材更新维护款绩效目标表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对装备器材进行更新维护，保障装备器材完整好用，有效提升灭火作战能力。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装备器材维护保养次数（次）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一季度装备器材维护保养次数（次）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检查装备器材使用状况、完好程度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完好程度数量占购置总数的比率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维修、维护器材装备的及时性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装备器材及时更新、购置率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器材日常维修、维护费</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器材日常维修、维护费用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装备器材完好率（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完好装备占整体装备的比率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调查中受益人员满意和较满意的占总人数的比率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7、山前大道消防救援站取暖、食堂、水域训练中心天然气费用绩效目标表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保障消防救援站取暖、食堂及水域救援中心的基础设施条件，提升消防救援站处置的能力，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消防站运转保障率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取暖、食堂及水域救援运转保障率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基本要求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及时保障各项使用天然气设施日常办需求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日常公用经费支出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取暖、食堂、水域救援中心燃气费的支出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保障日常需求，维持单位正常运转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保障日常办公需求，维持单位正常运转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能够长期较好的开展工作。</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8、山前大道一级消防站南北侧护坡建设绩效目标表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山前大道消防站需在靠山体一侧增设挡土墙，经测算挡土墙工程亮约为</w:t>
            </w:r>
            <w:r>
              <w:rPr>
                <w:rFonts w:ascii="方正书宋_GBK" w:eastAsia="方正书宋_GBK"/>
              </w:rPr>
              <w:t>1971</w:t>
            </w:r>
            <w:r>
              <w:rPr>
                <w:rFonts w:hint="eastAsia" w:ascii="方正书宋_GBK" w:eastAsia="方正书宋_GBK"/>
              </w:rPr>
              <w:t>立方米。南侧约长</w:t>
            </w:r>
            <w:r>
              <w:rPr>
                <w:rFonts w:ascii="方正书宋_GBK" w:eastAsia="方正书宋_GBK"/>
              </w:rPr>
              <w:t>87</w:t>
            </w:r>
            <w:r>
              <w:rPr>
                <w:rFonts w:hint="eastAsia" w:ascii="方正书宋_GBK" w:eastAsia="方正书宋_GBK"/>
              </w:rPr>
              <w:t>米，分三个断面高分别为</w:t>
            </w:r>
            <w:r>
              <w:rPr>
                <w:rFonts w:ascii="方正书宋_GBK" w:eastAsia="方正书宋_GBK"/>
              </w:rPr>
              <w:t>4</w:t>
            </w:r>
            <w:r>
              <w:rPr>
                <w:rFonts w:hint="eastAsia" w:ascii="方正书宋_GBK" w:eastAsia="方正书宋_GBK"/>
              </w:rPr>
              <w:t>、</w:t>
            </w:r>
            <w:r>
              <w:rPr>
                <w:rFonts w:ascii="方正书宋_GBK" w:eastAsia="方正书宋_GBK"/>
              </w:rPr>
              <w:t>5</w:t>
            </w:r>
            <w:r>
              <w:rPr>
                <w:rFonts w:hint="eastAsia" w:ascii="方正书宋_GBK" w:eastAsia="方正书宋_GBK"/>
              </w:rPr>
              <w:t>、</w:t>
            </w:r>
            <w:r>
              <w:rPr>
                <w:rFonts w:ascii="方正书宋_GBK" w:eastAsia="方正书宋_GBK"/>
              </w:rPr>
              <w:t>6</w:t>
            </w:r>
            <w:r>
              <w:rPr>
                <w:rFonts w:hint="eastAsia" w:ascii="方正书宋_GBK" w:eastAsia="方正书宋_GBK"/>
              </w:rPr>
              <w:t>米，北侧约长</w:t>
            </w:r>
            <w:r>
              <w:rPr>
                <w:rFonts w:ascii="方正书宋_GBK" w:eastAsia="方正书宋_GBK"/>
              </w:rPr>
              <w:t>41</w:t>
            </w:r>
            <w:r>
              <w:rPr>
                <w:rFonts w:hint="eastAsia" w:ascii="方正书宋_GBK" w:eastAsia="方正书宋_GBK"/>
              </w:rPr>
              <w:t>米、高</w:t>
            </w:r>
            <w:r>
              <w:rPr>
                <w:rFonts w:ascii="方正书宋_GBK" w:eastAsia="方正书宋_GBK"/>
              </w:rPr>
              <w:t>6</w:t>
            </w:r>
            <w:r>
              <w:rPr>
                <w:rFonts w:hint="eastAsia" w:ascii="方正书宋_GBK" w:eastAsia="方正书宋_GBK"/>
              </w:rPr>
              <w:t>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山前大道消防站南北侧护坡，预防山体滑坡等地质灾害。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修建护坡长度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修建护坡南侧的长度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87</w:t>
            </w:r>
            <w:r>
              <w:rPr>
                <w:rFonts w:hint="eastAsia" w:ascii="方正书宋_GBK" w:eastAsia="方正书宋_GBK"/>
              </w:rPr>
              <w:t>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修建护坡长度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修建护坡北侧长度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41</w:t>
            </w:r>
            <w:r>
              <w:rPr>
                <w:rFonts w:hint="eastAsia" w:ascii="方正书宋_GBK" w:eastAsia="方正书宋_GBK"/>
              </w:rPr>
              <w:t>米</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山体围挡工程验收合格率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山体围挡工程量按时完成率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实际按时完成工程量占计划完成工程量的比率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南北侧护坡建设成本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南北侧护坡建设成本</w:t>
            </w:r>
          </w:p>
        </w:tc>
        <w:tc>
          <w:tcPr>
            <w:tcW w:w="2551" w:type="dxa"/>
            <w:vAlign w:val="center"/>
          </w:tcPr>
          <w:p>
            <w:pPr>
              <w:spacing w:line="300" w:lineRule="exact"/>
              <w:jc w:val="left"/>
              <w:rPr>
                <w:rFonts w:ascii="方正书宋_GBK" w:eastAsia="方正书宋_GBK"/>
              </w:rPr>
            </w:pPr>
            <w:r>
              <w:rPr>
                <w:rFonts w:ascii="方正书宋_GBK" w:eastAsia="方正书宋_GBK"/>
              </w:rPr>
              <w:t>25.41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隐患消除情况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是否消除安全隐患</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是</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收益群里满意度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收益群里满意度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9、山前大道消防救援站电费绩效目标表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因消防救援站是</w:t>
            </w:r>
            <w:r>
              <w:rPr>
                <w:rFonts w:ascii="方正书宋_GBK" w:eastAsia="方正书宋_GBK"/>
              </w:rPr>
              <w:t>24</w:t>
            </w:r>
            <w:r>
              <w:rPr>
                <w:rFonts w:hint="eastAsia" w:ascii="方正书宋_GBK" w:eastAsia="方正书宋_GBK"/>
              </w:rPr>
              <w:t>小时执勤战备，许多设备需</w:t>
            </w:r>
            <w:r>
              <w:rPr>
                <w:rFonts w:ascii="方正书宋_GBK" w:eastAsia="方正书宋_GBK"/>
              </w:rPr>
              <w:t>24</w:t>
            </w:r>
            <w:r>
              <w:rPr>
                <w:rFonts w:hint="eastAsia" w:ascii="方正书宋_GBK" w:eastAsia="方正书宋_GBK"/>
              </w:rPr>
              <w:t>小时开机运转，所以用电量较大，充足的电费用来保障消防刚需设施的正常运转。</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日常公用经费支出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电费的支出</w:t>
            </w:r>
          </w:p>
        </w:tc>
        <w:tc>
          <w:tcPr>
            <w:tcW w:w="2551" w:type="dxa"/>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保障运转率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各项日常工作保障率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及时保障各项日常办公需求</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保障日常办公用电需求</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保障日常办公用电需求，维护单位正常运转</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10、山前大道消防站攀岩训练设施建设绩效目标表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完成建设攀岩训练场地，能很好的提升消防员相关救援专业能力。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全体消防员将借助体能训练馆，丰富队伍业务生活，提升强身健体意识，培养健康运动观念，提高身体机能，实现综合素质全面发展。</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攀岩设施计划建设面积</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攀岩设施计划面积</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以签订合同实际面积为准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消防队攀岩设施工程验收合格率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按项目计划开工率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ascii="方正书宋_GBK" w:eastAsia="方正书宋_GBK"/>
              </w:rPr>
              <w:t>11.69</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综合利用率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设施建成后的利用、使用情况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设计功能实现率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工程达到设计标准的比率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非常满意</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11、智慧消防绩效目标表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把辖区重点单位消防设施全部连接、纳入云平台，实现统一监管、消防预警、分析、研判功能，提高消防监督执法质量、效率和火灾防控能力。</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安装设备的数量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安防系统远程监控系统安装的数量</w:t>
            </w:r>
          </w:p>
        </w:tc>
        <w:tc>
          <w:tcPr>
            <w:tcW w:w="2551" w:type="dxa"/>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安防系统远程监控接入单位的数量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计划安防系统远程监控接入单位数量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家</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验收合格的工程占全部工程的比例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开始第二段时间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第二阶段安防系统远程监控安装时间</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每套安防系统远程监控的价格</w:t>
            </w:r>
          </w:p>
        </w:tc>
        <w:tc>
          <w:tcPr>
            <w:tcW w:w="2551" w:type="dxa"/>
            <w:vAlign w:val="center"/>
          </w:tcPr>
          <w:p>
            <w:pPr>
              <w:spacing w:line="300" w:lineRule="exact"/>
              <w:jc w:val="left"/>
              <w:rPr>
                <w:rFonts w:ascii="方正书宋_GBK" w:eastAsia="方正书宋_GBK"/>
              </w:rPr>
            </w:pPr>
            <w:r>
              <w:rPr>
                <w:rFonts w:ascii="方正书宋_GBK" w:eastAsia="方正书宋_GBK"/>
              </w:rPr>
              <w:t>5000</w:t>
            </w:r>
            <w:r>
              <w:rPr>
                <w:rFonts w:hint="eastAsia" w:ascii="方正书宋_GBK" w:eastAsia="方正书宋_GBK"/>
              </w:rPr>
              <w:t>元</w:t>
            </w:r>
            <w:r>
              <w:rPr>
                <w:rFonts w:ascii="方正书宋_GBK" w:eastAsia="方正书宋_GBK"/>
              </w:rPr>
              <w:t>/</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物联网远程监控系统接入率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实际完成接入的单位占计划接入单位的比例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受益单位数量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安防系统远程监控受益的单位数量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合同签订家数为准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服务对象满意、较满意占总数的比例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12、山前大道一级消防站建设绩效目标表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山前大道消防站能有效解决鹿泉区北片无消防站缺陷，提升灭火出动效率，使城区北片火灾灭火救援中提升到场时限，有效扑救初起火灾，为我区经济安全保驾护航。</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基础设施项目建设完成率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基础设施建设项目工程完工情况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消防站建设工程质量验收合格率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消防站建设工程按时完成率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消防站工程按时完成的程度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ascii="方正书宋_GBK" w:eastAsia="方正书宋_GBK"/>
              </w:rPr>
              <w:t>112.5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业务保障能力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保障有效提升北片灭火救援有效处置覆盖率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长期较好地开展完成消防业务程度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能</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群众对消防队的整体满意度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13、山前大道消防站北侧安全坡档墙及护坡绩效目标表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山前大道消防站需在靠山体一侧增设挡土墙，并修建排水沟，防止雨季山上的雨水冲入大院。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山前大道消防站北侧护坡，预防山体滑坡等地质灾害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山体围挡工程量完成率（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实际完成工程量站计划完成工程量的比率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山体围挡工程验收合格率（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通过验收的工程量站建设总量的比率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山体围挡工程开始时间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山体围挡工程开始时间</w:t>
            </w:r>
          </w:p>
        </w:tc>
        <w:tc>
          <w:tcPr>
            <w:tcW w:w="2551" w:type="dxa"/>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修建石混凝土挡土墙计划成本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修建石混凝土挡土墙费用</w:t>
            </w:r>
          </w:p>
        </w:tc>
        <w:tc>
          <w:tcPr>
            <w:tcW w:w="2551" w:type="dxa"/>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项目正常运转率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项目正常运转率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收益群体满意程度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调查询问</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14、龙泉古镇智慧模块化微型消防站建设绩效目标表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为进一步增强消防基础设施建设，增强城市整体抵御和防范火灾的能力，及时有效处置各类火灾事故。</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模块化消防站建数量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建设模块化消防站个数</w:t>
            </w:r>
          </w:p>
        </w:tc>
        <w:tc>
          <w:tcPr>
            <w:tcW w:w="2551"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模块化消防站质量验收合格率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模块化消防站建设成本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建设龙泉古镇模块消防站部分成本</w:t>
            </w:r>
          </w:p>
        </w:tc>
        <w:tc>
          <w:tcPr>
            <w:tcW w:w="2551" w:type="dxa"/>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石鹿消【</w:t>
            </w:r>
            <w:r>
              <w:rPr>
                <w:rFonts w:ascii="方正书宋_GBK" w:eastAsia="方正书宋_GBK"/>
              </w:rPr>
              <w:t>2020</w:t>
            </w:r>
            <w:r>
              <w:rPr>
                <w:rFonts w:hint="eastAsia" w:ascii="方正书宋_GBK" w:eastAsia="方正书宋_GBK"/>
              </w:rPr>
              <w:t>】</w:t>
            </w:r>
            <w:r>
              <w:rPr>
                <w:rFonts w:ascii="方正书宋_GBK" w:eastAsia="方正书宋_GBK"/>
              </w:rPr>
              <w:t>0055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业务保障能力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保障有效提升辖区灭火救援能力</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群众对消防队的整体满意度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15、龙泉路消防救援站土地租赁费绩效目标表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年次费用需支付给鹿泉区获鹿镇四街村委会，用来保障鹿泉区消防大队办公用地。</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解决办公用房面积（平方米）</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租用房屋所解决的办公用房面积</w:t>
            </w:r>
          </w:p>
        </w:tc>
        <w:tc>
          <w:tcPr>
            <w:tcW w:w="2551" w:type="dxa"/>
            <w:vAlign w:val="center"/>
          </w:tcPr>
          <w:p>
            <w:pPr>
              <w:spacing w:line="300" w:lineRule="exact"/>
              <w:jc w:val="left"/>
              <w:rPr>
                <w:rFonts w:ascii="方正书宋_GBK" w:eastAsia="方正书宋_GBK"/>
              </w:rPr>
            </w:pPr>
            <w:r>
              <w:rPr>
                <w:rFonts w:ascii="方正书宋_GBK" w:eastAsia="方正书宋_GBK"/>
              </w:rPr>
              <w:t>10.5</w:t>
            </w:r>
            <w:r>
              <w:rPr>
                <w:rFonts w:hint="eastAsia" w:ascii="方正书宋_GBK" w:eastAsia="方正书宋_GBK"/>
              </w:rPr>
              <w:t>亩</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租赁办场地质量情况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场地内宽广、卫生整洁</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场地内宽广、卫生整洁</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租赁合同签订时间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办公用房租赁合同签订日期</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月前</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单位面积办公用房年度租赁费</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租用房屋每亩年度租赁费</w:t>
            </w:r>
          </w:p>
        </w:tc>
        <w:tc>
          <w:tcPr>
            <w:tcW w:w="2551" w:type="dxa"/>
            <w:vAlign w:val="center"/>
          </w:tcPr>
          <w:p>
            <w:pPr>
              <w:spacing w:line="300" w:lineRule="exact"/>
              <w:jc w:val="left"/>
              <w:rPr>
                <w:rFonts w:ascii="方正书宋_GBK" w:eastAsia="方正书宋_GBK"/>
              </w:rPr>
            </w:pPr>
            <w:r>
              <w:rPr>
                <w:rFonts w:ascii="方正书宋_GBK" w:eastAsia="方正书宋_GBK"/>
              </w:rPr>
              <w:t>0.9</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租赁办公用房保障办公需要人数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满意人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办公用房使用人员满意程度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16、消防实战演练经费绩效目标表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通过实战演练有效提升实战能力和灭火有效处置能力，保障人民生命财产安全。</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消防实战演练次数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按月需演练</w:t>
            </w:r>
            <w:r>
              <w:rPr>
                <w:rFonts w:ascii="方正书宋_GBK" w:eastAsia="方正书宋_GBK"/>
              </w:rPr>
              <w:t>16</w:t>
            </w:r>
            <w:r>
              <w:rPr>
                <w:rFonts w:hint="eastAsia" w:ascii="方正书宋_GBK" w:eastAsia="方正书宋_GBK"/>
              </w:rPr>
              <w:t>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实战演练器材保障率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完好消防产品数量占总演练产品数量的比例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每月开展演练的次数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开展消防实战演练的次数完成率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演练中消耗的器材成本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演练中消耗的器材成本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重点安慰消防实战演练覆盖率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重点单位演练占总数的比率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活动受益群体满意程度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17、山前大道消防站电子阅览室建设绩效目标表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电子阅览室建成后，能有效提升消防员灭火救援专业技能，同时也能丰富消防员日常生活，为大队创造</w:t>
            </w:r>
            <w:bookmarkStart w:id="18" w:name="_GoBack"/>
            <w:r>
              <w:rPr>
                <w:rFonts w:hint="eastAsia" w:ascii="方正书宋_GBK" w:eastAsia="方正书宋_GBK"/>
                <w:lang w:val="en-US" w:eastAsia="zh-CN"/>
              </w:rPr>
              <w:t>拴</w:t>
            </w:r>
            <w:bookmarkEnd w:id="18"/>
            <w:r>
              <w:rPr>
                <w:rFonts w:hint="eastAsia" w:ascii="方正书宋_GBK" w:eastAsia="方正书宋_GBK"/>
              </w:rPr>
              <w:t>心留人的环境提供了保障。</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阅览室建设面积（平方米）</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计划建设阅览室面积</w:t>
            </w:r>
          </w:p>
        </w:tc>
        <w:tc>
          <w:tcPr>
            <w:tcW w:w="2551" w:type="dxa"/>
            <w:vAlign w:val="center"/>
          </w:tcPr>
          <w:p>
            <w:pPr>
              <w:spacing w:line="300" w:lineRule="exact"/>
              <w:jc w:val="left"/>
              <w:rPr>
                <w:rFonts w:ascii="方正书宋_GBK" w:eastAsia="方正书宋_GBK"/>
              </w:rPr>
            </w:pPr>
            <w:r>
              <w:rPr>
                <w:rFonts w:ascii="方正书宋_GBK" w:eastAsia="方正书宋_GBK"/>
              </w:rPr>
              <w:t>328.68328.68</w:t>
            </w:r>
            <w:r>
              <w:rPr>
                <w:rFonts w:hint="eastAsia" w:ascii="方正书宋_GBK" w:eastAsia="方正书宋_GBK"/>
              </w:rPr>
              <w:t>平方米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40.66</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综合利用率（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设施建成后的利用、使用情况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使用人员满意、较满意占总人数的比率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18、山前大道消防救援站体能训练场建设及配套设施绩效目标表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全体消防员将借助体能训练馆，丰富队伍业务生活，提升强身健体意识，培养健康运动观念，提高身体机能，实现综合素质全面发展。</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配套设施完成率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实际完成工配套社会量占计划完成配套设施量的比率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体能训练场工程验收合格率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工程验收合格站总量的比率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训练器材购置合格率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器材合格占总量的比率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项目按计划开工情况</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工程单位建设成本</w:t>
            </w:r>
          </w:p>
        </w:tc>
        <w:tc>
          <w:tcPr>
            <w:tcW w:w="2835"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体能训练馆使用率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建成后利用、使用率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适用对象满意度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使用对象满意、较满意占总数的比率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19、消防车费用绩效目标表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w:t>
            </w:r>
            <w:r>
              <w:rPr>
                <w:rFonts w:ascii="方正书宋_GBK" w:eastAsia="方正书宋_GBK"/>
              </w:rPr>
              <w:t>21</w:t>
            </w:r>
            <w:r>
              <w:rPr>
                <w:rFonts w:hint="eastAsia" w:ascii="方正书宋_GBK" w:eastAsia="方正书宋_GBK"/>
              </w:rPr>
              <w:t>辆灭火、专勤和</w:t>
            </w:r>
            <w:r>
              <w:rPr>
                <w:rFonts w:ascii="方正书宋_GBK" w:eastAsia="方正书宋_GBK"/>
              </w:rPr>
              <w:t>5</w:t>
            </w:r>
            <w:r>
              <w:rPr>
                <w:rFonts w:hint="eastAsia" w:ascii="方正书宋_GBK" w:eastAsia="方正书宋_GBK"/>
              </w:rPr>
              <w:t>辆举高消防车日常维护保养，确保执勤车辆在灭火、抢险救援、重大安保任务等过程中完成任务。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能够及时有效处置各类火灾及抢险救援事故。</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运行消防车的数量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保障消防车正常运行的数量</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执勤车辆性能完好率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执勤车辆性能完好的数量占总数的比率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消防车维修维护及时率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每季度对消防车维修维护及时比率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车辆经费标准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每辆灭火、专勤消防车经费</w:t>
            </w:r>
          </w:p>
        </w:tc>
        <w:tc>
          <w:tcPr>
            <w:tcW w:w="2551" w:type="dxa"/>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执勤车辆正常出警率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执勤车辆正常出警车辆占总车辆的比率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受益人员满意度（</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调查中受益人员满意和较满意的占总人数的比率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spacing w:before="156" w:beforeLines="50" w:after="156" w:afterLines="50"/>
        <w:ind w:firstLine="640" w:firstLineChars="200"/>
        <w:jc w:val="left"/>
        <w:outlineLvl w:val="2"/>
        <w:rPr>
          <w:rFonts w:hAnsi="宋体"/>
          <w:sz w:val="32"/>
        </w:rPr>
      </w:pPr>
      <w:bookmarkStart w:id="14" w:name="_Toc68165006"/>
      <w:r>
        <w:rPr>
          <w:rFonts w:hint="eastAsia" w:ascii="黑体" w:eastAsia="黑体"/>
          <w:sz w:val="32"/>
        </w:rPr>
        <w:t>六、政府采购预算情况</w:t>
      </w:r>
      <w:bookmarkEnd w:id="14"/>
    </w:p>
    <w:p>
      <w:pPr>
        <w:spacing w:line="500" w:lineRule="exact"/>
        <w:ind w:firstLine="560" w:firstLineChars="200"/>
        <w:jc w:val="left"/>
        <w:rPr>
          <w:rFonts w:hAnsi="宋体"/>
          <w:sz w:val="28"/>
        </w:rPr>
      </w:pPr>
      <w:bookmarkStart w:id="15" w:name="_Toc68165007"/>
      <w:r>
        <w:rPr>
          <w:rFonts w:hint="eastAsia" w:eastAsia="方正仿宋_GBK"/>
          <w:sz w:val="28"/>
        </w:rPr>
        <w:t>2021年，石家庄市鹿泉区消防大队本级安排政府采购预算725万元，具体内容见下表。</w:t>
      </w:r>
    </w:p>
    <w:p>
      <w:pPr>
        <w:jc w:val="center"/>
        <w:rPr>
          <w:rFonts w:hAnsi="宋体"/>
          <w:sz w:val="36"/>
        </w:rPr>
      </w:pPr>
      <w:r>
        <w:rPr>
          <w:rFonts w:hint="eastAsia" w:ascii="方正小标宋_GBK" w:eastAsia="方正小标宋_GBK"/>
          <w:sz w:val="36"/>
        </w:rPr>
        <w:t>单位政府采购预算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pPr>
          </w:p>
        </w:tc>
        <w:tc>
          <w:tcPr>
            <w:tcW w:w="1531" w:type="dxa"/>
            <w:vMerge w:val="continue"/>
            <w:shd w:val="clear" w:color="auto" w:fill="auto"/>
            <w:vAlign w:val="center"/>
          </w:tcPr>
          <w:p>
            <w:pPr>
              <w:spacing w:line="300" w:lineRule="exact"/>
              <w:jc w:val="left"/>
            </w:pPr>
          </w:p>
        </w:tc>
        <w:tc>
          <w:tcPr>
            <w:tcW w:w="709"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7250000.00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5600000.00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石家庄市鹿泉区消防救援大队本级小计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7250000.00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1650000.00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5600000.00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防火监督检查设备费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龙泉古镇智慧模块化微型消防站建设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山前大道消防救援站体能训练场建设及配套设施</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健身设备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A033626</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山前大道消防救援站执勤备战设施用品</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办公套件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山前大道消防站北侧安全坡档墙及护坡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智慧消防</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其他计算机设备及软件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before="156" w:beforeLines="50" w:after="156" w:afterLines="50"/>
        <w:ind w:firstLine="640" w:firstLineChars="200"/>
        <w:jc w:val="left"/>
        <w:outlineLvl w:val="2"/>
        <w:rPr>
          <w:rFonts w:hAnsi="宋体"/>
          <w:sz w:val="32"/>
        </w:rPr>
      </w:pPr>
      <w:r>
        <w:rPr>
          <w:rFonts w:hint="eastAsia" w:ascii="黑体" w:hAnsi="黑体" w:eastAsia="黑体"/>
          <w:sz w:val="32"/>
        </w:rPr>
        <w:t>七、国有资产信息</w:t>
      </w:r>
      <w:bookmarkEnd w:id="15"/>
    </w:p>
    <w:p>
      <w:pPr>
        <w:spacing w:line="500" w:lineRule="exact"/>
        <w:ind w:firstLine="560" w:firstLineChars="200"/>
        <w:jc w:val="left"/>
        <w:rPr>
          <w:rFonts w:hAnsi="宋体"/>
          <w:sz w:val="28"/>
        </w:rPr>
      </w:pPr>
      <w:r>
        <w:rPr>
          <w:rFonts w:hint="eastAsia" w:eastAsia="方正仿宋_GBK"/>
          <w:sz w:val="28"/>
        </w:rPr>
        <w:t>石家庄市鹿泉区消防大队本级上年末固定资产金额为0.00万元（详见下表）。本年度拟购置固定资产总额为0.00万元，已按要求列入政府采购预算，详见政府采购预算表。</w:t>
      </w:r>
    </w:p>
    <w:p>
      <w:pPr>
        <w:jc w:val="center"/>
        <w:rPr>
          <w:rFonts w:hAnsi="宋体"/>
          <w:sz w:val="36"/>
        </w:rPr>
      </w:pPr>
      <w:r>
        <w:rPr>
          <w:rFonts w:hint="eastAsia" w:ascii="方正小标宋_GBK" w:eastAsia="方正小标宋_GBK"/>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807001</w:t>
            </w:r>
            <w:r>
              <w:rPr>
                <w:rFonts w:hint="eastAsia" w:ascii="方正小标宋_GBK" w:eastAsia="方正小标宋_GBK"/>
                <w:sz w:val="24"/>
              </w:rPr>
              <w:t>石家庄市鹿泉区消防大队本级</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p>
        </w:tc>
      </w:tr>
    </w:tbl>
    <w:p>
      <w:pPr>
        <w:ind w:firstLine="420" w:firstLineChars="200"/>
        <w:jc w:val="left"/>
        <w:rPr>
          <w:rFonts w:hAnsi="宋体"/>
        </w:rPr>
      </w:pPr>
      <w:r>
        <w:rPr>
          <w:rFonts w:hint="eastAsia" w:ascii="方正书宋_GBK" w:eastAsia="方正书宋_GBK"/>
        </w:rPr>
        <w:t>注：无固定资产占用情况，空表列示。</w:t>
      </w:r>
    </w:p>
    <w:p>
      <w:pPr>
        <w:spacing w:before="156" w:beforeLines="50" w:after="156" w:afterLines="50"/>
        <w:ind w:firstLine="640" w:firstLineChars="200"/>
        <w:jc w:val="left"/>
        <w:outlineLvl w:val="2"/>
        <w:rPr>
          <w:rFonts w:hAnsi="宋体"/>
          <w:sz w:val="32"/>
        </w:rPr>
      </w:pPr>
      <w:bookmarkStart w:id="16" w:name="_Toc68165008"/>
      <w:r>
        <w:rPr>
          <w:rFonts w:hint="eastAsia" w:ascii="黑体" w:hAnsi="黑体" w:eastAsia="黑体"/>
          <w:sz w:val="32"/>
        </w:rPr>
        <w:t>八、名词解释</w:t>
      </w:r>
      <w:bookmarkEnd w:id="16"/>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Ansi="宋体"/>
          <w:sz w:val="32"/>
        </w:rPr>
      </w:pPr>
      <w:bookmarkStart w:id="17" w:name="_Toc68165009"/>
      <w:r>
        <w:rPr>
          <w:rFonts w:hint="eastAsia" w:ascii="黑体" w:hAnsi="黑体" w:eastAsia="黑体"/>
          <w:sz w:val="32"/>
        </w:rPr>
        <w:t>九、其他需要说明的事项</w:t>
      </w:r>
      <w:bookmarkEnd w:id="17"/>
    </w:p>
    <w:p>
      <w:pPr>
        <w:spacing w:line="500" w:lineRule="exact"/>
        <w:ind w:firstLine="560" w:firstLineChars="200"/>
        <w:jc w:val="left"/>
        <w:rPr>
          <w:rFonts w:hAnsi="宋体"/>
          <w:sz w:val="28"/>
        </w:rPr>
      </w:pPr>
      <w:r>
        <w:rPr>
          <w:rFonts w:hint="eastAsia" w:eastAsia="方正仿宋_GBK"/>
          <w:sz w:val="28"/>
        </w:rPr>
        <w:t>我单位无其他需要说明的事项。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2</w:t>
    </w:r>
    <w:r>
      <w:rPr>
        <w:rStyle w:val="9"/>
      </w:rP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2</w:t>
    </w:r>
    <w:r>
      <w:rPr>
        <w:rStyle w:val="9"/>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QyNDI0MjIyOTZhZWMxM2MwMjdhZTJjNjgwMmQzYzcifQ=="/>
  </w:docVars>
  <w:rsids>
    <w:rsidRoot w:val="000C343F"/>
    <w:rsid w:val="00022645"/>
    <w:rsid w:val="000C343F"/>
    <w:rsid w:val="000C5FA0"/>
    <w:rsid w:val="002D78CB"/>
    <w:rsid w:val="003D61D7"/>
    <w:rsid w:val="00783D1A"/>
    <w:rsid w:val="007F2F27"/>
    <w:rsid w:val="00873C55"/>
    <w:rsid w:val="009E2784"/>
    <w:rsid w:val="00A93E6C"/>
    <w:rsid w:val="00A963E4"/>
    <w:rsid w:val="00B14E38"/>
    <w:rsid w:val="00D341E8"/>
    <w:rsid w:val="00D961B3"/>
    <w:rsid w:val="00DB2C7A"/>
    <w:rsid w:val="00F330EB"/>
    <w:rsid w:val="024071DD"/>
    <w:rsid w:val="033D596D"/>
    <w:rsid w:val="05447995"/>
    <w:rsid w:val="082B6D64"/>
    <w:rsid w:val="0A2C4A83"/>
    <w:rsid w:val="0A3D4585"/>
    <w:rsid w:val="0A9B2C3D"/>
    <w:rsid w:val="12687CE7"/>
    <w:rsid w:val="1A343DD5"/>
    <w:rsid w:val="212300B7"/>
    <w:rsid w:val="232C3F91"/>
    <w:rsid w:val="26F500D6"/>
    <w:rsid w:val="402866F3"/>
    <w:rsid w:val="41002EE2"/>
    <w:rsid w:val="47C218DF"/>
    <w:rsid w:val="49BA7422"/>
    <w:rsid w:val="4C397FC2"/>
    <w:rsid w:val="4E423A55"/>
    <w:rsid w:val="4FF45DDB"/>
    <w:rsid w:val="60E12FDC"/>
    <w:rsid w:val="61ED6F81"/>
    <w:rsid w:val="67BD124C"/>
    <w:rsid w:val="6F652DDA"/>
    <w:rsid w:val="708F6F05"/>
    <w:rsid w:val="78370241"/>
    <w:rsid w:val="7D1155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qFormat="1" w:unhideWhenUsed="0" w:uiPriority="0" w:name="toc 2"/>
    <w:lsdException w:qFormat="1" w:unhideWhenUsed="0" w:uiPriority="0" w:name="toc 3"/>
    <w:lsdException w:qFormat="1" w:unhideWhenUsed="0"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next w:val="1"/>
    <w:semiHidden/>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qFormat/>
    <w:uiPriority w:val="0"/>
    <w:pPr>
      <w:ind w:left="1260" w:leftChars="600"/>
    </w:pPr>
  </w:style>
  <w:style w:type="paragraph" w:styleId="6">
    <w:name w:val="toc 2"/>
    <w:basedOn w:val="1"/>
    <w:next w:val="1"/>
    <w:semiHidden/>
    <w:qFormat/>
    <w:uiPriority w:val="0"/>
    <w:pPr>
      <w:ind w:left="420" w:leftChars="200"/>
    </w:pPr>
  </w:style>
  <w:style w:type="character" w:styleId="9">
    <w:name w:val="page number"/>
    <w:basedOn w:val="8"/>
    <w:qFormat/>
    <w:uiPriority w:val="0"/>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36</Pages>
  <Words>2513</Words>
  <Characters>14329</Characters>
  <Lines>119</Lines>
  <Paragraphs>33</Paragraphs>
  <TotalTime>35</TotalTime>
  <ScaleCrop>false</ScaleCrop>
  <LinksUpToDate>false</LinksUpToDate>
  <CharactersWithSpaces>16809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ღ°捕月</cp:lastModifiedBy>
  <cp:lastPrinted>2021-04-01T06:26:00Z</cp:lastPrinted>
  <dcterms:modified xsi:type="dcterms:W3CDTF">2024-03-07T01:42:55Z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6F47024FA43B4910B324D46C22252A57</vt:lpwstr>
  </property>
</Properties>
</file>