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一、石家庄市公安局鹿泉分局交通管理大队收支预算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一、石家庄市公安局鹿泉分局交通管理大队收支预算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3317.01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3281.12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3317.01</w:t>
            </w:r>
          </w:p>
        </w:tc>
        <w:tc>
          <w:tcPr>
            <w:tcW w:w="4535" w:type="dxa"/>
            <w:vAlign w:val="center"/>
          </w:tcPr>
          <w:p>
            <w:pPr>
              <w:pStyle w:val="14"/>
            </w:pPr>
            <w:r>
              <w:t>本年支出合计</w:t>
            </w:r>
          </w:p>
        </w:tc>
        <w:tc>
          <w:tcPr>
            <w:tcW w:w="2126" w:type="dxa"/>
            <w:vAlign w:val="center"/>
          </w:tcPr>
          <w:p>
            <w:pPr>
              <w:pStyle w:val="15"/>
            </w:pPr>
            <w:r>
              <w:t>3317.01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3317.01</w:t>
            </w:r>
          </w:p>
        </w:tc>
        <w:tc>
          <w:tcPr>
            <w:tcW w:w="4535" w:type="dxa"/>
            <w:vAlign w:val="center"/>
          </w:tcPr>
          <w:p>
            <w:pPr>
              <w:pStyle w:val="14"/>
            </w:pPr>
            <w:r>
              <w:t>支出总计</w:t>
            </w:r>
          </w:p>
        </w:tc>
        <w:tc>
          <w:tcPr>
            <w:tcW w:w="2126" w:type="dxa"/>
            <w:vAlign w:val="center"/>
          </w:tcPr>
          <w:p>
            <w:pPr>
              <w:pStyle w:val="15"/>
            </w:pPr>
            <w:r>
              <w:t>3317.01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3317.01</w:t>
            </w:r>
          </w:p>
        </w:tc>
        <w:tc>
          <w:tcPr>
            <w:tcW w:w="1134" w:type="dxa"/>
            <w:vAlign w:val="center"/>
          </w:tcPr>
          <w:p>
            <w:pPr>
              <w:pStyle w:val="15"/>
            </w:pPr>
            <w:r>
              <w:t>3317.01</w:t>
            </w:r>
          </w:p>
        </w:tc>
        <w:tc>
          <w:tcPr>
            <w:tcW w:w="1134" w:type="dxa"/>
            <w:vAlign w:val="center"/>
          </w:tcPr>
          <w:p>
            <w:pPr>
              <w:pStyle w:val="15"/>
            </w:pPr>
            <w:r>
              <w:t>3317.01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3281.12</w:t>
            </w:r>
          </w:p>
        </w:tc>
        <w:tc>
          <w:tcPr>
            <w:tcW w:w="1134" w:type="dxa"/>
            <w:vAlign w:val="center"/>
          </w:tcPr>
          <w:p>
            <w:pPr>
              <w:pStyle w:val="11"/>
            </w:pPr>
            <w:r>
              <w:t>3281.12</w:t>
            </w:r>
          </w:p>
        </w:tc>
        <w:tc>
          <w:tcPr>
            <w:tcW w:w="1134" w:type="dxa"/>
            <w:vAlign w:val="center"/>
          </w:tcPr>
          <w:p>
            <w:pPr>
              <w:pStyle w:val="11"/>
            </w:pPr>
            <w:r>
              <w:t>3281.12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3281.12</w:t>
            </w:r>
          </w:p>
        </w:tc>
        <w:tc>
          <w:tcPr>
            <w:tcW w:w="1134" w:type="dxa"/>
            <w:vAlign w:val="center"/>
          </w:tcPr>
          <w:p>
            <w:pPr>
              <w:pStyle w:val="11"/>
            </w:pPr>
            <w:r>
              <w:t>3281.12</w:t>
            </w:r>
          </w:p>
        </w:tc>
        <w:tc>
          <w:tcPr>
            <w:tcW w:w="1134" w:type="dxa"/>
            <w:vAlign w:val="center"/>
          </w:tcPr>
          <w:p>
            <w:pPr>
              <w:pStyle w:val="11"/>
            </w:pPr>
            <w:r>
              <w:t>3281.12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2525.12</w:t>
            </w:r>
          </w:p>
        </w:tc>
        <w:tc>
          <w:tcPr>
            <w:tcW w:w="1134" w:type="dxa"/>
            <w:vAlign w:val="center"/>
          </w:tcPr>
          <w:p>
            <w:pPr>
              <w:pStyle w:val="11"/>
            </w:pPr>
            <w:r>
              <w:t>2525.12</w:t>
            </w:r>
          </w:p>
        </w:tc>
        <w:tc>
          <w:tcPr>
            <w:tcW w:w="1134" w:type="dxa"/>
            <w:vAlign w:val="center"/>
          </w:tcPr>
          <w:p>
            <w:pPr>
              <w:pStyle w:val="11"/>
            </w:pPr>
            <w:r>
              <w:t>2525.12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r>
              <w:t>756.00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r>
              <w:t>35.89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3317.01</w:t>
            </w:r>
          </w:p>
        </w:tc>
        <w:tc>
          <w:tcPr>
            <w:tcW w:w="1361" w:type="dxa"/>
            <w:vAlign w:val="center"/>
          </w:tcPr>
          <w:p>
            <w:pPr>
              <w:pStyle w:val="15"/>
            </w:pPr>
            <w:r>
              <w:t>2525.12</w:t>
            </w:r>
          </w:p>
        </w:tc>
        <w:tc>
          <w:tcPr>
            <w:tcW w:w="1361" w:type="dxa"/>
            <w:vAlign w:val="center"/>
          </w:tcPr>
          <w:p>
            <w:pPr>
              <w:pStyle w:val="15"/>
            </w:pPr>
            <w:r>
              <w:t>791.89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3281.12</w:t>
            </w:r>
          </w:p>
        </w:tc>
        <w:tc>
          <w:tcPr>
            <w:tcW w:w="1361" w:type="dxa"/>
            <w:vAlign w:val="center"/>
          </w:tcPr>
          <w:p>
            <w:pPr>
              <w:pStyle w:val="11"/>
            </w:pPr>
            <w:r>
              <w:t>2525.12</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3281.12</w:t>
            </w:r>
          </w:p>
        </w:tc>
        <w:tc>
          <w:tcPr>
            <w:tcW w:w="1361" w:type="dxa"/>
            <w:vAlign w:val="center"/>
          </w:tcPr>
          <w:p>
            <w:pPr>
              <w:pStyle w:val="11"/>
            </w:pPr>
            <w:r>
              <w:t>2525.12</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2525.12</w:t>
            </w:r>
          </w:p>
        </w:tc>
        <w:tc>
          <w:tcPr>
            <w:tcW w:w="1361" w:type="dxa"/>
            <w:vAlign w:val="center"/>
          </w:tcPr>
          <w:p>
            <w:pPr>
              <w:pStyle w:val="11"/>
            </w:pPr>
            <w:r>
              <w:t>2525.12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r>
              <w:t>756.00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r>
              <w:t>35.89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3317.01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3281.12</w:t>
            </w:r>
          </w:p>
        </w:tc>
        <w:tc>
          <w:tcPr>
            <w:tcW w:w="1474" w:type="dxa"/>
            <w:vAlign w:val="center"/>
          </w:tcPr>
          <w:p>
            <w:pPr>
              <w:pStyle w:val="11"/>
            </w:pPr>
            <w:r>
              <w:t>3281.12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35.89</w:t>
            </w:r>
          </w:p>
        </w:tc>
        <w:tc>
          <w:tcPr>
            <w:tcW w:w="1474" w:type="dxa"/>
            <w:vAlign w:val="center"/>
          </w:tcPr>
          <w:p>
            <w:pPr>
              <w:pStyle w:val="11"/>
            </w:pPr>
            <w:r>
              <w:t>35.89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3317.01</w:t>
            </w:r>
          </w:p>
        </w:tc>
        <w:tc>
          <w:tcPr>
            <w:tcW w:w="3402" w:type="dxa"/>
            <w:vAlign w:val="center"/>
          </w:tcPr>
          <w:p>
            <w:pPr>
              <w:pStyle w:val="14"/>
            </w:pPr>
            <w:r>
              <w:t>本年支出合计</w:t>
            </w:r>
          </w:p>
        </w:tc>
        <w:tc>
          <w:tcPr>
            <w:tcW w:w="1474" w:type="dxa"/>
            <w:vAlign w:val="center"/>
          </w:tcPr>
          <w:p>
            <w:pPr>
              <w:pStyle w:val="15"/>
            </w:pPr>
            <w:r>
              <w:t>3317.01</w:t>
            </w:r>
          </w:p>
        </w:tc>
        <w:tc>
          <w:tcPr>
            <w:tcW w:w="1474" w:type="dxa"/>
            <w:vAlign w:val="center"/>
          </w:tcPr>
          <w:p>
            <w:pPr>
              <w:pStyle w:val="15"/>
            </w:pPr>
            <w:r>
              <w:t>3317.01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3317.01</w:t>
            </w:r>
          </w:p>
        </w:tc>
        <w:tc>
          <w:tcPr>
            <w:tcW w:w="3402" w:type="dxa"/>
            <w:vAlign w:val="center"/>
          </w:tcPr>
          <w:p>
            <w:pPr>
              <w:pStyle w:val="14"/>
            </w:pPr>
            <w:r>
              <w:t>支出总计</w:t>
            </w:r>
          </w:p>
        </w:tc>
        <w:tc>
          <w:tcPr>
            <w:tcW w:w="1474" w:type="dxa"/>
            <w:vAlign w:val="center"/>
          </w:tcPr>
          <w:p>
            <w:pPr>
              <w:pStyle w:val="15"/>
            </w:pPr>
            <w:r>
              <w:t>3317.01</w:t>
            </w:r>
          </w:p>
        </w:tc>
        <w:tc>
          <w:tcPr>
            <w:tcW w:w="1474" w:type="dxa"/>
            <w:vAlign w:val="center"/>
          </w:tcPr>
          <w:p>
            <w:pPr>
              <w:pStyle w:val="15"/>
            </w:pPr>
            <w:r>
              <w:t>3317.01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3317.01</w:t>
            </w:r>
          </w:p>
        </w:tc>
        <w:tc>
          <w:tcPr>
            <w:tcW w:w="2551" w:type="dxa"/>
            <w:vAlign w:val="center"/>
          </w:tcPr>
          <w:p>
            <w:pPr>
              <w:pStyle w:val="15"/>
            </w:pPr>
            <w:r>
              <w:t>2525.12</w:t>
            </w:r>
          </w:p>
        </w:tc>
        <w:tc>
          <w:tcPr>
            <w:tcW w:w="2551" w:type="dxa"/>
            <w:vAlign w:val="center"/>
          </w:tcPr>
          <w:p>
            <w:pPr>
              <w:pStyle w:val="15"/>
            </w:pPr>
            <w:r>
              <w:t>791.89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3281.12</w:t>
            </w:r>
          </w:p>
        </w:tc>
        <w:tc>
          <w:tcPr>
            <w:tcW w:w="2551" w:type="dxa"/>
            <w:vAlign w:val="center"/>
          </w:tcPr>
          <w:p>
            <w:pPr>
              <w:pStyle w:val="11"/>
            </w:pPr>
            <w:r>
              <w:t>2525.12</w:t>
            </w:r>
          </w:p>
        </w:tc>
        <w:tc>
          <w:tcPr>
            <w:tcW w:w="2551" w:type="dxa"/>
            <w:vAlign w:val="center"/>
          </w:tcPr>
          <w:p>
            <w:pPr>
              <w:pStyle w:val="11"/>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3281.12</w:t>
            </w:r>
          </w:p>
        </w:tc>
        <w:tc>
          <w:tcPr>
            <w:tcW w:w="2551" w:type="dxa"/>
            <w:vAlign w:val="center"/>
          </w:tcPr>
          <w:p>
            <w:pPr>
              <w:pStyle w:val="11"/>
            </w:pPr>
            <w:r>
              <w:t>2525.12</w:t>
            </w:r>
          </w:p>
        </w:tc>
        <w:tc>
          <w:tcPr>
            <w:tcW w:w="2551" w:type="dxa"/>
            <w:vAlign w:val="center"/>
          </w:tcPr>
          <w:p>
            <w:pPr>
              <w:pStyle w:val="11"/>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2525.12</w:t>
            </w:r>
          </w:p>
        </w:tc>
        <w:tc>
          <w:tcPr>
            <w:tcW w:w="2551" w:type="dxa"/>
            <w:vAlign w:val="center"/>
          </w:tcPr>
          <w:p>
            <w:pPr>
              <w:pStyle w:val="11"/>
            </w:pPr>
            <w:r>
              <w:t>2525.12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756.00</w:t>
            </w:r>
          </w:p>
        </w:tc>
        <w:tc>
          <w:tcPr>
            <w:tcW w:w="2551" w:type="dxa"/>
            <w:vAlign w:val="center"/>
          </w:tcPr>
          <w:p>
            <w:pPr>
              <w:pStyle w:val="11"/>
            </w:pPr>
          </w:p>
        </w:tc>
        <w:tc>
          <w:tcPr>
            <w:tcW w:w="2551" w:type="dxa"/>
            <w:vAlign w:val="center"/>
          </w:tcPr>
          <w:p>
            <w:pPr>
              <w:pStyle w:val="11"/>
            </w:pPr>
            <w:r>
              <w:t>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35.89</w:t>
            </w:r>
          </w:p>
        </w:tc>
        <w:tc>
          <w:tcPr>
            <w:tcW w:w="2551" w:type="dxa"/>
            <w:vAlign w:val="center"/>
          </w:tcPr>
          <w:p>
            <w:pPr>
              <w:pStyle w:val="11"/>
            </w:pPr>
          </w:p>
        </w:tc>
        <w:tc>
          <w:tcPr>
            <w:tcW w:w="2551" w:type="dxa"/>
            <w:vAlign w:val="center"/>
          </w:tcPr>
          <w:p>
            <w:pPr>
              <w:pStyle w:val="11"/>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35.89</w:t>
            </w:r>
          </w:p>
        </w:tc>
        <w:tc>
          <w:tcPr>
            <w:tcW w:w="2551" w:type="dxa"/>
            <w:vAlign w:val="center"/>
          </w:tcPr>
          <w:p>
            <w:pPr>
              <w:pStyle w:val="11"/>
            </w:pPr>
          </w:p>
        </w:tc>
        <w:tc>
          <w:tcPr>
            <w:tcW w:w="2551" w:type="dxa"/>
            <w:vAlign w:val="center"/>
          </w:tcPr>
          <w:p>
            <w:pPr>
              <w:pStyle w:val="11"/>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35.89</w:t>
            </w:r>
          </w:p>
        </w:tc>
        <w:tc>
          <w:tcPr>
            <w:tcW w:w="2551" w:type="dxa"/>
            <w:vAlign w:val="center"/>
          </w:tcPr>
          <w:p>
            <w:pPr>
              <w:pStyle w:val="11"/>
            </w:pPr>
          </w:p>
        </w:tc>
        <w:tc>
          <w:tcPr>
            <w:tcW w:w="2551" w:type="dxa"/>
            <w:vAlign w:val="center"/>
          </w:tcPr>
          <w:p>
            <w:pPr>
              <w:pStyle w:val="11"/>
            </w:pPr>
            <w:r>
              <w:t>35.89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2525.12</w:t>
            </w:r>
          </w:p>
        </w:tc>
        <w:tc>
          <w:tcPr>
            <w:tcW w:w="2551" w:type="dxa"/>
            <w:vAlign w:val="center"/>
          </w:tcPr>
          <w:p>
            <w:pPr>
              <w:pStyle w:val="15"/>
            </w:pPr>
          </w:p>
        </w:tc>
        <w:tc>
          <w:tcPr>
            <w:tcW w:w="2551" w:type="dxa"/>
            <w:vAlign w:val="center"/>
          </w:tcPr>
          <w:p>
            <w:pPr>
              <w:pStyle w:val="15"/>
            </w:pPr>
            <w:r>
              <w:t>2525.12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2525.12</w:t>
            </w:r>
          </w:p>
        </w:tc>
        <w:tc>
          <w:tcPr>
            <w:tcW w:w="2551" w:type="dxa"/>
            <w:vAlign w:val="center"/>
          </w:tcPr>
          <w:p>
            <w:pPr>
              <w:pStyle w:val="11"/>
            </w:pPr>
          </w:p>
        </w:tc>
        <w:tc>
          <w:tcPr>
            <w:tcW w:w="2551" w:type="dxa"/>
            <w:vAlign w:val="center"/>
          </w:tcPr>
          <w:p>
            <w:pPr>
              <w:pStyle w:val="11"/>
            </w:pPr>
            <w:r>
              <w:t>2525.12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2525.12</w:t>
            </w:r>
          </w:p>
        </w:tc>
        <w:tc>
          <w:tcPr>
            <w:tcW w:w="2551" w:type="dxa"/>
            <w:vAlign w:val="center"/>
          </w:tcPr>
          <w:p>
            <w:pPr>
              <w:pStyle w:val="11"/>
            </w:pPr>
          </w:p>
        </w:tc>
        <w:tc>
          <w:tcPr>
            <w:tcW w:w="2551" w:type="dxa"/>
            <w:vAlign w:val="center"/>
          </w:tcPr>
          <w:p>
            <w:pPr>
              <w:pStyle w:val="11"/>
            </w:pPr>
            <w:r>
              <w:t>2525.12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石家庄市公安局鹿泉分局交通管理大队2024年单位预算信息公开情况说明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按照《中华人民共和国预算法》、《地方预决算公开操作规程》和《关于进一步推进预算公开工作的实施意见》规定，现将石家庄市公安局鹿泉分局交通管理大队2024年单位预算公开如下：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石家庄市公安局鹿泉分局交通管理大队</w:t>
            </w:r>
          </w:p>
        </w:tc>
        <w:tc>
          <w:tcPr>
            <w:tcW w:w="1843" w:type="dxa"/>
            <w:vAlign w:val="center"/>
          </w:tcPr>
          <w:p>
            <w:pPr>
              <w:pStyle w:val="13"/>
            </w:pPr>
            <w:r>
              <w:t>行政</w:t>
            </w:r>
          </w:p>
        </w:tc>
        <w:tc>
          <w:tcPr>
            <w:tcW w:w="2126" w:type="dxa"/>
            <w:vAlign w:val="center"/>
          </w:tcPr>
          <w:p>
            <w:pPr>
              <w:pStyle w:val="13"/>
            </w:pPr>
            <w:r>
              <w:t>副科级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3317.01万元，其中：一般公共预算收入3317.01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公安局鹿泉分局交通管理大队年度单位预算中支出预算的总体情况。2024年支出预算3317.01万元，其中基本支出2525.12万元，包括人员经费0.00万元和日常公用经费2525.12万元；项目支出791.89万元，主要为智慧交通建设工程、山前大道、裕华路西延、和平路西延交通设施安装工程、国省道施划交通标线等。</w:t>
      </w:r>
    </w:p>
    <w:p>
      <w:pPr>
        <w:pStyle w:val="18"/>
      </w:pPr>
      <w:r>
        <w:t>3、比上年增减情况</w:t>
      </w:r>
    </w:p>
    <w:p>
      <w:pPr>
        <w:pStyle w:val="18"/>
      </w:pPr>
      <w:r>
        <w:t>2024年预算收支安排3317.01万元，较2023年预算增加378.86万元，其中：基本支出减少35.23万元，主要为委托业务费略减少，专项项目支出增加。项目支出增加414.09万元，主要为专项项目支出年初预算增加。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3"/>
        <w:rPr>
          <w:rFonts w:ascii="黑体" w:hAnsi="黑体" w:eastAsia="黑体" w:cs="黑体"/>
          <w:color w:val="000000"/>
          <w:sz w:val="32"/>
        </w:rPr>
      </w:pPr>
      <w:r>
        <w:t>2024年，我</w:t>
      </w:r>
      <w:r>
        <w:rPr>
          <w:rFonts w:hint="eastAsia"/>
          <w:lang w:eastAsia="zh-CN"/>
        </w:rPr>
        <w:t>单位</w:t>
      </w:r>
      <w:bookmarkStart w:id="1" w:name="_GoBack"/>
      <w:bookmarkEnd w:id="1"/>
      <w:r>
        <w:t>机关运行经费共计安排</w:t>
      </w:r>
      <w:r>
        <w:rPr>
          <w:rFonts w:hint="eastAsia"/>
          <w:lang w:val="en-US" w:eastAsia="zh-CN"/>
        </w:rPr>
        <w:t>0</w:t>
      </w:r>
      <w:r>
        <w:t>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1、2021年前日常维护零散工程绩效目标表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13011024P00323010065A</w:t>
            </w:r>
          </w:p>
        </w:tc>
        <w:tc>
          <w:tcPr>
            <w:tcW w:w="2835" w:type="dxa"/>
            <w:vAlign w:val="center"/>
          </w:tcPr>
          <w:p>
            <w:pPr>
              <w:pStyle w:val="10"/>
            </w:pPr>
            <w:r>
              <w:t>项目名称</w:t>
            </w:r>
          </w:p>
        </w:tc>
        <w:tc>
          <w:tcPr>
            <w:tcW w:w="6094" w:type="dxa"/>
            <w:gridSpan w:val="3"/>
            <w:vAlign w:val="center"/>
          </w:tcPr>
          <w:p>
            <w:pPr>
              <w:pStyle w:val="12"/>
            </w:pPr>
            <w:r>
              <w:t>2021年前日常维护零散工程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用于支付2021年前日常维护零散工程经费。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1.提高交通设施的正常使用率。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年度执行零活次数</w:t>
            </w:r>
          </w:p>
        </w:tc>
        <w:tc>
          <w:tcPr>
            <w:tcW w:w="5386" w:type="dxa"/>
            <w:vAlign w:val="center"/>
          </w:tcPr>
          <w:p>
            <w:pPr>
              <w:pStyle w:val="12"/>
            </w:pPr>
            <w:r>
              <w:t>年度执行临时性零散工程的次数</w:t>
            </w:r>
          </w:p>
        </w:tc>
        <w:tc>
          <w:tcPr>
            <w:tcW w:w="2268" w:type="dxa"/>
            <w:vAlign w:val="center"/>
          </w:tcPr>
          <w:p>
            <w:pPr>
              <w:pStyle w:val="12"/>
            </w:pPr>
            <w:r>
              <w:t>36次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维修交通设施工程验收率</w:t>
            </w:r>
          </w:p>
        </w:tc>
        <w:tc>
          <w:tcPr>
            <w:tcW w:w="5386" w:type="dxa"/>
            <w:vAlign w:val="center"/>
          </w:tcPr>
          <w:p>
            <w:pPr>
              <w:pStyle w:val="12"/>
            </w:pPr>
            <w:r>
              <w:t>验收合格的工程量占总工程量的比率</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故障维修时间</w:t>
            </w:r>
          </w:p>
        </w:tc>
        <w:tc>
          <w:tcPr>
            <w:tcW w:w="5386" w:type="dxa"/>
            <w:vAlign w:val="center"/>
          </w:tcPr>
          <w:p>
            <w:pPr>
              <w:pStyle w:val="12"/>
            </w:pPr>
            <w:r>
              <w:t>一般交通设施出现故障及时修复的时间</w:t>
            </w:r>
          </w:p>
        </w:tc>
        <w:tc>
          <w:tcPr>
            <w:tcW w:w="2268" w:type="dxa"/>
            <w:vAlign w:val="center"/>
          </w:tcPr>
          <w:p>
            <w:pPr>
              <w:pStyle w:val="12"/>
            </w:pPr>
            <w:r>
              <w:t>≤24小时</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成本控制及节约情况</w:t>
            </w:r>
          </w:p>
        </w:tc>
        <w:tc>
          <w:tcPr>
            <w:tcW w:w="5386" w:type="dxa"/>
            <w:vAlign w:val="center"/>
          </w:tcPr>
          <w:p>
            <w:pPr>
              <w:pStyle w:val="12"/>
            </w:pPr>
            <w:r>
              <w:t>项目成本不超预算，且按要求执行政府采购</w:t>
            </w:r>
          </w:p>
        </w:tc>
        <w:tc>
          <w:tcPr>
            <w:tcW w:w="2268" w:type="dxa"/>
            <w:vAlign w:val="center"/>
          </w:tcPr>
          <w:p>
            <w:pPr>
              <w:pStyle w:val="12"/>
            </w:pPr>
            <w:r>
              <w:t>预算成本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交通通行效率</w:t>
            </w:r>
          </w:p>
        </w:tc>
        <w:tc>
          <w:tcPr>
            <w:tcW w:w="5386" w:type="dxa"/>
            <w:vAlign w:val="center"/>
          </w:tcPr>
          <w:p>
            <w:pPr>
              <w:pStyle w:val="12"/>
            </w:pPr>
            <w:r>
              <w:t>始终保持质量合格完整的交通设施对提高交通通行的效率</w:t>
            </w:r>
          </w:p>
        </w:tc>
        <w:tc>
          <w:tcPr>
            <w:tcW w:w="2268" w:type="dxa"/>
            <w:vAlign w:val="center"/>
          </w:tcPr>
          <w:p>
            <w:pPr>
              <w:pStyle w:val="12"/>
            </w:pPr>
            <w:r>
              <w:t>≥20%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广大群众遵守交通规则的比率（%</w:t>
            </w:r>
          </w:p>
        </w:tc>
        <w:tc>
          <w:tcPr>
            <w:tcW w:w="5386" w:type="dxa"/>
            <w:vAlign w:val="center"/>
          </w:tcPr>
          <w:p>
            <w:pPr>
              <w:pStyle w:val="12"/>
            </w:pPr>
            <w:r>
              <w:t>广大群众遵守交通规则的比率（%）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2、电动自行车上牌专项资金绩效目标表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13011024P00323010067H</w:t>
            </w:r>
          </w:p>
        </w:tc>
        <w:tc>
          <w:tcPr>
            <w:tcW w:w="2835" w:type="dxa"/>
            <w:vAlign w:val="center"/>
          </w:tcPr>
          <w:p>
            <w:pPr>
              <w:pStyle w:val="10"/>
            </w:pPr>
            <w:r>
              <w:t>项目名称</w:t>
            </w:r>
          </w:p>
        </w:tc>
        <w:tc>
          <w:tcPr>
            <w:tcW w:w="6094" w:type="dxa"/>
            <w:gridSpan w:val="3"/>
            <w:vAlign w:val="center"/>
          </w:tcPr>
          <w:p>
            <w:pPr>
              <w:pStyle w:val="12"/>
            </w:pPr>
            <w:r>
              <w:t>电动自行车上牌专项资金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用于支付电动自行车号牌及配套监控设备经费。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1.顺利推动我区电动自行车上牌工作。</w:t>
            </w:r>
            <w:r>
              <w:tab/>
            </w:r>
            <w:r>
              <w:tab/>
            </w:r>
            <w:r>
              <w:tab/>
            </w:r>
            <w:r>
              <w:tab/>
            </w:r>
            <w:r>
              <w:tab/>
            </w:r>
            <w:r>
              <w:tab/>
            </w:r>
          </w:p>
          <w:p>
            <w:pPr>
              <w:pStyle w:val="12"/>
            </w:pPr>
            <w:r>
              <w:t>2.严格规范电动车管理和交通秩序，优化提升城市形象和城市品位。</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需上牌电动自行车数量</w:t>
            </w:r>
          </w:p>
        </w:tc>
        <w:tc>
          <w:tcPr>
            <w:tcW w:w="5386" w:type="dxa"/>
            <w:vAlign w:val="center"/>
          </w:tcPr>
          <w:p>
            <w:pPr>
              <w:pStyle w:val="12"/>
            </w:pPr>
            <w:r>
              <w:t>我区约有需上牌电动自行车数量</w:t>
            </w:r>
          </w:p>
        </w:tc>
        <w:tc>
          <w:tcPr>
            <w:tcW w:w="2268" w:type="dxa"/>
            <w:vAlign w:val="center"/>
          </w:tcPr>
          <w:p>
            <w:pPr>
              <w:pStyle w:val="12"/>
            </w:pPr>
            <w:r>
              <w:t>≥13万辆</w:t>
            </w:r>
          </w:p>
        </w:tc>
        <w:tc>
          <w:tcPr>
            <w:tcW w:w="1276" w:type="dxa"/>
            <w:vAlign w:val="center"/>
          </w:tcPr>
          <w:p>
            <w:pPr>
              <w:pStyle w:val="12"/>
            </w:pPr>
            <w:r>
              <w:t>车管所测算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配套安装电子监控设备</w:t>
            </w:r>
          </w:p>
        </w:tc>
        <w:tc>
          <w:tcPr>
            <w:tcW w:w="5386" w:type="dxa"/>
            <w:vAlign w:val="center"/>
          </w:tcPr>
          <w:p>
            <w:pPr>
              <w:pStyle w:val="12"/>
            </w:pPr>
            <w:r>
              <w:t>配套安装电子监控设备数量</w:t>
            </w:r>
          </w:p>
        </w:tc>
        <w:tc>
          <w:tcPr>
            <w:tcW w:w="2268" w:type="dxa"/>
            <w:vAlign w:val="center"/>
          </w:tcPr>
          <w:p>
            <w:pPr>
              <w:pStyle w:val="12"/>
            </w:pPr>
            <w:r>
              <w:t>3套</w:t>
            </w:r>
          </w:p>
        </w:tc>
        <w:tc>
          <w:tcPr>
            <w:tcW w:w="1276" w:type="dxa"/>
            <w:vAlign w:val="center"/>
          </w:tcPr>
          <w:p>
            <w:pPr>
              <w:pStyle w:val="12"/>
            </w:pPr>
            <w:r>
              <w:t>车管所测算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电动车上牌遗漏率</w:t>
            </w:r>
          </w:p>
        </w:tc>
        <w:tc>
          <w:tcPr>
            <w:tcW w:w="5386" w:type="dxa"/>
            <w:vAlign w:val="center"/>
          </w:tcPr>
          <w:p>
            <w:pPr>
              <w:pStyle w:val="12"/>
            </w:pPr>
            <w:r>
              <w:t>电动车上牌遗漏率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确保电动自行车上牌工作按时开展</w:t>
            </w:r>
          </w:p>
        </w:tc>
        <w:tc>
          <w:tcPr>
            <w:tcW w:w="5386" w:type="dxa"/>
            <w:vAlign w:val="center"/>
          </w:tcPr>
          <w:p>
            <w:pPr>
              <w:pStyle w:val="12"/>
            </w:pPr>
            <w:r>
              <w:t>确保电动自行车上牌工作按时开展</w:t>
            </w:r>
          </w:p>
        </w:tc>
        <w:tc>
          <w:tcPr>
            <w:tcW w:w="2268" w:type="dxa"/>
            <w:vAlign w:val="center"/>
          </w:tcPr>
          <w:p>
            <w:pPr>
              <w:pStyle w:val="12"/>
            </w:pPr>
            <w:r>
              <w:t>3月1日</w:t>
            </w:r>
          </w:p>
        </w:tc>
        <w:tc>
          <w:tcPr>
            <w:tcW w:w="1276" w:type="dxa"/>
            <w:vAlign w:val="center"/>
          </w:tcPr>
          <w:p>
            <w:pPr>
              <w:pStyle w:val="12"/>
            </w:pPr>
            <w:r>
              <w:t>区委办公室方案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电动自行车车牌价格</w:t>
            </w:r>
          </w:p>
        </w:tc>
        <w:tc>
          <w:tcPr>
            <w:tcW w:w="5386" w:type="dxa"/>
            <w:vAlign w:val="center"/>
          </w:tcPr>
          <w:p>
            <w:pPr>
              <w:pStyle w:val="12"/>
            </w:pPr>
            <w:r>
              <w:t>电动自行车车牌价格</w:t>
            </w:r>
          </w:p>
        </w:tc>
        <w:tc>
          <w:tcPr>
            <w:tcW w:w="2268" w:type="dxa"/>
            <w:vAlign w:val="center"/>
          </w:tcPr>
          <w:p>
            <w:pPr>
              <w:pStyle w:val="12"/>
            </w:pPr>
            <w:r>
              <w:t>15.4元/副</w:t>
            </w:r>
          </w:p>
        </w:tc>
        <w:tc>
          <w:tcPr>
            <w:tcW w:w="1276" w:type="dxa"/>
            <w:vAlign w:val="center"/>
          </w:tcPr>
          <w:p>
            <w:pPr>
              <w:pStyle w:val="12"/>
            </w:pPr>
            <w:r>
              <w:t>招标价格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配套监控设备价格</w:t>
            </w:r>
          </w:p>
        </w:tc>
        <w:tc>
          <w:tcPr>
            <w:tcW w:w="5386" w:type="dxa"/>
            <w:vAlign w:val="center"/>
          </w:tcPr>
          <w:p>
            <w:pPr>
              <w:pStyle w:val="12"/>
            </w:pPr>
            <w:r>
              <w:t>配套监控设备价格</w:t>
            </w:r>
          </w:p>
        </w:tc>
        <w:tc>
          <w:tcPr>
            <w:tcW w:w="2268" w:type="dxa"/>
            <w:vAlign w:val="center"/>
          </w:tcPr>
          <w:p>
            <w:pPr>
              <w:pStyle w:val="12"/>
            </w:pPr>
            <w:r>
              <w:t>30万元/套</w:t>
            </w:r>
          </w:p>
        </w:tc>
        <w:tc>
          <w:tcPr>
            <w:tcW w:w="1276" w:type="dxa"/>
            <w:vAlign w:val="center"/>
          </w:tcPr>
          <w:p>
            <w:pPr>
              <w:pStyle w:val="12"/>
            </w:pPr>
            <w:r>
              <w:t>招标价格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保障道路交通通畅</w:t>
            </w:r>
          </w:p>
        </w:tc>
        <w:tc>
          <w:tcPr>
            <w:tcW w:w="5386" w:type="dxa"/>
            <w:vAlign w:val="center"/>
          </w:tcPr>
          <w:p>
            <w:pPr>
              <w:pStyle w:val="12"/>
            </w:pPr>
            <w:r>
              <w:t>保障道路交通通畅</w:t>
            </w:r>
          </w:p>
        </w:tc>
        <w:tc>
          <w:tcPr>
            <w:tcW w:w="2268" w:type="dxa"/>
            <w:vAlign w:val="center"/>
          </w:tcPr>
          <w:p>
            <w:pPr>
              <w:pStyle w:val="12"/>
            </w:pPr>
            <w:r>
              <w:t>显著提升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3、国省道施划交通标线绩效目标表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13011024P00323010062F</w:t>
            </w:r>
          </w:p>
        </w:tc>
        <w:tc>
          <w:tcPr>
            <w:tcW w:w="2835" w:type="dxa"/>
            <w:vAlign w:val="center"/>
          </w:tcPr>
          <w:p>
            <w:pPr>
              <w:pStyle w:val="10"/>
            </w:pPr>
            <w:r>
              <w:t>项目名称</w:t>
            </w:r>
          </w:p>
        </w:tc>
        <w:tc>
          <w:tcPr>
            <w:tcW w:w="6094" w:type="dxa"/>
            <w:gridSpan w:val="3"/>
            <w:vAlign w:val="center"/>
          </w:tcPr>
          <w:p>
            <w:pPr>
              <w:pStyle w:val="12"/>
            </w:pPr>
            <w:r>
              <w:t>国省道施划交通标线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用于支付国省道施划交通标线经费。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1.完善交通标线设施，规范交通驾驶行为。减少路口交通拥堵或交通事故事件的发生。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施划标线完成率</w:t>
            </w:r>
          </w:p>
        </w:tc>
        <w:tc>
          <w:tcPr>
            <w:tcW w:w="5386" w:type="dxa"/>
            <w:vAlign w:val="center"/>
          </w:tcPr>
          <w:p>
            <w:pPr>
              <w:pStyle w:val="12"/>
            </w:pPr>
            <w:r>
              <w:t>施划标线实际完成率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交通标线完好率</w:t>
            </w:r>
          </w:p>
        </w:tc>
        <w:tc>
          <w:tcPr>
            <w:tcW w:w="5386" w:type="dxa"/>
            <w:vAlign w:val="center"/>
          </w:tcPr>
          <w:p>
            <w:pPr>
              <w:pStyle w:val="12"/>
            </w:pPr>
            <w:r>
              <w:t>标线完好的路口数量占施划管理路口数量的比例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道路施划次数</w:t>
            </w:r>
          </w:p>
        </w:tc>
        <w:tc>
          <w:tcPr>
            <w:tcW w:w="5386" w:type="dxa"/>
            <w:vAlign w:val="center"/>
          </w:tcPr>
          <w:p>
            <w:pPr>
              <w:pStyle w:val="12"/>
            </w:pPr>
            <w:r>
              <w:t>道路施划标线的次数</w:t>
            </w:r>
          </w:p>
        </w:tc>
        <w:tc>
          <w:tcPr>
            <w:tcW w:w="2268" w:type="dxa"/>
            <w:vAlign w:val="center"/>
          </w:tcPr>
          <w:p>
            <w:pPr>
              <w:pStyle w:val="12"/>
            </w:pPr>
            <w:r>
              <w:t>2次/年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成本控制及节约情况</w:t>
            </w:r>
          </w:p>
        </w:tc>
        <w:tc>
          <w:tcPr>
            <w:tcW w:w="5386" w:type="dxa"/>
            <w:vAlign w:val="center"/>
          </w:tcPr>
          <w:p>
            <w:pPr>
              <w:pStyle w:val="12"/>
            </w:pPr>
            <w:r>
              <w:t>项目成本不超预算，且按要求执行行政采购</w:t>
            </w:r>
          </w:p>
        </w:tc>
        <w:tc>
          <w:tcPr>
            <w:tcW w:w="2268" w:type="dxa"/>
            <w:vAlign w:val="center"/>
          </w:tcPr>
          <w:p>
            <w:pPr>
              <w:pStyle w:val="12"/>
            </w:pPr>
            <w:r>
              <w:t>成本小于预算，且全部执行政府采购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减少交通拥堵的发生</w:t>
            </w:r>
          </w:p>
        </w:tc>
        <w:tc>
          <w:tcPr>
            <w:tcW w:w="5386" w:type="dxa"/>
            <w:vAlign w:val="center"/>
          </w:tcPr>
          <w:p>
            <w:pPr>
              <w:pStyle w:val="12"/>
            </w:pPr>
            <w:r>
              <w:t>减少交通拥堵发生的比率</w:t>
            </w:r>
          </w:p>
        </w:tc>
        <w:tc>
          <w:tcPr>
            <w:tcW w:w="2268" w:type="dxa"/>
            <w:vAlign w:val="center"/>
          </w:tcPr>
          <w:p>
            <w:pPr>
              <w:pStyle w:val="12"/>
            </w:pPr>
            <w:r>
              <w:t>≥20%</w:t>
            </w:r>
          </w:p>
        </w:tc>
        <w:tc>
          <w:tcPr>
            <w:tcW w:w="1276" w:type="dxa"/>
            <w:vAlign w:val="center"/>
          </w:tcPr>
          <w:p>
            <w:pPr>
              <w:pStyle w:val="12"/>
            </w:pPr>
            <w:r>
              <w:t>数据对比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拥堵整改率</w:t>
            </w:r>
          </w:p>
        </w:tc>
        <w:tc>
          <w:tcPr>
            <w:tcW w:w="5386" w:type="dxa"/>
            <w:vAlign w:val="center"/>
          </w:tcPr>
          <w:p>
            <w:pPr>
              <w:pStyle w:val="12"/>
            </w:pPr>
            <w:r>
              <w:t>拥堵整改率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13011024P003230100704</w:t>
            </w:r>
          </w:p>
        </w:tc>
        <w:tc>
          <w:tcPr>
            <w:tcW w:w="2835" w:type="dxa"/>
            <w:vAlign w:val="center"/>
          </w:tcPr>
          <w:p>
            <w:pPr>
              <w:pStyle w:val="10"/>
            </w:pPr>
            <w:r>
              <w:t>项目名称</w:t>
            </w:r>
          </w:p>
        </w:tc>
        <w:tc>
          <w:tcPr>
            <w:tcW w:w="6094" w:type="dxa"/>
            <w:gridSpan w:val="3"/>
            <w:vAlign w:val="center"/>
          </w:tcPr>
          <w:p>
            <w:pPr>
              <w:pStyle w:val="12"/>
            </w:pPr>
            <w:r>
              <w:t>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35.89</w:t>
            </w:r>
          </w:p>
        </w:tc>
        <w:tc>
          <w:tcPr>
            <w:tcW w:w="2835" w:type="dxa"/>
            <w:vAlign w:val="center"/>
          </w:tcPr>
          <w:p>
            <w:pPr>
              <w:pStyle w:val="10"/>
            </w:pPr>
            <w:r>
              <w:t>其中：财政    资金</w:t>
            </w:r>
          </w:p>
        </w:tc>
        <w:tc>
          <w:tcPr>
            <w:tcW w:w="2551" w:type="dxa"/>
            <w:vAlign w:val="center"/>
          </w:tcPr>
          <w:p>
            <w:pPr>
              <w:pStyle w:val="12"/>
            </w:pPr>
            <w:r>
              <w:t>35.89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1.对符合就业困难条件军队退役人员6名，实行公益岗位托管安置，帮扶救助到位。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补贴退役军人人数</w:t>
            </w:r>
          </w:p>
        </w:tc>
        <w:tc>
          <w:tcPr>
            <w:tcW w:w="2268" w:type="dxa"/>
            <w:vAlign w:val="center"/>
          </w:tcPr>
          <w:p>
            <w:pPr>
              <w:pStyle w:val="12"/>
            </w:pPr>
            <w:r>
              <w:t>6人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退役军人工资及时发放率</w:t>
            </w:r>
          </w:p>
        </w:tc>
        <w:tc>
          <w:tcPr>
            <w:tcW w:w="5386" w:type="dxa"/>
            <w:vAlign w:val="center"/>
          </w:tcPr>
          <w:p>
            <w:pPr>
              <w:pStyle w:val="12"/>
            </w:pPr>
            <w:r>
              <w:t>资金经费能够及时发放占总发放次数比率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退役军人补助标准</w:t>
            </w:r>
          </w:p>
        </w:tc>
        <w:tc>
          <w:tcPr>
            <w:tcW w:w="5386" w:type="dxa"/>
            <w:vAlign w:val="center"/>
          </w:tcPr>
          <w:p>
            <w:pPr>
              <w:pStyle w:val="12"/>
            </w:pPr>
            <w:r>
              <w:t>每人每月补助标准</w:t>
            </w:r>
          </w:p>
        </w:tc>
        <w:tc>
          <w:tcPr>
            <w:tcW w:w="2268" w:type="dxa"/>
            <w:vAlign w:val="center"/>
          </w:tcPr>
          <w:p>
            <w:pPr>
              <w:pStyle w:val="12"/>
            </w:pPr>
            <w:r>
              <w:t>≤3850元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托岗安置退役军人人数</w:t>
            </w:r>
          </w:p>
          <w:p>
            <w:pPr>
              <w:pStyle w:val="12"/>
            </w:pPr>
          </w:p>
        </w:tc>
        <w:tc>
          <w:tcPr>
            <w:tcW w:w="5386" w:type="dxa"/>
            <w:vAlign w:val="center"/>
          </w:tcPr>
          <w:p>
            <w:pPr>
              <w:pStyle w:val="12"/>
            </w:pPr>
            <w:r>
              <w:t>托岗安置退役军人人数</w:t>
            </w:r>
          </w:p>
        </w:tc>
        <w:tc>
          <w:tcPr>
            <w:tcW w:w="2268" w:type="dxa"/>
            <w:vAlign w:val="center"/>
          </w:tcPr>
          <w:p>
            <w:pPr>
              <w:pStyle w:val="12"/>
            </w:pPr>
            <w:r>
              <w:t>6人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退役安置公益岗位人员满意度</w:t>
            </w:r>
          </w:p>
        </w:tc>
        <w:tc>
          <w:tcPr>
            <w:tcW w:w="5386" w:type="dxa"/>
            <w:vAlign w:val="center"/>
          </w:tcPr>
          <w:p>
            <w:pPr>
              <w:pStyle w:val="12"/>
            </w:pPr>
            <w:r>
              <w:t>对退役安置公益岗位人员满意占总安置公益岗位总人数比率</w:t>
            </w:r>
          </w:p>
        </w:tc>
        <w:tc>
          <w:tcPr>
            <w:tcW w:w="2268" w:type="dxa"/>
            <w:vAlign w:val="center"/>
          </w:tcPr>
          <w:p>
            <w:pPr>
              <w:pStyle w:val="12"/>
            </w:pPr>
            <w:r>
              <w:t>≥95%</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5、山前大道、裕华路西延、和平路西延交通设施安装工程绩效目标表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13011024P00323010064N</w:t>
            </w:r>
          </w:p>
        </w:tc>
        <w:tc>
          <w:tcPr>
            <w:tcW w:w="2835" w:type="dxa"/>
            <w:vAlign w:val="center"/>
          </w:tcPr>
          <w:p>
            <w:pPr>
              <w:pStyle w:val="10"/>
            </w:pPr>
            <w:r>
              <w:t>项目名称</w:t>
            </w:r>
          </w:p>
        </w:tc>
        <w:tc>
          <w:tcPr>
            <w:tcW w:w="6094" w:type="dxa"/>
            <w:gridSpan w:val="3"/>
            <w:vAlign w:val="center"/>
          </w:tcPr>
          <w:p>
            <w:pPr>
              <w:pStyle w:val="12"/>
            </w:pPr>
            <w:r>
              <w:t>山前大道、裕华路西延、和平路西延交通设施安装工程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用于支付山前大道、裕华路西延、和平路西延交通设施安装工程经费。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1.增加21个路口的交通信号灯，并配套电子警察抓拍设备，完善山前大道的交通安全设施，减少道路交通拥堵或交通事故事件的发生。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山前大道拓宽设施安装量</w:t>
            </w:r>
          </w:p>
        </w:tc>
        <w:tc>
          <w:tcPr>
            <w:tcW w:w="5386" w:type="dxa"/>
            <w:vAlign w:val="center"/>
          </w:tcPr>
          <w:p>
            <w:pPr>
              <w:pStyle w:val="12"/>
            </w:pPr>
            <w:r>
              <w:t>山前大道拓宽新增加的交通设施量</w:t>
            </w:r>
          </w:p>
        </w:tc>
        <w:tc>
          <w:tcPr>
            <w:tcW w:w="2268" w:type="dxa"/>
            <w:vAlign w:val="center"/>
          </w:tcPr>
          <w:p>
            <w:pPr>
              <w:pStyle w:val="12"/>
            </w:pPr>
            <w:r>
              <w:t>安装21个路口的交通信号灯，并配套电子警察抓拍设备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项目按计划完工情况</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交通设施购置总成本</w:t>
            </w:r>
          </w:p>
        </w:tc>
        <w:tc>
          <w:tcPr>
            <w:tcW w:w="5386" w:type="dxa"/>
            <w:vAlign w:val="center"/>
          </w:tcPr>
          <w:p>
            <w:pPr>
              <w:pStyle w:val="12"/>
            </w:pPr>
            <w:r>
              <w:t>交通设施购置总成本</w:t>
            </w:r>
          </w:p>
        </w:tc>
        <w:tc>
          <w:tcPr>
            <w:tcW w:w="2268" w:type="dxa"/>
            <w:vAlign w:val="center"/>
          </w:tcPr>
          <w:p>
            <w:pPr>
              <w:pStyle w:val="12"/>
            </w:pPr>
            <w:r>
              <w:t>预算成本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设施正常运转率</w:t>
            </w:r>
          </w:p>
        </w:tc>
        <w:tc>
          <w:tcPr>
            <w:tcW w:w="5386" w:type="dxa"/>
            <w:vAlign w:val="center"/>
          </w:tcPr>
          <w:p>
            <w:pPr>
              <w:pStyle w:val="12"/>
            </w:pPr>
            <w:r>
              <w:t>设施正常运转率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车辆违章下降率</w:t>
            </w:r>
          </w:p>
        </w:tc>
        <w:tc>
          <w:tcPr>
            <w:tcW w:w="5386" w:type="dxa"/>
            <w:vAlign w:val="center"/>
          </w:tcPr>
          <w:p>
            <w:pPr>
              <w:pStyle w:val="12"/>
            </w:pPr>
            <w:r>
              <w:t>车辆违章下降率</w:t>
            </w:r>
          </w:p>
        </w:tc>
        <w:tc>
          <w:tcPr>
            <w:tcW w:w="2268" w:type="dxa"/>
            <w:vAlign w:val="center"/>
          </w:tcPr>
          <w:p>
            <w:pPr>
              <w:pStyle w:val="12"/>
            </w:pPr>
            <w:r>
              <w:t>≥15%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6、智慧交通建设工程绩效目标表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13011024P00323010066X</w:t>
            </w:r>
          </w:p>
        </w:tc>
        <w:tc>
          <w:tcPr>
            <w:tcW w:w="2835" w:type="dxa"/>
            <w:vAlign w:val="center"/>
          </w:tcPr>
          <w:p>
            <w:pPr>
              <w:pStyle w:val="10"/>
            </w:pPr>
            <w:r>
              <w:t>项目名称</w:t>
            </w:r>
          </w:p>
        </w:tc>
        <w:tc>
          <w:tcPr>
            <w:tcW w:w="6094" w:type="dxa"/>
            <w:gridSpan w:val="3"/>
            <w:vAlign w:val="center"/>
          </w:tcPr>
          <w:p>
            <w:pPr>
              <w:pStyle w:val="12"/>
            </w:pPr>
            <w:r>
              <w:t>智慧交通建设工程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用于支付智慧交通建设工程项目经费。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1.完善智慧交通安全设施，推动群众文明出行。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交通设施项目建设完成率</w:t>
            </w:r>
          </w:p>
        </w:tc>
        <w:tc>
          <w:tcPr>
            <w:tcW w:w="5386" w:type="dxa"/>
            <w:vAlign w:val="center"/>
          </w:tcPr>
          <w:p>
            <w:pPr>
              <w:pStyle w:val="12"/>
            </w:pPr>
            <w:r>
              <w:t>交通设施建设项目工程完成情况</w:t>
            </w:r>
          </w:p>
        </w:tc>
        <w:tc>
          <w:tcPr>
            <w:tcW w:w="2268" w:type="dxa"/>
            <w:vAlign w:val="center"/>
          </w:tcPr>
          <w:p>
            <w:pPr>
              <w:pStyle w:val="12"/>
            </w:pPr>
            <w:r>
              <w:t>≥95%</w:t>
            </w:r>
          </w:p>
        </w:tc>
        <w:tc>
          <w:tcPr>
            <w:tcW w:w="1276" w:type="dxa"/>
            <w:vAlign w:val="center"/>
          </w:tcPr>
          <w:p>
            <w:pPr>
              <w:pStyle w:val="12"/>
            </w:pPr>
            <w:r>
              <w:t>工作计划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项目按计划完工情况</w:t>
            </w:r>
          </w:p>
        </w:tc>
        <w:tc>
          <w:tcPr>
            <w:tcW w:w="2268" w:type="dxa"/>
            <w:vAlign w:val="center"/>
          </w:tcPr>
          <w:p>
            <w:pPr>
              <w:pStyle w:val="12"/>
            </w:pPr>
            <w:r>
              <w:t>项目工期为四年，为2019-2022年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超概算比例</w:t>
            </w:r>
          </w:p>
        </w:tc>
        <w:tc>
          <w:tcPr>
            <w:tcW w:w="5386" w:type="dxa"/>
            <w:vAlign w:val="center"/>
          </w:tcPr>
          <w:p>
            <w:pPr>
              <w:pStyle w:val="12"/>
            </w:pPr>
            <w:r>
              <w:t>超概算金额占概算的比例</w:t>
            </w:r>
          </w:p>
        </w:tc>
        <w:tc>
          <w:tcPr>
            <w:tcW w:w="2268" w:type="dxa"/>
            <w:vAlign w:val="center"/>
          </w:tcPr>
          <w:p>
            <w:pPr>
              <w:pStyle w:val="12"/>
            </w:pPr>
            <w:r>
              <w:t>≤1%</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设施正常运转率</w:t>
            </w:r>
          </w:p>
        </w:tc>
        <w:tc>
          <w:tcPr>
            <w:tcW w:w="5386" w:type="dxa"/>
            <w:vAlign w:val="center"/>
          </w:tcPr>
          <w:p>
            <w:pPr>
              <w:pStyle w:val="12"/>
            </w:pPr>
            <w:r>
              <w:t>设施正常运转率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广大群众遵守交通规则的比率（%</w:t>
            </w:r>
          </w:p>
        </w:tc>
        <w:tc>
          <w:tcPr>
            <w:tcW w:w="5386" w:type="dxa"/>
            <w:vAlign w:val="center"/>
          </w:tcPr>
          <w:p>
            <w:pPr>
              <w:pStyle w:val="12"/>
            </w:pPr>
            <w:r>
              <w:t>广大群众遵守交通规则的比率（%）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7、质保金费用绩效目标表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13011024P003230100633</w:t>
            </w:r>
          </w:p>
        </w:tc>
        <w:tc>
          <w:tcPr>
            <w:tcW w:w="2835" w:type="dxa"/>
            <w:vAlign w:val="center"/>
          </w:tcPr>
          <w:p>
            <w:pPr>
              <w:pStyle w:val="10"/>
            </w:pPr>
            <w:r>
              <w:t>项目名称</w:t>
            </w:r>
          </w:p>
        </w:tc>
        <w:tc>
          <w:tcPr>
            <w:tcW w:w="6094" w:type="dxa"/>
            <w:gridSpan w:val="3"/>
            <w:vAlign w:val="center"/>
          </w:tcPr>
          <w:p>
            <w:pPr>
              <w:pStyle w:val="12"/>
            </w:pPr>
            <w:r>
              <w:t>质保金费用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用于支付质保金经费。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1.对已完工的交通设施，确保在质保期内质量合格率达到百分之百。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需支付质保金项目数量</w:t>
            </w:r>
          </w:p>
        </w:tc>
        <w:tc>
          <w:tcPr>
            <w:tcW w:w="5386" w:type="dxa"/>
            <w:vAlign w:val="center"/>
          </w:tcPr>
          <w:p>
            <w:pPr>
              <w:pStyle w:val="12"/>
            </w:pPr>
            <w:r>
              <w:t>支付质保金项目数量</w:t>
            </w:r>
          </w:p>
        </w:tc>
        <w:tc>
          <w:tcPr>
            <w:tcW w:w="2268" w:type="dxa"/>
            <w:vAlign w:val="center"/>
          </w:tcPr>
          <w:p>
            <w:pPr>
              <w:pStyle w:val="12"/>
            </w:pPr>
            <w:r>
              <w:t>19个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交通设施验收合格率</w:t>
            </w:r>
          </w:p>
        </w:tc>
        <w:tc>
          <w:tcPr>
            <w:tcW w:w="5386" w:type="dxa"/>
            <w:vAlign w:val="center"/>
          </w:tcPr>
          <w:p>
            <w:pPr>
              <w:pStyle w:val="12"/>
            </w:pPr>
            <w:r>
              <w:t>验收合格的工程量占总工程量的比率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增设交通设施完成率</w:t>
            </w:r>
          </w:p>
        </w:tc>
        <w:tc>
          <w:tcPr>
            <w:tcW w:w="5386" w:type="dxa"/>
            <w:vAlign w:val="center"/>
          </w:tcPr>
          <w:p>
            <w:pPr>
              <w:pStyle w:val="12"/>
            </w:pPr>
            <w:r>
              <w:t>已完工的交通设施的工程量占总工程量的比率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成本控制及节约情况</w:t>
            </w:r>
          </w:p>
        </w:tc>
        <w:tc>
          <w:tcPr>
            <w:tcW w:w="5386" w:type="dxa"/>
            <w:vAlign w:val="center"/>
          </w:tcPr>
          <w:p>
            <w:pPr>
              <w:pStyle w:val="12"/>
            </w:pPr>
            <w:r>
              <w:t>项目成本不超预算，且按要求执行政府采购</w:t>
            </w:r>
          </w:p>
        </w:tc>
        <w:tc>
          <w:tcPr>
            <w:tcW w:w="2268" w:type="dxa"/>
            <w:vAlign w:val="center"/>
          </w:tcPr>
          <w:p>
            <w:pPr>
              <w:pStyle w:val="12"/>
            </w:pPr>
            <w:r>
              <w:t>预算成本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完善交通设施对我区道路安全畅通的改善成效</w:t>
            </w:r>
          </w:p>
        </w:tc>
        <w:tc>
          <w:tcPr>
            <w:tcW w:w="5386" w:type="dxa"/>
            <w:vAlign w:val="center"/>
          </w:tcPr>
          <w:p>
            <w:pPr>
              <w:pStyle w:val="12"/>
            </w:pPr>
            <w:r>
              <w:t>完善交通设施对我区道路安全畅通的改善成效较之前比较</w:t>
            </w:r>
          </w:p>
        </w:tc>
        <w:tc>
          <w:tcPr>
            <w:tcW w:w="2268" w:type="dxa"/>
            <w:vAlign w:val="center"/>
          </w:tcPr>
          <w:p>
            <w:pPr>
              <w:pStyle w:val="12"/>
            </w:pPr>
            <w:r>
              <w:t>显著提升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广大群众遵守交通规则的比率</w:t>
            </w:r>
          </w:p>
        </w:tc>
        <w:tc>
          <w:tcPr>
            <w:tcW w:w="5386" w:type="dxa"/>
            <w:vAlign w:val="center"/>
          </w:tcPr>
          <w:p>
            <w:pPr>
              <w:pStyle w:val="12"/>
            </w:pPr>
            <w:r>
              <w:t>广大群众遵守交通规则的比率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满意和较满意人数占接受调查总人数的比率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石家庄市公安局鹿泉分局交通管理大队小计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电动自行车上牌专项资金</w:t>
            </w:r>
          </w:p>
        </w:tc>
        <w:tc>
          <w:tcPr>
            <w:tcW w:w="964" w:type="dxa"/>
            <w:vAlign w:val="center"/>
          </w:tcPr>
          <w:p>
            <w:pPr>
              <w:pStyle w:val="11"/>
            </w:pPr>
            <w:r>
              <w:t>98.00</w:t>
            </w:r>
          </w:p>
        </w:tc>
        <w:tc>
          <w:tcPr>
            <w:tcW w:w="1134" w:type="dxa"/>
            <w:vAlign w:val="center"/>
          </w:tcPr>
          <w:p>
            <w:pPr>
              <w:pStyle w:val="12"/>
            </w:pPr>
            <w:r>
              <w:t>交通管理设备</w:t>
            </w:r>
          </w:p>
        </w:tc>
        <w:tc>
          <w:tcPr>
            <w:tcW w:w="1134" w:type="dxa"/>
            <w:vAlign w:val="center"/>
          </w:tcPr>
          <w:p>
            <w:pPr>
              <w:pStyle w:val="12"/>
            </w:pPr>
            <w:r>
              <w:t>A02370200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98.00</w:t>
            </w:r>
          </w:p>
        </w:tc>
        <w:tc>
          <w:tcPr>
            <w:tcW w:w="964" w:type="dxa"/>
            <w:vAlign w:val="center"/>
          </w:tcPr>
          <w:p>
            <w:pPr>
              <w:pStyle w:val="11"/>
            </w:pPr>
            <w:r>
              <w:t>98.00</w:t>
            </w:r>
          </w:p>
        </w:tc>
        <w:tc>
          <w:tcPr>
            <w:tcW w:w="964" w:type="dxa"/>
            <w:vAlign w:val="center"/>
          </w:tcPr>
          <w:p>
            <w:pPr>
              <w:pStyle w:val="11"/>
            </w:pPr>
            <w:r>
              <w:t>98.00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451001石家庄市公安局鹿泉分局交通管理大队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 w:name="Arial Unicode MS">
    <w:panose1 w:val="020B0604020202020204"/>
    <w:charset w:val="86"/>
    <w:family w:val="auto"/>
    <w:pitch w:val="default"/>
    <w:sig w:usb0="FFFFFFFF" w:usb1="E9FFFFFF" w:usb2="0000003F" w:usb3="00000000" w:csb0="603F01FF" w:csb1="FFFF0000"/>
  </w:font>
  <w:font w:name="方正仿宋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1263"/>
    <w:multiLevelType w:val="singleLevel"/>
    <w:tmpl w:val="8632126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AyNTlkZjliMmYxYTJiNDcyODQzYjNhYWY5ODYxNWIifQ=="/>
  </w:docVars>
  <w:rsids>
    <w:rsidRoot w:val="00000000"/>
    <w:rsid w:val="06345E06"/>
    <w:rsid w:val="1AD75285"/>
    <w:rsid w:val="1CE7377A"/>
    <w:rsid w:val="24C83E91"/>
    <w:rsid w:val="24D12D46"/>
    <w:rsid w:val="3CF63839"/>
    <w:rsid w:val="5B835E40"/>
    <w:rsid w:val="63CC234F"/>
    <w:rsid w:val="64565F24"/>
    <w:rsid w:val="656E5DB3"/>
    <w:rsid w:val="6AE14931"/>
    <w:rsid w:val="7D9905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2024-03-05T11:01:32Z</dcterms:created>
  <dcterms:modified xsi:type="dcterms:W3CDTF">2024-03-05T03:01:32Z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2024-03-05T11:01:34Z</dcterms:created>
  <dcterms:modified xsi:type="dcterms:W3CDTF">2024-03-05T03:01:34Z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2024-03-05T11:01:33Z</dcterms:created>
  <dcterms:modified xsi:type="dcterms:W3CDTF">2024-03-05T03:01:33Z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2024-03-05T11:01:33Z</dcterms:created>
  <dcterms:modified xsi:type="dcterms:W3CDTF">2024-03-05T03:01:33Z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2024-03-05T11:01:33Z</dcterms:created>
  <dcterms:modified xsi:type="dcterms:W3CDTF">2024-03-05T03:01:33Z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2024-03-05T11:01:32Z</dcterms:created>
  <dcterms:modified xsi:type="dcterms:W3CDTF">2024-03-05T03:01:32Z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2024-03-05T11:01:25Z</dcterms:created>
  <dcterms:modified xsi:type="dcterms:W3CDTF">2024-03-05T03:01:25Z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2024-03-05T11:01:32Z</dcterms:created>
  <dcterms:modified xsi:type="dcterms:W3CDTF">2024-03-05T03:01:31Z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2024-03-05T11:01:31Z</dcterms:created>
  <dcterms:modified xsi:type="dcterms:W3CDTF">2024-03-05T03:01:31Z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2024-03-05T11:01:29Z</dcterms:created>
  <dcterms:modified xsi:type="dcterms:W3CDTF">2024-03-05T03:01:29Z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8fcac40-0a51-4083-8be9-f840dfafe9ac}">
  <ds:schemaRefs/>
</ds:datastoreItem>
</file>

<file path=customXml/itemProps10.xml><?xml version="1.0" encoding="utf-8"?>
<ds:datastoreItem xmlns:ds="http://schemas.openxmlformats.org/officeDocument/2006/customXml" ds:itemID="{1ef4a00f-d9a4-4103-92ac-8441f1404c13}">
  <ds:schemaRefs/>
</ds:datastoreItem>
</file>

<file path=customXml/itemProps11.xml><?xml version="1.0" encoding="utf-8"?>
<ds:datastoreItem xmlns:ds="http://schemas.openxmlformats.org/officeDocument/2006/customXml" ds:itemID="{5d19389e-cdda-4c65-bb5c-027c5cc73730}">
  <ds:schemaRefs/>
</ds:datastoreItem>
</file>

<file path=customXml/itemProps12.xml><?xml version="1.0" encoding="utf-8"?>
<ds:datastoreItem xmlns:ds="http://schemas.openxmlformats.org/officeDocument/2006/customXml" ds:itemID="{43d601b5-f39d-4dac-b425-3604d3e4927c}">
  <ds:schemaRefs/>
</ds:datastoreItem>
</file>

<file path=customXml/itemProps13.xml><?xml version="1.0" encoding="utf-8"?>
<ds:datastoreItem xmlns:ds="http://schemas.openxmlformats.org/officeDocument/2006/customXml" ds:itemID="{6c3193cc-784f-45db-8edb-285793cd28a8}">
  <ds:schemaRefs/>
</ds:datastoreItem>
</file>

<file path=customXml/itemProps14.xml><?xml version="1.0" encoding="utf-8"?>
<ds:datastoreItem xmlns:ds="http://schemas.openxmlformats.org/officeDocument/2006/customXml" ds:itemID="{9dc12906-ec3f-46ad-be21-e6af6302914a}">
  <ds:schemaRefs/>
</ds:datastoreItem>
</file>

<file path=customXml/itemProps15.xml><?xml version="1.0" encoding="utf-8"?>
<ds:datastoreItem xmlns:ds="http://schemas.openxmlformats.org/officeDocument/2006/customXml" ds:itemID="{946412b9-427b-49ba-ba92-3d443cc23b34}">
  <ds:schemaRefs/>
</ds:datastoreItem>
</file>

<file path=customXml/itemProps16.xml><?xml version="1.0" encoding="utf-8"?>
<ds:datastoreItem xmlns:ds="http://schemas.openxmlformats.org/officeDocument/2006/customXml" ds:itemID="{abe51aaa-685e-40c7-8a22-5b2698780b38}">
  <ds:schemaRefs/>
</ds:datastoreItem>
</file>

<file path=customXml/itemProps17.xml><?xml version="1.0" encoding="utf-8"?>
<ds:datastoreItem xmlns:ds="http://schemas.openxmlformats.org/officeDocument/2006/customXml" ds:itemID="{fd05566a-ada2-466b-a479-8a4b6f7a5121}">
  <ds:schemaRefs/>
</ds:datastoreItem>
</file>

<file path=customXml/itemProps18.xml><?xml version="1.0" encoding="utf-8"?>
<ds:datastoreItem xmlns:ds="http://schemas.openxmlformats.org/officeDocument/2006/customXml" ds:itemID="{b62bcbe1-c3da-4e38-a74f-68c013f67a1f}">
  <ds:schemaRefs/>
</ds:datastoreItem>
</file>

<file path=customXml/itemProps19.xml><?xml version="1.0" encoding="utf-8"?>
<ds:datastoreItem xmlns:ds="http://schemas.openxmlformats.org/officeDocument/2006/customXml" ds:itemID="{8a23fbe8-7917-4db9-83a1-9e6b9dab5443}">
  <ds:schemaRefs/>
</ds:datastoreItem>
</file>

<file path=customXml/itemProps2.xml><?xml version="1.0" encoding="utf-8"?>
<ds:datastoreItem xmlns:ds="http://schemas.openxmlformats.org/officeDocument/2006/customXml" ds:itemID="{822ea9ff-4279-4696-861e-58ce0b21867f}">
  <ds:schemaRefs/>
</ds:datastoreItem>
</file>

<file path=customXml/itemProps20.xml><?xml version="1.0" encoding="utf-8"?>
<ds:datastoreItem xmlns:ds="http://schemas.openxmlformats.org/officeDocument/2006/customXml" ds:itemID="{f75ad8f3-97a6-4339-859c-13b865913138}">
  <ds:schemaRefs/>
</ds:datastoreItem>
</file>

<file path=customXml/itemProps3.xml><?xml version="1.0" encoding="utf-8"?>
<ds:datastoreItem xmlns:ds="http://schemas.openxmlformats.org/officeDocument/2006/customXml" ds:itemID="{8247bda4-6b76-47d5-9078-d0ffa1b23c3f}">
  <ds:schemaRefs/>
</ds:datastoreItem>
</file>

<file path=customXml/itemProps4.xml><?xml version="1.0" encoding="utf-8"?>
<ds:datastoreItem xmlns:ds="http://schemas.openxmlformats.org/officeDocument/2006/customXml" ds:itemID="{7fac8ab6-bc4d-45bb-a879-313d248671c9}">
  <ds:schemaRefs/>
</ds:datastoreItem>
</file>

<file path=customXml/itemProps5.xml><?xml version="1.0" encoding="utf-8"?>
<ds:datastoreItem xmlns:ds="http://schemas.openxmlformats.org/officeDocument/2006/customXml" ds:itemID="{36191982-1ad2-4fb7-9f11-477ffe0cb585}">
  <ds:schemaRefs/>
</ds:datastoreItem>
</file>

<file path=customXml/itemProps6.xml><?xml version="1.0" encoding="utf-8"?>
<ds:datastoreItem xmlns:ds="http://schemas.openxmlformats.org/officeDocument/2006/customXml" ds:itemID="{5276ead3-33f3-4f8a-95e9-3304f8098258}">
  <ds:schemaRefs/>
</ds:datastoreItem>
</file>

<file path=customXml/itemProps7.xml><?xml version="1.0" encoding="utf-8"?>
<ds:datastoreItem xmlns:ds="http://schemas.openxmlformats.org/officeDocument/2006/customXml" ds:itemID="{c278709d-7a96-48b3-ad88-5e0a420d7595}">
  <ds:schemaRefs/>
</ds:datastoreItem>
</file>

<file path=customXml/itemProps8.xml><?xml version="1.0" encoding="utf-8"?>
<ds:datastoreItem xmlns:ds="http://schemas.openxmlformats.org/officeDocument/2006/customXml" ds:itemID="{98a25044-c9af-4e55-801d-992de7ce8d1d}">
  <ds:schemaRefs/>
</ds:datastoreItem>
</file>

<file path=customXml/itemProps9.xml><?xml version="1.0" encoding="utf-8"?>
<ds:datastoreItem xmlns:ds="http://schemas.openxmlformats.org/officeDocument/2006/customXml" ds:itemID="{0344eb28-e55b-4738-99d7-e0d7d6ce8409}">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2024-03-05T11:01:00Z</dcterms:created>
  <dc:creator>Administrator</dc:creator>
  <cp:lastModifiedBy>小丸子</cp:lastModifiedBy>
  <dcterms:modified xsi:type="dcterms:W3CDTF">2024-03-06T08:14:36Z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6297F45BE7E2485F8D3932AE38312D12_12</vt:lpwstr>
  </property>
</Properties>
</file>