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3317.01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3281.12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3317.01</w:t>
            </w:r>
          </w:p>
        </w:tc>
        <w:tc>
          <w:tcPr>
            <w:tcW w:w="4535" w:type="dxa"/>
            <w:vAlign w:val="center"/>
          </w:tcPr>
          <w:p>
            <w:pPr>
              <w:pStyle w:val="15"/>
            </w:pPr>
            <w:r>
              <w:t>本年支出合计</w:t>
            </w:r>
          </w:p>
        </w:tc>
        <w:tc>
          <w:tcPr>
            <w:tcW w:w="2126" w:type="dxa"/>
            <w:vAlign w:val="center"/>
          </w:tcPr>
          <w:p>
            <w:pPr>
              <w:pStyle w:val="16"/>
            </w:pPr>
            <w:r>
              <w:t>3317.01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3317.01</w:t>
            </w:r>
          </w:p>
        </w:tc>
        <w:tc>
          <w:tcPr>
            <w:tcW w:w="4535" w:type="dxa"/>
            <w:vAlign w:val="center"/>
          </w:tcPr>
          <w:p>
            <w:pPr>
              <w:pStyle w:val="15"/>
            </w:pPr>
            <w:r>
              <w:t>支出总计</w:t>
            </w:r>
          </w:p>
        </w:tc>
        <w:tc>
          <w:tcPr>
            <w:tcW w:w="2126" w:type="dxa"/>
            <w:vAlign w:val="center"/>
          </w:tcPr>
          <w:p>
            <w:pPr>
              <w:pStyle w:val="16"/>
            </w:pPr>
            <w:r>
              <w:t>3317.01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3317.01</w:t>
            </w:r>
          </w:p>
        </w:tc>
        <w:tc>
          <w:tcPr>
            <w:tcW w:w="1134" w:type="dxa"/>
            <w:vAlign w:val="center"/>
          </w:tcPr>
          <w:p>
            <w:pPr>
              <w:pStyle w:val="16"/>
            </w:pPr>
            <w:r>
              <w:t>3317.01</w:t>
            </w:r>
          </w:p>
        </w:tc>
        <w:tc>
          <w:tcPr>
            <w:tcW w:w="1134" w:type="dxa"/>
            <w:vAlign w:val="center"/>
          </w:tcPr>
          <w:p>
            <w:pPr>
              <w:pStyle w:val="16"/>
            </w:pPr>
            <w:r>
              <w:t>3317.01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3281.12</w:t>
            </w:r>
          </w:p>
        </w:tc>
        <w:tc>
          <w:tcPr>
            <w:tcW w:w="1134" w:type="dxa"/>
            <w:vAlign w:val="center"/>
          </w:tcPr>
          <w:p>
            <w:pPr>
              <w:pStyle w:val="12"/>
            </w:pPr>
            <w:r>
              <w:t>3281.12</w:t>
            </w:r>
          </w:p>
        </w:tc>
        <w:tc>
          <w:tcPr>
            <w:tcW w:w="1134" w:type="dxa"/>
            <w:vAlign w:val="center"/>
          </w:tcPr>
          <w:p>
            <w:pPr>
              <w:pStyle w:val="12"/>
            </w:pPr>
            <w:r>
              <w:t>3281.12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3281.12</w:t>
            </w:r>
          </w:p>
        </w:tc>
        <w:tc>
          <w:tcPr>
            <w:tcW w:w="1134" w:type="dxa"/>
            <w:vAlign w:val="center"/>
          </w:tcPr>
          <w:p>
            <w:pPr>
              <w:pStyle w:val="12"/>
            </w:pPr>
            <w:r>
              <w:t>3281.12</w:t>
            </w:r>
          </w:p>
        </w:tc>
        <w:tc>
          <w:tcPr>
            <w:tcW w:w="1134" w:type="dxa"/>
            <w:vAlign w:val="center"/>
          </w:tcPr>
          <w:p>
            <w:pPr>
              <w:pStyle w:val="12"/>
            </w:pPr>
            <w:r>
              <w:t>3281.12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2040201</w:t>
            </w:r>
          </w:p>
        </w:tc>
        <w:tc>
          <w:tcPr>
            <w:tcW w:w="1559" w:type="dxa"/>
            <w:vAlign w:val="center"/>
          </w:tcPr>
          <w:p>
            <w:pPr>
              <w:pStyle w:val="13"/>
            </w:pPr>
            <w:r>
              <w:t>行政运行</w:t>
            </w:r>
          </w:p>
        </w:tc>
        <w:tc>
          <w:tcPr>
            <w:tcW w:w="1134" w:type="dxa"/>
            <w:vAlign w:val="center"/>
          </w:tcPr>
          <w:p>
            <w:pPr>
              <w:pStyle w:val="12"/>
            </w:pPr>
            <w:r>
              <w:t>2525.12</w:t>
            </w:r>
          </w:p>
        </w:tc>
        <w:tc>
          <w:tcPr>
            <w:tcW w:w="1134" w:type="dxa"/>
            <w:vAlign w:val="center"/>
          </w:tcPr>
          <w:p>
            <w:pPr>
              <w:pStyle w:val="12"/>
            </w:pPr>
            <w:r>
              <w:t>2525.12</w:t>
            </w:r>
          </w:p>
        </w:tc>
        <w:tc>
          <w:tcPr>
            <w:tcW w:w="1134" w:type="dxa"/>
            <w:vAlign w:val="center"/>
          </w:tcPr>
          <w:p>
            <w:pPr>
              <w:pStyle w:val="12"/>
            </w:pPr>
            <w:r>
              <w:t>2525.12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2040220</w:t>
            </w:r>
          </w:p>
        </w:tc>
        <w:tc>
          <w:tcPr>
            <w:tcW w:w="1559" w:type="dxa"/>
            <w:vAlign w:val="center"/>
          </w:tcPr>
          <w:p>
            <w:pPr>
              <w:pStyle w:val="13"/>
            </w:pPr>
            <w:r>
              <w:t>执法办案</w:t>
            </w:r>
          </w:p>
        </w:tc>
        <w:tc>
          <w:tcPr>
            <w:tcW w:w="1134" w:type="dxa"/>
            <w:vAlign w:val="center"/>
          </w:tcPr>
          <w:p>
            <w:pPr>
              <w:pStyle w:val="12"/>
            </w:pPr>
            <w:r>
              <w:t>756.00</w:t>
            </w:r>
          </w:p>
        </w:tc>
        <w:tc>
          <w:tcPr>
            <w:tcW w:w="1134" w:type="dxa"/>
            <w:vAlign w:val="center"/>
          </w:tcPr>
          <w:p>
            <w:pPr>
              <w:pStyle w:val="12"/>
            </w:pPr>
            <w:r>
              <w:t>756.00</w:t>
            </w:r>
          </w:p>
        </w:tc>
        <w:tc>
          <w:tcPr>
            <w:tcW w:w="1134" w:type="dxa"/>
            <w:vAlign w:val="center"/>
          </w:tcPr>
          <w:p>
            <w:pPr>
              <w:pStyle w:val="12"/>
            </w:pPr>
            <w:r>
              <w:t>756.00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35.89</w:t>
            </w:r>
          </w:p>
        </w:tc>
        <w:tc>
          <w:tcPr>
            <w:tcW w:w="1134" w:type="dxa"/>
            <w:vAlign w:val="center"/>
          </w:tcPr>
          <w:p>
            <w:pPr>
              <w:pStyle w:val="12"/>
            </w:pPr>
            <w:r>
              <w:t>35.89</w:t>
            </w:r>
          </w:p>
        </w:tc>
        <w:tc>
          <w:tcPr>
            <w:tcW w:w="1134" w:type="dxa"/>
            <w:vAlign w:val="center"/>
          </w:tcPr>
          <w:p>
            <w:pPr>
              <w:pStyle w:val="12"/>
            </w:pPr>
            <w:r>
              <w:t>35.89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35.89</w:t>
            </w:r>
          </w:p>
        </w:tc>
        <w:tc>
          <w:tcPr>
            <w:tcW w:w="1134" w:type="dxa"/>
            <w:vAlign w:val="center"/>
          </w:tcPr>
          <w:p>
            <w:pPr>
              <w:pStyle w:val="12"/>
            </w:pPr>
            <w:r>
              <w:t>35.89</w:t>
            </w:r>
          </w:p>
        </w:tc>
        <w:tc>
          <w:tcPr>
            <w:tcW w:w="1134" w:type="dxa"/>
            <w:vAlign w:val="center"/>
          </w:tcPr>
          <w:p>
            <w:pPr>
              <w:pStyle w:val="12"/>
            </w:pPr>
            <w:r>
              <w:t>35.89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35.89</w:t>
            </w:r>
          </w:p>
        </w:tc>
        <w:tc>
          <w:tcPr>
            <w:tcW w:w="1134" w:type="dxa"/>
            <w:vAlign w:val="center"/>
          </w:tcPr>
          <w:p>
            <w:pPr>
              <w:pStyle w:val="12"/>
            </w:pPr>
            <w:r>
              <w:t>35.89</w:t>
            </w:r>
          </w:p>
        </w:tc>
        <w:tc>
          <w:tcPr>
            <w:tcW w:w="1134" w:type="dxa"/>
            <w:vAlign w:val="center"/>
          </w:tcPr>
          <w:p>
            <w:pPr>
              <w:pStyle w:val="12"/>
            </w:pPr>
            <w:r>
              <w:t>35.89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3317.01</w:t>
            </w:r>
          </w:p>
        </w:tc>
        <w:tc>
          <w:tcPr>
            <w:tcW w:w="1361" w:type="dxa"/>
            <w:vAlign w:val="center"/>
          </w:tcPr>
          <w:p>
            <w:pPr>
              <w:pStyle w:val="16"/>
            </w:pPr>
            <w:r>
              <w:t>2525.12</w:t>
            </w:r>
          </w:p>
        </w:tc>
        <w:tc>
          <w:tcPr>
            <w:tcW w:w="1361" w:type="dxa"/>
            <w:vAlign w:val="center"/>
          </w:tcPr>
          <w:p>
            <w:pPr>
              <w:pStyle w:val="16"/>
            </w:pPr>
            <w:r>
              <w:t>791.89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3281.12</w:t>
            </w:r>
          </w:p>
        </w:tc>
        <w:tc>
          <w:tcPr>
            <w:tcW w:w="1361" w:type="dxa"/>
            <w:vAlign w:val="center"/>
          </w:tcPr>
          <w:p>
            <w:pPr>
              <w:pStyle w:val="12"/>
            </w:pPr>
            <w:r>
              <w:t>2525.12</w:t>
            </w:r>
          </w:p>
        </w:tc>
        <w:tc>
          <w:tcPr>
            <w:tcW w:w="1361" w:type="dxa"/>
            <w:vAlign w:val="center"/>
          </w:tcPr>
          <w:p>
            <w:pPr>
              <w:pStyle w:val="12"/>
            </w:pPr>
            <w:r>
              <w:t>756.00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3281.12</w:t>
            </w:r>
          </w:p>
        </w:tc>
        <w:tc>
          <w:tcPr>
            <w:tcW w:w="1361" w:type="dxa"/>
            <w:vAlign w:val="center"/>
          </w:tcPr>
          <w:p>
            <w:pPr>
              <w:pStyle w:val="12"/>
            </w:pPr>
            <w:r>
              <w:t>2525.12</w:t>
            </w:r>
          </w:p>
        </w:tc>
        <w:tc>
          <w:tcPr>
            <w:tcW w:w="1361" w:type="dxa"/>
            <w:vAlign w:val="center"/>
          </w:tcPr>
          <w:p>
            <w:pPr>
              <w:pStyle w:val="12"/>
            </w:pPr>
            <w:r>
              <w:t>756.00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2040201</w:t>
            </w:r>
          </w:p>
        </w:tc>
        <w:tc>
          <w:tcPr>
            <w:tcW w:w="4535" w:type="dxa"/>
            <w:vAlign w:val="center"/>
          </w:tcPr>
          <w:p>
            <w:pPr>
              <w:pStyle w:val="13"/>
            </w:pPr>
            <w:r>
              <w:t>行政运行</w:t>
            </w:r>
          </w:p>
        </w:tc>
        <w:tc>
          <w:tcPr>
            <w:tcW w:w="1361" w:type="dxa"/>
            <w:vAlign w:val="center"/>
          </w:tcPr>
          <w:p>
            <w:pPr>
              <w:pStyle w:val="12"/>
            </w:pPr>
            <w:r>
              <w:t>2525.12</w:t>
            </w:r>
          </w:p>
        </w:tc>
        <w:tc>
          <w:tcPr>
            <w:tcW w:w="1361" w:type="dxa"/>
            <w:vAlign w:val="center"/>
          </w:tcPr>
          <w:p>
            <w:pPr>
              <w:pStyle w:val="12"/>
            </w:pPr>
            <w:r>
              <w:t>2525.12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2040220</w:t>
            </w:r>
          </w:p>
        </w:tc>
        <w:tc>
          <w:tcPr>
            <w:tcW w:w="4535" w:type="dxa"/>
            <w:vAlign w:val="center"/>
          </w:tcPr>
          <w:p>
            <w:pPr>
              <w:pStyle w:val="13"/>
            </w:pPr>
            <w:r>
              <w:t>执法办案</w:t>
            </w:r>
          </w:p>
        </w:tc>
        <w:tc>
          <w:tcPr>
            <w:tcW w:w="1361" w:type="dxa"/>
            <w:vAlign w:val="center"/>
          </w:tcPr>
          <w:p>
            <w:pPr>
              <w:pStyle w:val="12"/>
            </w:pPr>
            <w:r>
              <w:t>756.00</w:t>
            </w:r>
          </w:p>
        </w:tc>
        <w:tc>
          <w:tcPr>
            <w:tcW w:w="1361" w:type="dxa"/>
            <w:vAlign w:val="center"/>
          </w:tcPr>
          <w:p>
            <w:pPr>
              <w:pStyle w:val="12"/>
            </w:pPr>
          </w:p>
        </w:tc>
        <w:tc>
          <w:tcPr>
            <w:tcW w:w="1361" w:type="dxa"/>
            <w:vAlign w:val="center"/>
          </w:tcPr>
          <w:p>
            <w:pPr>
              <w:pStyle w:val="12"/>
            </w:pPr>
            <w:r>
              <w:t>756.00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35.89</w:t>
            </w:r>
          </w:p>
        </w:tc>
        <w:tc>
          <w:tcPr>
            <w:tcW w:w="1361" w:type="dxa"/>
            <w:vAlign w:val="center"/>
          </w:tcPr>
          <w:p>
            <w:pPr>
              <w:pStyle w:val="12"/>
            </w:pPr>
          </w:p>
        </w:tc>
        <w:tc>
          <w:tcPr>
            <w:tcW w:w="1361" w:type="dxa"/>
            <w:vAlign w:val="center"/>
          </w:tcPr>
          <w:p>
            <w:pPr>
              <w:pStyle w:val="12"/>
            </w:pPr>
            <w:r>
              <w:t>35.89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35.89</w:t>
            </w:r>
          </w:p>
        </w:tc>
        <w:tc>
          <w:tcPr>
            <w:tcW w:w="1361" w:type="dxa"/>
            <w:vAlign w:val="center"/>
          </w:tcPr>
          <w:p>
            <w:pPr>
              <w:pStyle w:val="12"/>
            </w:pPr>
          </w:p>
        </w:tc>
        <w:tc>
          <w:tcPr>
            <w:tcW w:w="1361" w:type="dxa"/>
            <w:vAlign w:val="center"/>
          </w:tcPr>
          <w:p>
            <w:pPr>
              <w:pStyle w:val="12"/>
            </w:pPr>
            <w:r>
              <w:t>35.89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35.89</w:t>
            </w:r>
          </w:p>
        </w:tc>
        <w:tc>
          <w:tcPr>
            <w:tcW w:w="1361" w:type="dxa"/>
            <w:vAlign w:val="center"/>
          </w:tcPr>
          <w:p>
            <w:pPr>
              <w:pStyle w:val="12"/>
            </w:pPr>
          </w:p>
        </w:tc>
        <w:tc>
          <w:tcPr>
            <w:tcW w:w="1361" w:type="dxa"/>
            <w:vAlign w:val="center"/>
          </w:tcPr>
          <w:p>
            <w:pPr>
              <w:pStyle w:val="12"/>
            </w:pPr>
            <w:r>
              <w:t>35.89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3317.01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3281.12</w:t>
            </w:r>
          </w:p>
        </w:tc>
        <w:tc>
          <w:tcPr>
            <w:tcW w:w="1474" w:type="dxa"/>
            <w:vAlign w:val="center"/>
          </w:tcPr>
          <w:p>
            <w:pPr>
              <w:pStyle w:val="12"/>
            </w:pPr>
            <w:r>
              <w:t>3281.12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35.89</w:t>
            </w:r>
          </w:p>
        </w:tc>
        <w:tc>
          <w:tcPr>
            <w:tcW w:w="1474" w:type="dxa"/>
            <w:vAlign w:val="center"/>
          </w:tcPr>
          <w:p>
            <w:pPr>
              <w:pStyle w:val="12"/>
            </w:pPr>
            <w:r>
              <w:t>35.89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3317.01</w:t>
            </w:r>
          </w:p>
        </w:tc>
        <w:tc>
          <w:tcPr>
            <w:tcW w:w="3402" w:type="dxa"/>
            <w:vAlign w:val="center"/>
          </w:tcPr>
          <w:p>
            <w:pPr>
              <w:pStyle w:val="15"/>
            </w:pPr>
            <w:r>
              <w:t>本年支出合计</w:t>
            </w:r>
          </w:p>
        </w:tc>
        <w:tc>
          <w:tcPr>
            <w:tcW w:w="1474" w:type="dxa"/>
            <w:vAlign w:val="center"/>
          </w:tcPr>
          <w:p>
            <w:pPr>
              <w:pStyle w:val="16"/>
            </w:pPr>
            <w:r>
              <w:t>3317.01</w:t>
            </w:r>
          </w:p>
        </w:tc>
        <w:tc>
          <w:tcPr>
            <w:tcW w:w="1474" w:type="dxa"/>
            <w:vAlign w:val="center"/>
          </w:tcPr>
          <w:p>
            <w:pPr>
              <w:pStyle w:val="16"/>
            </w:pPr>
            <w:r>
              <w:t>3317.01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3317.01</w:t>
            </w:r>
          </w:p>
        </w:tc>
        <w:tc>
          <w:tcPr>
            <w:tcW w:w="3402" w:type="dxa"/>
            <w:vAlign w:val="center"/>
          </w:tcPr>
          <w:p>
            <w:pPr>
              <w:pStyle w:val="15"/>
            </w:pPr>
            <w:r>
              <w:t>支出总计</w:t>
            </w:r>
          </w:p>
        </w:tc>
        <w:tc>
          <w:tcPr>
            <w:tcW w:w="1474" w:type="dxa"/>
            <w:vAlign w:val="center"/>
          </w:tcPr>
          <w:p>
            <w:pPr>
              <w:pStyle w:val="16"/>
            </w:pPr>
            <w:r>
              <w:t>3317.01</w:t>
            </w:r>
          </w:p>
        </w:tc>
        <w:tc>
          <w:tcPr>
            <w:tcW w:w="1474" w:type="dxa"/>
            <w:vAlign w:val="center"/>
          </w:tcPr>
          <w:p>
            <w:pPr>
              <w:pStyle w:val="16"/>
            </w:pPr>
            <w:r>
              <w:t>3317.01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3317.01</w:t>
            </w:r>
          </w:p>
        </w:tc>
        <w:tc>
          <w:tcPr>
            <w:tcW w:w="2551" w:type="dxa"/>
            <w:vAlign w:val="center"/>
          </w:tcPr>
          <w:p>
            <w:pPr>
              <w:pStyle w:val="16"/>
            </w:pPr>
            <w:r>
              <w:t>2525.12</w:t>
            </w:r>
          </w:p>
        </w:tc>
        <w:tc>
          <w:tcPr>
            <w:tcW w:w="2551" w:type="dxa"/>
            <w:vAlign w:val="center"/>
          </w:tcPr>
          <w:p>
            <w:pPr>
              <w:pStyle w:val="16"/>
            </w:pPr>
            <w:r>
              <w:t>791.89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3281.12</w:t>
            </w:r>
          </w:p>
        </w:tc>
        <w:tc>
          <w:tcPr>
            <w:tcW w:w="2551" w:type="dxa"/>
            <w:vAlign w:val="center"/>
          </w:tcPr>
          <w:p>
            <w:pPr>
              <w:pStyle w:val="12"/>
            </w:pPr>
            <w:r>
              <w:t>2525.12</w:t>
            </w:r>
          </w:p>
        </w:tc>
        <w:tc>
          <w:tcPr>
            <w:tcW w:w="2551" w:type="dxa"/>
            <w:vAlign w:val="center"/>
          </w:tcPr>
          <w:p>
            <w:pPr>
              <w:pStyle w:val="12"/>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3281.12</w:t>
            </w:r>
          </w:p>
        </w:tc>
        <w:tc>
          <w:tcPr>
            <w:tcW w:w="2551" w:type="dxa"/>
            <w:vAlign w:val="center"/>
          </w:tcPr>
          <w:p>
            <w:pPr>
              <w:pStyle w:val="12"/>
            </w:pPr>
            <w:r>
              <w:t>2525.12</w:t>
            </w:r>
          </w:p>
        </w:tc>
        <w:tc>
          <w:tcPr>
            <w:tcW w:w="2551" w:type="dxa"/>
            <w:vAlign w:val="center"/>
          </w:tcPr>
          <w:p>
            <w:pPr>
              <w:pStyle w:val="12"/>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2040201</w:t>
            </w:r>
          </w:p>
        </w:tc>
        <w:tc>
          <w:tcPr>
            <w:tcW w:w="4535" w:type="dxa"/>
            <w:vAlign w:val="center"/>
          </w:tcPr>
          <w:p>
            <w:pPr>
              <w:pStyle w:val="13"/>
            </w:pPr>
            <w:r>
              <w:t>行政运行</w:t>
            </w:r>
          </w:p>
        </w:tc>
        <w:tc>
          <w:tcPr>
            <w:tcW w:w="2551" w:type="dxa"/>
            <w:vAlign w:val="center"/>
          </w:tcPr>
          <w:p>
            <w:pPr>
              <w:pStyle w:val="12"/>
            </w:pPr>
            <w:r>
              <w:t>2525.12</w:t>
            </w:r>
          </w:p>
        </w:tc>
        <w:tc>
          <w:tcPr>
            <w:tcW w:w="2551" w:type="dxa"/>
            <w:vAlign w:val="center"/>
          </w:tcPr>
          <w:p>
            <w:pPr>
              <w:pStyle w:val="12"/>
            </w:pPr>
            <w:r>
              <w:t>2525.12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pPr>
            <w:r>
              <w:t>756.00</w:t>
            </w:r>
          </w:p>
        </w:tc>
        <w:tc>
          <w:tcPr>
            <w:tcW w:w="2551" w:type="dxa"/>
            <w:vAlign w:val="center"/>
          </w:tcPr>
          <w:p>
            <w:pPr>
              <w:pStyle w:val="12"/>
            </w:pPr>
          </w:p>
        </w:tc>
        <w:tc>
          <w:tcPr>
            <w:tcW w:w="2551" w:type="dxa"/>
            <w:vAlign w:val="center"/>
          </w:tcPr>
          <w:p>
            <w:pPr>
              <w:pStyle w:val="12"/>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35.89</w:t>
            </w:r>
          </w:p>
        </w:tc>
        <w:tc>
          <w:tcPr>
            <w:tcW w:w="2551" w:type="dxa"/>
            <w:vAlign w:val="center"/>
          </w:tcPr>
          <w:p>
            <w:pPr>
              <w:pStyle w:val="12"/>
            </w:pPr>
          </w:p>
        </w:tc>
        <w:tc>
          <w:tcPr>
            <w:tcW w:w="2551" w:type="dxa"/>
            <w:vAlign w:val="center"/>
          </w:tcPr>
          <w:p>
            <w:pPr>
              <w:pStyle w:val="12"/>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35.89</w:t>
            </w:r>
          </w:p>
        </w:tc>
        <w:tc>
          <w:tcPr>
            <w:tcW w:w="2551" w:type="dxa"/>
            <w:vAlign w:val="center"/>
          </w:tcPr>
          <w:p>
            <w:pPr>
              <w:pStyle w:val="12"/>
            </w:pPr>
          </w:p>
        </w:tc>
        <w:tc>
          <w:tcPr>
            <w:tcW w:w="2551" w:type="dxa"/>
            <w:vAlign w:val="center"/>
          </w:tcPr>
          <w:p>
            <w:pPr>
              <w:pStyle w:val="12"/>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35.89</w:t>
            </w:r>
          </w:p>
        </w:tc>
        <w:tc>
          <w:tcPr>
            <w:tcW w:w="2551" w:type="dxa"/>
            <w:vAlign w:val="center"/>
          </w:tcPr>
          <w:p>
            <w:pPr>
              <w:pStyle w:val="12"/>
            </w:pPr>
          </w:p>
        </w:tc>
        <w:tc>
          <w:tcPr>
            <w:tcW w:w="2551" w:type="dxa"/>
            <w:vAlign w:val="center"/>
          </w:tcPr>
          <w:p>
            <w:pPr>
              <w:pStyle w:val="12"/>
            </w:pPr>
            <w:r>
              <w:t>35.89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2525.12</w:t>
            </w:r>
          </w:p>
        </w:tc>
        <w:tc>
          <w:tcPr>
            <w:tcW w:w="2551" w:type="dxa"/>
            <w:vAlign w:val="center"/>
          </w:tcPr>
          <w:p>
            <w:pPr>
              <w:pStyle w:val="16"/>
            </w:pPr>
          </w:p>
        </w:tc>
        <w:tc>
          <w:tcPr>
            <w:tcW w:w="2551" w:type="dxa"/>
            <w:vAlign w:val="center"/>
          </w:tcPr>
          <w:p>
            <w:pPr>
              <w:pStyle w:val="16"/>
            </w:pPr>
            <w:r>
              <w:t>2525.12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2525.12</w:t>
            </w:r>
          </w:p>
        </w:tc>
        <w:tc>
          <w:tcPr>
            <w:tcW w:w="2551" w:type="dxa"/>
            <w:vAlign w:val="center"/>
          </w:tcPr>
          <w:p>
            <w:pPr>
              <w:pStyle w:val="12"/>
            </w:pPr>
          </w:p>
        </w:tc>
        <w:tc>
          <w:tcPr>
            <w:tcW w:w="2551" w:type="dxa"/>
            <w:vAlign w:val="center"/>
          </w:tcPr>
          <w:p>
            <w:pPr>
              <w:pStyle w:val="12"/>
            </w:pPr>
            <w:r>
              <w:t>2525.12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2525.12</w:t>
            </w:r>
          </w:p>
        </w:tc>
        <w:tc>
          <w:tcPr>
            <w:tcW w:w="2551" w:type="dxa"/>
            <w:vAlign w:val="center"/>
          </w:tcPr>
          <w:p>
            <w:pPr>
              <w:pStyle w:val="12"/>
            </w:pPr>
          </w:p>
        </w:tc>
        <w:tc>
          <w:tcPr>
            <w:tcW w:w="2551" w:type="dxa"/>
            <w:vAlign w:val="center"/>
          </w:tcPr>
          <w:p>
            <w:pPr>
              <w:pStyle w:val="12"/>
            </w:pPr>
            <w:r>
              <w:t>2525.12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2467" w:firstLineChars="11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石家庄市公安局鹿泉分局交通管理大队2024年部门预算信息公开情况说明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石家庄市公安局鹿泉分局交通管理大队2024年部门预算信息公开情况说明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按照《中华人民共和国预算法》、《地方预决算公开操作规程》和《关于进一步推进预算公开工作的实施意见》规定，现将石家庄市公安局鹿泉分局交通管理大队2024年部门预算公开如下：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16"/>
        <w:gridCol w:w="1728"/>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16" w:type="dxa"/>
            <w:vAlign w:val="center"/>
          </w:tcPr>
          <w:p>
            <w:pPr>
              <w:pStyle w:val="11"/>
            </w:pPr>
            <w:r>
              <w:t>单位名称</w:t>
            </w:r>
          </w:p>
        </w:tc>
        <w:tc>
          <w:tcPr>
            <w:tcW w:w="1728"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16" w:type="dxa"/>
            <w:vAlign w:val="center"/>
          </w:tcPr>
          <w:p>
            <w:pPr>
              <w:pStyle w:val="13"/>
            </w:pPr>
            <w:r>
              <w:t>石家庄市公安局鹿泉分局交通管理大队</w:t>
            </w:r>
          </w:p>
        </w:tc>
        <w:tc>
          <w:tcPr>
            <w:tcW w:w="1728" w:type="dxa"/>
            <w:vAlign w:val="center"/>
          </w:tcPr>
          <w:p>
            <w:pPr>
              <w:pStyle w:val="14"/>
            </w:pPr>
            <w:r>
              <w:t>行政</w:t>
            </w:r>
          </w:p>
        </w:tc>
        <w:tc>
          <w:tcPr>
            <w:tcW w:w="2464" w:type="dxa"/>
            <w:vAlign w:val="center"/>
          </w:tcPr>
          <w:p>
            <w:pPr>
              <w:pStyle w:val="14"/>
            </w:pPr>
            <w:r>
              <w:t>副科级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按照预算管理有关规定，目前部门预算的编制实行综合预算管理，即全部收入和支出都反映在预算中。石家庄市公安局鹿泉分局交通管理大队机关及所属事业单位的收支包含在部门预算中。</w:t>
      </w:r>
    </w:p>
    <w:p>
      <w:pPr>
        <w:pStyle w:val="19"/>
      </w:pPr>
      <w:r>
        <w:t>1、收入说明</w:t>
      </w:r>
    </w:p>
    <w:p>
      <w:pPr>
        <w:pStyle w:val="19"/>
      </w:pPr>
      <w:r>
        <w:t>反映本部门当年全部收入。2024年预算收入3317.01万元，其中：一般公共预算收入3317.01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公安局鹿泉分局交通管理大队年度部门预算中支出预算的总体情况。2024年支出预算3317.01万元，其中基本支出2525.12万元，包括人员经费0.00万元和日常公用经费2525.12万元；项目支出791.89万元，主要为智慧交通建设工程、山前大道、裕华路西延、和平路西延交通设施安装工程、国省道施划交通标线等。</w:t>
      </w:r>
    </w:p>
    <w:p>
      <w:pPr>
        <w:pStyle w:val="19"/>
      </w:pPr>
      <w:r>
        <w:t>3、比上年增减情况</w:t>
      </w:r>
    </w:p>
    <w:p>
      <w:pPr>
        <w:pStyle w:val="19"/>
      </w:pPr>
      <w:r>
        <w:t>2024年预算收支安排3317.01万元，较2023年预算增加378.86万元，其中：基本支出减少35.23万元，主要为委托业务费略减少，专项项目支出增加。项目支出增加414.09万元，主要为专项项目支出年初预算增加。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w:t>
      </w:r>
      <w:r>
        <w:rPr>
          <w:rFonts w:hint="eastAsia"/>
          <w:lang w:val="en-US" w:eastAsia="zh-CN"/>
        </w:rPr>
        <w:t>0</w:t>
      </w:r>
      <w:r>
        <w:t>万元。</w:t>
      </w:r>
      <w:bookmarkStart w:id="20" w:name="_GoBack"/>
      <w:bookmarkEnd w:id="20"/>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面完善交通基础设施建设。本着应改尽改原则，摸排、整改、渠化路口，完善道路交通安全设施，提升路口通行能力。办好区政府赋予我单位的惠民实事，在重点路段新增高点监控120套，新增电子警察21个路口，新增智能卡口6处，新增限高13套，以提升设施管理水平。加快新建道路交通安全设施建设，尽快实现规范化管理。加强停车管理，积极推进主城区停车位施划和建设，进一步解决停车难问题。始终保持严查严处高压态势。严查严处酒驾、醉驾、毒驾、涉牌涉证等严重交通违法行为，提高现场执法率、严重交通违法行为查处率和辑查布控系统使用率。主干公路机动车交通守法率达到85%以上，城区主干路机动车守法率达到90%以上，城区主要路口非机动车和行人守法率达到85%以上。构建和完善新型农村道路交通管理模式。围绕“乡村振兴”计划和“四好公路”要求，全面推进区县级路面防控工程建设，年内完成建设和使用覆盖率70%以上。落实乡镇交通管理职责，做好机动车、驾驶人属地管理工作。推动交警中队规范化建设，实现警力、路段、设施全覆盖。全面开展安全隐患排查防范。以道路基础设施不完善、企业主体责任不落实、交通违法突出、重点车辆和驾驶人管理不到位等交通安全隐患为重点，建立台账，落实责任，制定措施，挂账督办，限期整改。实行重点驾驶人、重点车辆隐患月度“清零”。继续强化交通安全宣传教育。在与传统媒体的合作中，从被动宣传向主动宣传转变，以新媒体宣传为突破口和创新点，发挥“双微”平台优势，直面社会公众，听民声、察民意、解民忧。促进执勤执法规范化建设，展示我区交警良好形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（一）全区道路交通秩序管理工作稳步推进</w:t>
      </w:r>
    </w:p>
    <w:p>
      <w:pPr>
        <w:pStyle w:val="23"/>
      </w:pPr>
      <w:r>
        <w:t>绩效目标：推动我区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完成，全市道路交通安全形势持续稳定。</w:t>
      </w:r>
    </w:p>
    <w:p>
      <w:pPr>
        <w:pStyle w:val="23"/>
      </w:pPr>
      <w:r>
        <w:t>绩效指标：在全区打造多个城区交通管理示范路口、文明行驶道路和交通秩序严管街道，提升主干路机动车守法率和主要路口行人和非机动车守法率，全区城镇道路平均拥堵延时指数控制在1.6以内；加大交通违法现场查处率，严查酒驾醉驾、无证驾驶、涉牌涉证等严重交通违法行为。</w:t>
      </w:r>
    </w:p>
    <w:p>
      <w:pPr>
        <w:pStyle w:val="23"/>
      </w:pPr>
      <w:r>
        <w:t>（二）事故处理及预防能力整体提升</w:t>
      </w:r>
    </w:p>
    <w:p>
      <w:pPr>
        <w:pStyle w:val="23"/>
      </w:pPr>
      <w:r>
        <w:t>绩效目标：简易交通事故处理效率进一步提高，交通事故处理执法进一步规范，当事人涉警投诉进一步减少，交通事故分析预防能力不断提升，道路交通安全隐患治理排查和治理工作机制进一步完善。</w:t>
      </w:r>
    </w:p>
    <w:p>
      <w:pPr>
        <w:pStyle w:val="23"/>
      </w:pPr>
      <w:r>
        <w:t>绩效指标：采用互联网+，河北交管12123快速处理交通事故，处理量占适用简易程序事故的10%以上，涉警执法不规范的事故信访案件控制在0起，对事故情况提出事故特点分析、预防对策每季度不少于1次。</w:t>
      </w:r>
    </w:p>
    <w:p>
      <w:pPr>
        <w:pStyle w:val="23"/>
      </w:pPr>
      <w:r>
        <w:t>（三）交通安全源头隐患治理高效</w:t>
      </w:r>
    </w:p>
    <w:p>
      <w:pPr>
        <w:pStyle w:val="23"/>
      </w:pPr>
      <w:r>
        <w:t>绩效目标：生产经营单位交通安全源头隐患逐渐消除，监管手段和监管效能不断提升，生产经营单位落实道路交通安全主体责任不断增强，重大交通事故风险防控率逐步提升，对重点车辆和驾驶人的管理全面加强，“两客一危”重点车辆违法和事故率得到有效控制，企业道路交通安全隐患排查治理力度不断加强。</w:t>
      </w:r>
    </w:p>
    <w:p>
      <w:pPr>
        <w:pStyle w:val="23"/>
      </w:pPr>
      <w:r>
        <w:t>绩效指标：全区公安交管部门源头监管机构全年对重点监管企业的监督检查达到全覆盖，对达到重点监管标准的道路运输企业纳入“源头监管服务平台”监管率达到95%以上，源头监管任务完成达到98%以上。</w:t>
      </w:r>
    </w:p>
    <w:p>
      <w:pPr>
        <w:pStyle w:val="23"/>
      </w:pPr>
      <w:r>
        <w:t>（四）机动车及驾驶人管理规范有序</w:t>
      </w:r>
    </w:p>
    <w:p>
      <w:pPr>
        <w:pStyle w:val="23"/>
      </w:pPr>
      <w:r>
        <w:t>绩效目标：全区车辆核发、补换领机动车号牌业务更加规范，便民利民力度不断增强，业务办理延伸网点大幅增加，异地检车业务全面推广，驾驶人异地考试工作日趋完善，“放管服”工作得到深入贯彻落实。</w:t>
      </w:r>
    </w:p>
    <w:p>
      <w:pPr>
        <w:pStyle w:val="23"/>
      </w:pPr>
      <w:r>
        <w:t>绩效指标：新增车辆注册率和挂牌率达到100%，机动车和驾驶人互联网平台注册率达到20%以上，延伸业务网点覆盖率达到全部网点的30%以上，延伸网点车驾管业务办结率达到80%以上。</w:t>
      </w:r>
    </w:p>
    <w:p>
      <w:pPr>
        <w:pStyle w:val="23"/>
      </w:pPr>
      <w:r>
        <w:t>（五）驾驶考试规范化不断增强</w:t>
      </w:r>
    </w:p>
    <w:p>
      <w:pPr>
        <w:pStyle w:val="23"/>
      </w:pPr>
      <w:r>
        <w:t>绩效目标：自有考试场地建设逐步完善，社会考场购买服务稳步落实，考试程序更加规范透明，考试组织更加规范合理，考试平台及监管系统运行更加稳定，违规违纪考试问题大幅下降，广大百姓满意度不断提升。</w:t>
      </w:r>
    </w:p>
    <w:p>
      <w:pPr>
        <w:pStyle w:val="23"/>
      </w:pPr>
      <w:r>
        <w:t>绩效指标：驾驶考场抽检合格率达到80%以上，考试车辆故障率控制在千分之一以下，考试监管系统监管率达到100%，考试系统和监管系统运行故障率控制在万分之一以下，除不可抗拒因素，单点故障时间不超过30分钟，驾考学员满意度达到90%以上。</w:t>
      </w:r>
    </w:p>
    <w:p>
      <w:pPr>
        <w:pStyle w:val="23"/>
      </w:pPr>
      <w:r>
        <w:t>（六）交通指挥调度能力整体提升</w:t>
      </w:r>
    </w:p>
    <w:p>
      <w:pPr>
        <w:pStyle w:val="23"/>
      </w:pPr>
      <w:r>
        <w:t>绩效目标：指挥调度精细化、规范化、智能化水平明显提升，交通组织优化、全息预警、分析研判和一体化指挥调度更加精准，全区道路拥堵有效缓解，道路通行效率、群众出行安全逐步改善。</w:t>
      </w:r>
    </w:p>
    <w:p>
      <w:pPr>
        <w:pStyle w:val="23"/>
      </w:pPr>
      <w:r>
        <w:t>绩效指标：视频会议系统升级，达到部、省、市、县四级实时连线会商要求，无故障率达90%以上；一体化指挥平台视频、卡口资源联网率达到60%以上；交通事故、交管管制、应急事项等一张图作战，指挥效能进一步提升，民警警务通单兵终端接入率达到90%以上；缉查布控机制加入人脸识别功能，失驾人员嫌疑车辆查处量提升50%以上。</w:t>
      </w:r>
    </w:p>
    <w:p>
      <w:pPr>
        <w:pStyle w:val="23"/>
      </w:pPr>
      <w:r>
        <w:t>（七）科技信息化支撑能力进一步增加</w:t>
      </w:r>
    </w:p>
    <w:p>
      <w:pPr>
        <w:pStyle w:val="23"/>
      </w:pPr>
      <w:r>
        <w:t xml:space="preserve">绩效目标：运维管理制度更加科学有效，系统安全性、稳定性不断提高，利用信息化手段提升系统自动检测和预警提示能力不断加强；顶层设计，统筹谋划能力更加突出，交管数据来源和覆盖面不断拓宽，科技手段运用和以信息化建设更加精准、有效。  </w:t>
      </w:r>
    </w:p>
    <w:p>
      <w:pPr>
        <w:pStyle w:val="23"/>
      </w:pPr>
      <w:r>
        <w:t>绩效指标：实现全天不间断运维保障，每次故障相应时间不超过30分钟，保障全区移动警务终端通信服务正常运行，全年信息系统升级更新次数不低于5次，全区互联网交通安全服务管理平台注册用户达2万，用户意见反馈回复率达85%以上。</w:t>
      </w:r>
    </w:p>
    <w:p>
      <w:pPr>
        <w:pStyle w:val="23"/>
      </w:pPr>
      <w:r>
        <w:t>（八）交通安全宣传教育水平全面提升</w:t>
      </w:r>
    </w:p>
    <w:p>
      <w:pPr>
        <w:pStyle w:val="23"/>
      </w:pPr>
      <w:r>
        <w:t>绩效目标：文明交通宣传覆盖面继续扩大，文明交通建设持续推进，法律法规的解读和宣传、违法行为曝光警示力度加大；农村交通安全宣传教育及中小学生安全防护知识传播逐步普及；自媒体宣传平台应用广泛推广，与主流交通媒体的合作不断加强，交通安全宣传的传播力、引导力、影响力、公信力明显上升，重点人群点对点到达率明显上升。</w:t>
      </w:r>
    </w:p>
    <w:p>
      <w:pPr>
        <w:pStyle w:val="23"/>
      </w:pPr>
      <w:r>
        <w:t>绩效指标：全年发布交通安全新闻通稿不少于20篇，电视媒体宣传全年不少于10小时，自媒体宣传不少于50篇，组织全市公益宣传活动不少于3场次，农村村镇宣传教育覆盖率达到50%，中小学生宣传教育覆盖率超过60%，交管窗口宣传覆盖率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组织领导。为全面推进预算绩效管理工作，交警大队成立由我队主管领导任组长的预算绩效工作领导小组，明确责任主体和内部绩效目标设置、监控、评价和审核的责任分工，细化工作方案，形成“一把手”亲自抓，分管副职具体抓的工作格局，全面落实各项绩效管改革举措，将事前评估、目标管理、运行监控、绩效评价、结果应用有效融入预算管理的全过程。机关各科室围绕年度总体绩效目标和分类绩效目标，分工协作、密切配合，确保各项工作按期完成。</w:t>
      </w:r>
    </w:p>
    <w:p>
      <w:pPr>
        <w:pStyle w:val="24"/>
      </w:pPr>
      <w:r>
        <w:t>（二）完善制度建设。集中组织大队各部门开展关于预算绩效管理相关文件的系统学习，确保领会精神实质，由我队装备财务科牵头，制定出台内控制度，严格审批程序，加强单位的固定资产登记、使用和报废处置管理，做到支出合理，物尽其用，为全年预算绩效目标的实现奠定制度基础。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三）狠抓任务落实。按照“谁花钱、谁负责，谁牵头、谁主责”的原则，明确我队各科室的预算绩效管理职责。充分调动各科室的积极性和主动性，由项目科室负责制定分管项目的内容、绩效目标和评价指标等参数，动态收集评估数据信息，开展预算绩效中期评估、后期评价以及整改落实等措施。形成财务部门牵头、资金使用单位具体实施、审计纪检部门参与监督，齐抓共管、多方联动的良好工作局面，使财务工作与业务工作紧密衔接，推动预算绩效管理常态化、制度化、规范化。</w:t>
      </w:r>
    </w:p>
    <w:p>
      <w:pPr>
        <w:pStyle w:val="24"/>
      </w:pPr>
      <w:r>
        <w:t>（四）强化预算执行。强化财政预算执行的刚性约束，提前部署启动政府采购项目，预算通过初审后，立即组织相关科室启动下年度政府采购项目的招投标工作。同时，不断优化部门预算支出结构、合理编报用款计划、合理改进支出方式、简化支付审批流程，确保按照财政规定时间节点完成进度要求，更好发挥财政资金的使用效益。</w:t>
      </w:r>
    </w:p>
    <w:p>
      <w:pPr>
        <w:pStyle w:val="24"/>
      </w:pPr>
      <w:r>
        <w:t>（五）完善评价机制。按要求开展绩效运行监控，大队成立专门的绩效评价工作小组，制定科学有效的评价方法，对部门所有专项资金的经济性、效率性以及绩效目标的实现程度进行全方位全过程评价，发现问题及时采取措施，确保绩效目标如期保质实现。项目实施完毕后，要组织开展对上年度所有的预算项目开展绩效自评和重点项目的重点评价，评价中要运用法律、行政和经济手段进行规范、管理、保障评价工作的有序推进，确保评价结果真实可信，并直接将评价结果与下年度预算安排挂钩，全面提高财政资金的使用效益。</w:t>
      </w:r>
    </w:p>
    <w:p>
      <w:pPr>
        <w:pStyle w:val="24"/>
      </w:pPr>
      <w:r>
        <w:t>（六）加强政策宣传。坚持正确的舆论导向，紧紧围绕全面实施预算绩效管理的重大意义、目标任务、工作举措和进展成效，组织开展多层次、多角度的业务培训，使所有民警职工牢固树立绩效理念，熟悉管理流程，掌握工作方法，提升业务素质和管理能力；采取大队各业务科室参与预算绩效管理工作，不断提高政策知晓率、参与度，形成全局关心、支持、参与、监督预算绩效管理的良好氛围，全面提升预算绩效管理科学水平。</w:t>
      </w:r>
    </w:p>
    <w:p>
      <w:pPr>
        <w:pStyle w:val="24"/>
        <w:sectPr>
          <w:pgSz w:w="16840" w:h="11900" w:orient="landscape"/>
          <w:pgMar w:top="1361" w:right="1020" w:bottom="1361" w:left="1020" w:header="720" w:footer="720" w:gutter="0"/>
          <w:cols w:space="720" w:num="1"/>
        </w:sectPr>
      </w:pPr>
      <w:r>
        <w:t xml:space="preserve">（七）加强队伍建设。提高干部民警的政策理论水平，分级分层及骨干业务培训覆盖率不断扩大，师资保障水平进一步提升，交通管理执法办案、交通安全风险防控、交通应急事件处置和群众工作、科技应用、舆情引导等能力水平进一步提高，干部民警职工政治觉悟政治定力不断增强。 </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1、2021年前日常维护零散工程绩效目标表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13011024P00323010065A</w:t>
            </w:r>
          </w:p>
        </w:tc>
        <w:tc>
          <w:tcPr>
            <w:tcW w:w="2835" w:type="dxa"/>
            <w:vAlign w:val="center"/>
          </w:tcPr>
          <w:p>
            <w:pPr>
              <w:pStyle w:val="11"/>
            </w:pPr>
            <w:r>
              <w:t>项目名称</w:t>
            </w:r>
          </w:p>
        </w:tc>
        <w:tc>
          <w:tcPr>
            <w:tcW w:w="6094" w:type="dxa"/>
            <w:gridSpan w:val="3"/>
            <w:vAlign w:val="center"/>
          </w:tcPr>
          <w:p>
            <w:pPr>
              <w:pStyle w:val="13"/>
            </w:pPr>
            <w:r>
              <w:t>2021年前日常维护零散工程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用于支付2021年前日常维护零散工程经费。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1.提高交通设施的正常使用率。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年度执行零活次数</w:t>
            </w:r>
          </w:p>
        </w:tc>
        <w:tc>
          <w:tcPr>
            <w:tcW w:w="5386" w:type="dxa"/>
            <w:vAlign w:val="center"/>
          </w:tcPr>
          <w:p>
            <w:pPr>
              <w:pStyle w:val="13"/>
            </w:pPr>
            <w:r>
              <w:t>年度执行临时性零散工程的次数</w:t>
            </w:r>
          </w:p>
        </w:tc>
        <w:tc>
          <w:tcPr>
            <w:tcW w:w="2268" w:type="dxa"/>
            <w:vAlign w:val="center"/>
          </w:tcPr>
          <w:p>
            <w:pPr>
              <w:pStyle w:val="13"/>
            </w:pPr>
            <w:r>
              <w:t>36次</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维修交通设施工程验收率</w:t>
            </w:r>
          </w:p>
        </w:tc>
        <w:tc>
          <w:tcPr>
            <w:tcW w:w="5386" w:type="dxa"/>
            <w:vAlign w:val="center"/>
          </w:tcPr>
          <w:p>
            <w:pPr>
              <w:pStyle w:val="13"/>
            </w:pPr>
            <w:r>
              <w:t>验收合格的工程量占总工程量的比率</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故障维修时间</w:t>
            </w:r>
          </w:p>
        </w:tc>
        <w:tc>
          <w:tcPr>
            <w:tcW w:w="5386" w:type="dxa"/>
            <w:vAlign w:val="center"/>
          </w:tcPr>
          <w:p>
            <w:pPr>
              <w:pStyle w:val="13"/>
            </w:pPr>
            <w:r>
              <w:t>一般交通设施出现故障及时修复的时间</w:t>
            </w:r>
          </w:p>
        </w:tc>
        <w:tc>
          <w:tcPr>
            <w:tcW w:w="2268" w:type="dxa"/>
            <w:vAlign w:val="center"/>
          </w:tcPr>
          <w:p>
            <w:pPr>
              <w:pStyle w:val="13"/>
            </w:pPr>
            <w:r>
              <w:t>≤24小时</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成本控制及节约情况</w:t>
            </w:r>
          </w:p>
        </w:tc>
        <w:tc>
          <w:tcPr>
            <w:tcW w:w="5386" w:type="dxa"/>
            <w:vAlign w:val="center"/>
          </w:tcPr>
          <w:p>
            <w:pPr>
              <w:pStyle w:val="13"/>
            </w:pPr>
            <w:r>
              <w:t>项目成本不超预算，且按要求执行政府采购</w:t>
            </w:r>
          </w:p>
        </w:tc>
        <w:tc>
          <w:tcPr>
            <w:tcW w:w="2268" w:type="dxa"/>
            <w:vAlign w:val="center"/>
          </w:tcPr>
          <w:p>
            <w:pPr>
              <w:pStyle w:val="13"/>
            </w:pPr>
            <w:r>
              <w:t>预算成本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交通通行效率</w:t>
            </w:r>
          </w:p>
        </w:tc>
        <w:tc>
          <w:tcPr>
            <w:tcW w:w="5386" w:type="dxa"/>
            <w:vAlign w:val="center"/>
          </w:tcPr>
          <w:p>
            <w:pPr>
              <w:pStyle w:val="13"/>
            </w:pPr>
            <w:r>
              <w:t>始终保持质量合格完整的交通设施对提高交通通行的效率</w:t>
            </w:r>
          </w:p>
        </w:tc>
        <w:tc>
          <w:tcPr>
            <w:tcW w:w="2268" w:type="dxa"/>
            <w:vAlign w:val="center"/>
          </w:tcPr>
          <w:p>
            <w:pPr>
              <w:pStyle w:val="13"/>
            </w:pPr>
            <w:r>
              <w:t>≥20%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广大群众遵守交通规则的比率（%</w:t>
            </w:r>
          </w:p>
        </w:tc>
        <w:tc>
          <w:tcPr>
            <w:tcW w:w="5386" w:type="dxa"/>
            <w:vAlign w:val="center"/>
          </w:tcPr>
          <w:p>
            <w:pPr>
              <w:pStyle w:val="13"/>
            </w:pPr>
            <w:r>
              <w:t>广大群众遵守交通规则的比率（%）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满意和较满意人数占接受调查总人数的比率</w:t>
            </w:r>
          </w:p>
        </w:tc>
        <w:tc>
          <w:tcPr>
            <w:tcW w:w="2268" w:type="dxa"/>
            <w:vAlign w:val="center"/>
          </w:tcPr>
          <w:p>
            <w:pPr>
              <w:pStyle w:val="13"/>
            </w:pPr>
            <w:r>
              <w:t>≥90%</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2、电动自行车上牌专项资金绩效目标表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13011024P00323010067H</w:t>
            </w:r>
          </w:p>
        </w:tc>
        <w:tc>
          <w:tcPr>
            <w:tcW w:w="2835" w:type="dxa"/>
            <w:vAlign w:val="center"/>
          </w:tcPr>
          <w:p>
            <w:pPr>
              <w:pStyle w:val="11"/>
            </w:pPr>
            <w:r>
              <w:t>项目名称</w:t>
            </w:r>
          </w:p>
        </w:tc>
        <w:tc>
          <w:tcPr>
            <w:tcW w:w="6094" w:type="dxa"/>
            <w:gridSpan w:val="3"/>
            <w:vAlign w:val="center"/>
          </w:tcPr>
          <w:p>
            <w:pPr>
              <w:pStyle w:val="13"/>
            </w:pPr>
            <w:r>
              <w:t>电动自行车上牌专项资金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用于支付电动自行车号牌及配套监控设备经费。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1.顺利推动我区电动自行车上牌工作。</w:t>
            </w:r>
            <w:r>
              <w:tab/>
            </w:r>
            <w:r>
              <w:tab/>
            </w:r>
            <w:r>
              <w:tab/>
            </w:r>
            <w:r>
              <w:tab/>
            </w:r>
            <w:r>
              <w:tab/>
            </w:r>
            <w:r>
              <w:tab/>
            </w:r>
          </w:p>
          <w:p>
            <w:pPr>
              <w:pStyle w:val="13"/>
            </w:pPr>
            <w:r>
              <w:t>2.严格规范电动车管理和交通秩序，优化提升城市形象和城市品位。</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需上牌电动自行车数量</w:t>
            </w:r>
          </w:p>
        </w:tc>
        <w:tc>
          <w:tcPr>
            <w:tcW w:w="5386" w:type="dxa"/>
            <w:vAlign w:val="center"/>
          </w:tcPr>
          <w:p>
            <w:pPr>
              <w:pStyle w:val="13"/>
            </w:pPr>
            <w:r>
              <w:t>我区约有需上牌电动自行车数量</w:t>
            </w:r>
          </w:p>
        </w:tc>
        <w:tc>
          <w:tcPr>
            <w:tcW w:w="2268" w:type="dxa"/>
            <w:vAlign w:val="center"/>
          </w:tcPr>
          <w:p>
            <w:pPr>
              <w:pStyle w:val="13"/>
            </w:pPr>
            <w:r>
              <w:t>≥13万辆</w:t>
            </w:r>
          </w:p>
        </w:tc>
        <w:tc>
          <w:tcPr>
            <w:tcW w:w="1276" w:type="dxa"/>
            <w:vAlign w:val="center"/>
          </w:tcPr>
          <w:p>
            <w:pPr>
              <w:pStyle w:val="13"/>
            </w:pPr>
            <w:r>
              <w:t>车管所测算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配套安装电子监控设备</w:t>
            </w:r>
          </w:p>
        </w:tc>
        <w:tc>
          <w:tcPr>
            <w:tcW w:w="5386" w:type="dxa"/>
            <w:vAlign w:val="center"/>
          </w:tcPr>
          <w:p>
            <w:pPr>
              <w:pStyle w:val="13"/>
            </w:pPr>
            <w:r>
              <w:t>配套安装电子监控设备数量</w:t>
            </w:r>
          </w:p>
        </w:tc>
        <w:tc>
          <w:tcPr>
            <w:tcW w:w="2268" w:type="dxa"/>
            <w:vAlign w:val="center"/>
          </w:tcPr>
          <w:p>
            <w:pPr>
              <w:pStyle w:val="13"/>
            </w:pPr>
            <w:r>
              <w:t>3套</w:t>
            </w:r>
          </w:p>
        </w:tc>
        <w:tc>
          <w:tcPr>
            <w:tcW w:w="1276" w:type="dxa"/>
            <w:vAlign w:val="center"/>
          </w:tcPr>
          <w:p>
            <w:pPr>
              <w:pStyle w:val="13"/>
            </w:pPr>
            <w:r>
              <w:t>车管所测算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电动车上牌遗漏率</w:t>
            </w:r>
          </w:p>
        </w:tc>
        <w:tc>
          <w:tcPr>
            <w:tcW w:w="5386" w:type="dxa"/>
            <w:vAlign w:val="center"/>
          </w:tcPr>
          <w:p>
            <w:pPr>
              <w:pStyle w:val="13"/>
            </w:pPr>
            <w:r>
              <w:t>电动车上牌遗漏率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确保电动自行车上牌工作按时开展</w:t>
            </w:r>
          </w:p>
        </w:tc>
        <w:tc>
          <w:tcPr>
            <w:tcW w:w="5386" w:type="dxa"/>
            <w:vAlign w:val="center"/>
          </w:tcPr>
          <w:p>
            <w:pPr>
              <w:pStyle w:val="13"/>
            </w:pPr>
            <w:r>
              <w:t>确保电动自行车上牌工作按时开展</w:t>
            </w:r>
          </w:p>
        </w:tc>
        <w:tc>
          <w:tcPr>
            <w:tcW w:w="2268" w:type="dxa"/>
            <w:vAlign w:val="center"/>
          </w:tcPr>
          <w:p>
            <w:pPr>
              <w:pStyle w:val="13"/>
            </w:pPr>
            <w:r>
              <w:t>3月1日</w:t>
            </w:r>
          </w:p>
        </w:tc>
        <w:tc>
          <w:tcPr>
            <w:tcW w:w="1276" w:type="dxa"/>
            <w:vAlign w:val="center"/>
          </w:tcPr>
          <w:p>
            <w:pPr>
              <w:pStyle w:val="13"/>
            </w:pPr>
            <w:r>
              <w:t>区委办公室方案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电动自行车车牌价格</w:t>
            </w:r>
          </w:p>
        </w:tc>
        <w:tc>
          <w:tcPr>
            <w:tcW w:w="5386" w:type="dxa"/>
            <w:vAlign w:val="center"/>
          </w:tcPr>
          <w:p>
            <w:pPr>
              <w:pStyle w:val="13"/>
            </w:pPr>
            <w:r>
              <w:t>电动自行车车牌价格</w:t>
            </w:r>
          </w:p>
        </w:tc>
        <w:tc>
          <w:tcPr>
            <w:tcW w:w="2268" w:type="dxa"/>
            <w:vAlign w:val="center"/>
          </w:tcPr>
          <w:p>
            <w:pPr>
              <w:pStyle w:val="13"/>
            </w:pPr>
            <w:r>
              <w:t>15.4元/副</w:t>
            </w:r>
          </w:p>
        </w:tc>
        <w:tc>
          <w:tcPr>
            <w:tcW w:w="1276" w:type="dxa"/>
            <w:vAlign w:val="center"/>
          </w:tcPr>
          <w:p>
            <w:pPr>
              <w:pStyle w:val="13"/>
            </w:pPr>
            <w:r>
              <w:t>招标价格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配套监控设备价格</w:t>
            </w:r>
          </w:p>
        </w:tc>
        <w:tc>
          <w:tcPr>
            <w:tcW w:w="5386" w:type="dxa"/>
            <w:vAlign w:val="center"/>
          </w:tcPr>
          <w:p>
            <w:pPr>
              <w:pStyle w:val="13"/>
            </w:pPr>
            <w:r>
              <w:t>配套监控设备价格</w:t>
            </w:r>
          </w:p>
        </w:tc>
        <w:tc>
          <w:tcPr>
            <w:tcW w:w="2268" w:type="dxa"/>
            <w:vAlign w:val="center"/>
          </w:tcPr>
          <w:p>
            <w:pPr>
              <w:pStyle w:val="13"/>
            </w:pPr>
            <w:r>
              <w:t>30万元/套</w:t>
            </w:r>
          </w:p>
        </w:tc>
        <w:tc>
          <w:tcPr>
            <w:tcW w:w="1276" w:type="dxa"/>
            <w:vAlign w:val="center"/>
          </w:tcPr>
          <w:p>
            <w:pPr>
              <w:pStyle w:val="13"/>
            </w:pPr>
            <w:r>
              <w:t>招标价格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满意和较满意人数占接受调查总人数的比率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3、国省道施划交通标线绩效目标表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13011024P00323010062F</w:t>
            </w:r>
          </w:p>
        </w:tc>
        <w:tc>
          <w:tcPr>
            <w:tcW w:w="2835" w:type="dxa"/>
            <w:vAlign w:val="center"/>
          </w:tcPr>
          <w:p>
            <w:pPr>
              <w:pStyle w:val="11"/>
            </w:pPr>
            <w:r>
              <w:t>项目名称</w:t>
            </w:r>
          </w:p>
        </w:tc>
        <w:tc>
          <w:tcPr>
            <w:tcW w:w="6094" w:type="dxa"/>
            <w:gridSpan w:val="3"/>
            <w:vAlign w:val="center"/>
          </w:tcPr>
          <w:p>
            <w:pPr>
              <w:pStyle w:val="13"/>
            </w:pPr>
            <w:r>
              <w:t>国省道施划交通标线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用于支付国省道施划交通标线经费。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1.完善交通标线设施，规范交通驾驶行为。减少路口交通拥堵或交通事故事件的发生。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施划标线完成率</w:t>
            </w:r>
          </w:p>
        </w:tc>
        <w:tc>
          <w:tcPr>
            <w:tcW w:w="5386" w:type="dxa"/>
            <w:vAlign w:val="center"/>
          </w:tcPr>
          <w:p>
            <w:pPr>
              <w:pStyle w:val="13"/>
            </w:pPr>
            <w:r>
              <w:t>施划标线实际完成率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交通标线完好率</w:t>
            </w:r>
          </w:p>
        </w:tc>
        <w:tc>
          <w:tcPr>
            <w:tcW w:w="5386" w:type="dxa"/>
            <w:vAlign w:val="center"/>
          </w:tcPr>
          <w:p>
            <w:pPr>
              <w:pStyle w:val="13"/>
            </w:pPr>
            <w:r>
              <w:t>标线完好的路口数量占施划管理路口数量的比例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道路施划次数</w:t>
            </w:r>
          </w:p>
        </w:tc>
        <w:tc>
          <w:tcPr>
            <w:tcW w:w="5386" w:type="dxa"/>
            <w:vAlign w:val="center"/>
          </w:tcPr>
          <w:p>
            <w:pPr>
              <w:pStyle w:val="13"/>
            </w:pPr>
            <w:r>
              <w:t>道路施划标线的次数</w:t>
            </w:r>
          </w:p>
        </w:tc>
        <w:tc>
          <w:tcPr>
            <w:tcW w:w="2268" w:type="dxa"/>
            <w:vAlign w:val="center"/>
          </w:tcPr>
          <w:p>
            <w:pPr>
              <w:pStyle w:val="13"/>
            </w:pPr>
            <w:r>
              <w:t>2次/年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成本控制及节约情况</w:t>
            </w:r>
          </w:p>
        </w:tc>
        <w:tc>
          <w:tcPr>
            <w:tcW w:w="5386" w:type="dxa"/>
            <w:vAlign w:val="center"/>
          </w:tcPr>
          <w:p>
            <w:pPr>
              <w:pStyle w:val="13"/>
            </w:pPr>
            <w:r>
              <w:t>项目成本不超预算，且按要求执行行政采购</w:t>
            </w:r>
          </w:p>
        </w:tc>
        <w:tc>
          <w:tcPr>
            <w:tcW w:w="2268" w:type="dxa"/>
            <w:vAlign w:val="center"/>
          </w:tcPr>
          <w:p>
            <w:pPr>
              <w:pStyle w:val="13"/>
            </w:pPr>
            <w:r>
              <w:t>成本小于预算，且全部执行政府采购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减少交通拥堵的发生</w:t>
            </w:r>
          </w:p>
        </w:tc>
        <w:tc>
          <w:tcPr>
            <w:tcW w:w="5386" w:type="dxa"/>
            <w:vAlign w:val="center"/>
          </w:tcPr>
          <w:p>
            <w:pPr>
              <w:pStyle w:val="13"/>
            </w:pPr>
            <w:r>
              <w:t>减少交通拥堵发生的比率</w:t>
            </w:r>
          </w:p>
        </w:tc>
        <w:tc>
          <w:tcPr>
            <w:tcW w:w="2268" w:type="dxa"/>
            <w:vAlign w:val="center"/>
          </w:tcPr>
          <w:p>
            <w:pPr>
              <w:pStyle w:val="13"/>
            </w:pPr>
            <w:r>
              <w:t>≥20%</w:t>
            </w:r>
          </w:p>
        </w:tc>
        <w:tc>
          <w:tcPr>
            <w:tcW w:w="1276" w:type="dxa"/>
            <w:vAlign w:val="center"/>
          </w:tcPr>
          <w:p>
            <w:pPr>
              <w:pStyle w:val="13"/>
            </w:pPr>
            <w:r>
              <w:t>数据对比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拥堵整改率</w:t>
            </w:r>
          </w:p>
        </w:tc>
        <w:tc>
          <w:tcPr>
            <w:tcW w:w="5386" w:type="dxa"/>
            <w:vAlign w:val="center"/>
          </w:tcPr>
          <w:p>
            <w:pPr>
              <w:pStyle w:val="13"/>
            </w:pPr>
            <w:r>
              <w:t>拥堵整改率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满意和较满意人数占接受调查总人数的比率</w:t>
            </w:r>
          </w:p>
        </w:tc>
        <w:tc>
          <w:tcPr>
            <w:tcW w:w="2268" w:type="dxa"/>
            <w:vAlign w:val="center"/>
          </w:tcPr>
          <w:p>
            <w:pPr>
              <w:pStyle w:val="13"/>
            </w:pPr>
            <w:r>
              <w:t>≥90%</w:t>
            </w:r>
          </w:p>
        </w:tc>
        <w:tc>
          <w:tcPr>
            <w:tcW w:w="1276" w:type="dxa"/>
            <w:vAlign w:val="center"/>
          </w:tcPr>
          <w:p>
            <w:pPr>
              <w:pStyle w:val="13"/>
            </w:pPr>
            <w:r>
              <w:t>历年经验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4、军队退役人员工资绩效目标表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13011024P003230100704</w:t>
            </w:r>
          </w:p>
        </w:tc>
        <w:tc>
          <w:tcPr>
            <w:tcW w:w="2835" w:type="dxa"/>
            <w:vAlign w:val="center"/>
          </w:tcPr>
          <w:p>
            <w:pPr>
              <w:pStyle w:val="11"/>
            </w:pPr>
            <w:r>
              <w:t>项目名称</w:t>
            </w:r>
          </w:p>
        </w:tc>
        <w:tc>
          <w:tcPr>
            <w:tcW w:w="6094" w:type="dxa"/>
            <w:gridSpan w:val="3"/>
            <w:vAlign w:val="center"/>
          </w:tcPr>
          <w:p>
            <w:pPr>
              <w:pStyle w:val="13"/>
            </w:pPr>
            <w:r>
              <w:t>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35.89</w:t>
            </w:r>
          </w:p>
        </w:tc>
        <w:tc>
          <w:tcPr>
            <w:tcW w:w="2835" w:type="dxa"/>
            <w:vAlign w:val="center"/>
          </w:tcPr>
          <w:p>
            <w:pPr>
              <w:pStyle w:val="11"/>
            </w:pPr>
            <w:r>
              <w:t>其中：财政    资金</w:t>
            </w:r>
          </w:p>
        </w:tc>
        <w:tc>
          <w:tcPr>
            <w:tcW w:w="2551" w:type="dxa"/>
            <w:vAlign w:val="center"/>
          </w:tcPr>
          <w:p>
            <w:pPr>
              <w:pStyle w:val="13"/>
            </w:pPr>
            <w:r>
              <w:t>35.89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1.对符合就业困难条件军队退役人员6名，实行公益岗位托管安置，帮扶救助到位。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补贴退役军人人数</w:t>
            </w:r>
          </w:p>
        </w:tc>
        <w:tc>
          <w:tcPr>
            <w:tcW w:w="2268" w:type="dxa"/>
            <w:vAlign w:val="center"/>
          </w:tcPr>
          <w:p>
            <w:pPr>
              <w:pStyle w:val="13"/>
            </w:pPr>
            <w:r>
              <w:t>6人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退役军人工资及时发放率</w:t>
            </w:r>
          </w:p>
        </w:tc>
        <w:tc>
          <w:tcPr>
            <w:tcW w:w="5386" w:type="dxa"/>
            <w:vAlign w:val="center"/>
          </w:tcPr>
          <w:p>
            <w:pPr>
              <w:pStyle w:val="13"/>
            </w:pPr>
            <w:r>
              <w:t>资金经费能够及时发放占总发放次数比率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退役军人补助标准</w:t>
            </w:r>
          </w:p>
        </w:tc>
        <w:tc>
          <w:tcPr>
            <w:tcW w:w="5386" w:type="dxa"/>
            <w:vAlign w:val="center"/>
          </w:tcPr>
          <w:p>
            <w:pPr>
              <w:pStyle w:val="13"/>
            </w:pPr>
            <w:r>
              <w:t>每人每月补助标准</w:t>
            </w:r>
          </w:p>
        </w:tc>
        <w:tc>
          <w:tcPr>
            <w:tcW w:w="2268" w:type="dxa"/>
            <w:vAlign w:val="center"/>
          </w:tcPr>
          <w:p>
            <w:pPr>
              <w:pStyle w:val="13"/>
            </w:pPr>
            <w:r>
              <w:t>≤3850元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托岗安置退役军人人数</w:t>
            </w:r>
          </w:p>
          <w:p>
            <w:pPr>
              <w:pStyle w:val="13"/>
            </w:pPr>
          </w:p>
        </w:tc>
        <w:tc>
          <w:tcPr>
            <w:tcW w:w="5386" w:type="dxa"/>
            <w:vAlign w:val="center"/>
          </w:tcPr>
          <w:p>
            <w:pPr>
              <w:pStyle w:val="13"/>
            </w:pPr>
            <w:r>
              <w:t>托岗安置退役军人人数</w:t>
            </w:r>
          </w:p>
        </w:tc>
        <w:tc>
          <w:tcPr>
            <w:tcW w:w="2268" w:type="dxa"/>
            <w:vAlign w:val="center"/>
          </w:tcPr>
          <w:p>
            <w:pPr>
              <w:pStyle w:val="13"/>
            </w:pPr>
            <w:r>
              <w:t>6人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退役安置公益岗位人员满意度</w:t>
            </w:r>
          </w:p>
        </w:tc>
        <w:tc>
          <w:tcPr>
            <w:tcW w:w="5386" w:type="dxa"/>
            <w:vAlign w:val="center"/>
          </w:tcPr>
          <w:p>
            <w:pPr>
              <w:pStyle w:val="13"/>
            </w:pPr>
            <w:r>
              <w:t>对退役安置公益岗位人员满意占总安置公益岗位总人数比率</w:t>
            </w:r>
          </w:p>
        </w:tc>
        <w:tc>
          <w:tcPr>
            <w:tcW w:w="2268" w:type="dxa"/>
            <w:vAlign w:val="center"/>
          </w:tcPr>
          <w:p>
            <w:pPr>
              <w:pStyle w:val="13"/>
            </w:pPr>
            <w:r>
              <w:t>≥95%</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5、山前大道、裕华路西延、和平路西延交通设施安装工程绩效目标表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13011024P00323010064N</w:t>
            </w:r>
          </w:p>
        </w:tc>
        <w:tc>
          <w:tcPr>
            <w:tcW w:w="2835" w:type="dxa"/>
            <w:vAlign w:val="center"/>
          </w:tcPr>
          <w:p>
            <w:pPr>
              <w:pStyle w:val="11"/>
            </w:pPr>
            <w:r>
              <w:t>项目名称</w:t>
            </w:r>
          </w:p>
        </w:tc>
        <w:tc>
          <w:tcPr>
            <w:tcW w:w="6094" w:type="dxa"/>
            <w:gridSpan w:val="3"/>
            <w:vAlign w:val="center"/>
          </w:tcPr>
          <w:p>
            <w:pPr>
              <w:pStyle w:val="13"/>
            </w:pPr>
            <w:r>
              <w:t>山前大道、裕华路西延、和平路西延交通设施安装工程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用于支付山前大道、裕华路西延、和平路西延交通设施安装工程经费。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1.增加21个路口的交通信号灯，并配套电子警察抓拍设备，完善山前大道的交通安全设施，减少道路交通拥堵或交通事故事件的发生。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山前大道拓宽设施安装量</w:t>
            </w:r>
          </w:p>
        </w:tc>
        <w:tc>
          <w:tcPr>
            <w:tcW w:w="5386" w:type="dxa"/>
            <w:vAlign w:val="center"/>
          </w:tcPr>
          <w:p>
            <w:pPr>
              <w:pStyle w:val="13"/>
            </w:pPr>
            <w:r>
              <w:t>山前大道拓宽新增加的交通设施量</w:t>
            </w:r>
          </w:p>
        </w:tc>
        <w:tc>
          <w:tcPr>
            <w:tcW w:w="2268" w:type="dxa"/>
            <w:vAlign w:val="center"/>
          </w:tcPr>
          <w:p>
            <w:pPr>
              <w:pStyle w:val="13"/>
            </w:pPr>
            <w:r>
              <w:t>安装21个路口的交通信号灯，并配套电子警察抓拍设备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交通设施购置总成本</w:t>
            </w:r>
          </w:p>
        </w:tc>
        <w:tc>
          <w:tcPr>
            <w:tcW w:w="5386" w:type="dxa"/>
            <w:vAlign w:val="center"/>
          </w:tcPr>
          <w:p>
            <w:pPr>
              <w:pStyle w:val="13"/>
            </w:pPr>
            <w:r>
              <w:t>交通设施购置总成本</w:t>
            </w:r>
          </w:p>
        </w:tc>
        <w:tc>
          <w:tcPr>
            <w:tcW w:w="2268" w:type="dxa"/>
            <w:vAlign w:val="center"/>
          </w:tcPr>
          <w:p>
            <w:pPr>
              <w:pStyle w:val="13"/>
            </w:pPr>
            <w:r>
              <w:t>预算成本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车辆违章下降率</w:t>
            </w:r>
          </w:p>
        </w:tc>
        <w:tc>
          <w:tcPr>
            <w:tcW w:w="5386" w:type="dxa"/>
            <w:vAlign w:val="center"/>
          </w:tcPr>
          <w:p>
            <w:pPr>
              <w:pStyle w:val="13"/>
            </w:pPr>
            <w:r>
              <w:t>车辆违章下降率</w:t>
            </w:r>
          </w:p>
        </w:tc>
        <w:tc>
          <w:tcPr>
            <w:tcW w:w="2268" w:type="dxa"/>
            <w:vAlign w:val="center"/>
          </w:tcPr>
          <w:p>
            <w:pPr>
              <w:pStyle w:val="13"/>
            </w:pPr>
            <w:r>
              <w:t>≥15%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满意和较满意人数占接受调查总人数的比率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6、智慧交通建设工程绩效目标表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13011024P00323010066X</w:t>
            </w:r>
          </w:p>
        </w:tc>
        <w:tc>
          <w:tcPr>
            <w:tcW w:w="2835" w:type="dxa"/>
            <w:vAlign w:val="center"/>
          </w:tcPr>
          <w:p>
            <w:pPr>
              <w:pStyle w:val="11"/>
            </w:pPr>
            <w:r>
              <w:t>项目名称</w:t>
            </w:r>
          </w:p>
        </w:tc>
        <w:tc>
          <w:tcPr>
            <w:tcW w:w="6094" w:type="dxa"/>
            <w:gridSpan w:val="3"/>
            <w:vAlign w:val="center"/>
          </w:tcPr>
          <w:p>
            <w:pPr>
              <w:pStyle w:val="13"/>
            </w:pPr>
            <w:r>
              <w:t>智慧交通建设工程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用于支付智慧交通建设工程项目经费。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1.完善智慧交通安全设施，推动群众文明出行。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交通设施项目建设完成率</w:t>
            </w:r>
          </w:p>
        </w:tc>
        <w:tc>
          <w:tcPr>
            <w:tcW w:w="5386" w:type="dxa"/>
            <w:vAlign w:val="center"/>
          </w:tcPr>
          <w:p>
            <w:pPr>
              <w:pStyle w:val="13"/>
            </w:pPr>
            <w:r>
              <w:t>交通设施建设项目工程完成情况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项目工期为四年，为2019-2022年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5386" w:type="dxa"/>
            <w:vAlign w:val="center"/>
          </w:tcPr>
          <w:p>
            <w:pPr>
              <w:pStyle w:val="13"/>
            </w:pPr>
            <w:r>
              <w:t>超概算金额占概算的比例</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广大群众遵守交通规则的比率（%</w:t>
            </w:r>
          </w:p>
        </w:tc>
        <w:tc>
          <w:tcPr>
            <w:tcW w:w="5386" w:type="dxa"/>
            <w:vAlign w:val="center"/>
          </w:tcPr>
          <w:p>
            <w:pPr>
              <w:pStyle w:val="13"/>
            </w:pPr>
            <w:r>
              <w:t>广大群众遵守交通规则的比率（%）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满意和较满意人数占接受调查总人数的比率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7、质保金费用绩效目标表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13011024P003230100633</w:t>
            </w:r>
          </w:p>
        </w:tc>
        <w:tc>
          <w:tcPr>
            <w:tcW w:w="2835" w:type="dxa"/>
            <w:vAlign w:val="center"/>
          </w:tcPr>
          <w:p>
            <w:pPr>
              <w:pStyle w:val="11"/>
            </w:pPr>
            <w:r>
              <w:t>项目名称</w:t>
            </w:r>
          </w:p>
        </w:tc>
        <w:tc>
          <w:tcPr>
            <w:tcW w:w="6094" w:type="dxa"/>
            <w:gridSpan w:val="3"/>
            <w:vAlign w:val="center"/>
          </w:tcPr>
          <w:p>
            <w:pPr>
              <w:pStyle w:val="13"/>
            </w:pPr>
            <w:r>
              <w:t>质保金费用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用于支付质保金经费。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1.对已完工的交通设施，确保在质保期内质量合格率达到百分之百。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需支付质保金项目数量</w:t>
            </w:r>
          </w:p>
        </w:tc>
        <w:tc>
          <w:tcPr>
            <w:tcW w:w="5386" w:type="dxa"/>
            <w:vAlign w:val="center"/>
          </w:tcPr>
          <w:p>
            <w:pPr>
              <w:pStyle w:val="13"/>
            </w:pPr>
            <w:r>
              <w:t>支付质保金项目数量</w:t>
            </w:r>
          </w:p>
        </w:tc>
        <w:tc>
          <w:tcPr>
            <w:tcW w:w="2268" w:type="dxa"/>
            <w:vAlign w:val="center"/>
          </w:tcPr>
          <w:p>
            <w:pPr>
              <w:pStyle w:val="13"/>
            </w:pPr>
            <w:r>
              <w:t>19个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交通设施验收合格率</w:t>
            </w:r>
          </w:p>
        </w:tc>
        <w:tc>
          <w:tcPr>
            <w:tcW w:w="5386" w:type="dxa"/>
            <w:vAlign w:val="center"/>
          </w:tcPr>
          <w:p>
            <w:pPr>
              <w:pStyle w:val="13"/>
            </w:pPr>
            <w:r>
              <w:t>验收合格的工程量占总工程量的比率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增设交通设施完成率</w:t>
            </w:r>
          </w:p>
        </w:tc>
        <w:tc>
          <w:tcPr>
            <w:tcW w:w="5386" w:type="dxa"/>
            <w:vAlign w:val="center"/>
          </w:tcPr>
          <w:p>
            <w:pPr>
              <w:pStyle w:val="13"/>
            </w:pPr>
            <w:r>
              <w:t>已完工的交通设施的工程量占总工程量的比率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成本控制及节约情况</w:t>
            </w:r>
          </w:p>
        </w:tc>
        <w:tc>
          <w:tcPr>
            <w:tcW w:w="5386" w:type="dxa"/>
            <w:vAlign w:val="center"/>
          </w:tcPr>
          <w:p>
            <w:pPr>
              <w:pStyle w:val="13"/>
            </w:pPr>
            <w:r>
              <w:t>项目成本不超预算，且按要求执行政府采购</w:t>
            </w:r>
          </w:p>
        </w:tc>
        <w:tc>
          <w:tcPr>
            <w:tcW w:w="2268" w:type="dxa"/>
            <w:vAlign w:val="center"/>
          </w:tcPr>
          <w:p>
            <w:pPr>
              <w:pStyle w:val="13"/>
            </w:pPr>
            <w:r>
              <w:t>预算成本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完善交通设施对我区道路安全畅通的改善成效</w:t>
            </w:r>
          </w:p>
        </w:tc>
        <w:tc>
          <w:tcPr>
            <w:tcW w:w="5386" w:type="dxa"/>
            <w:vAlign w:val="center"/>
          </w:tcPr>
          <w:p>
            <w:pPr>
              <w:pStyle w:val="13"/>
            </w:pPr>
            <w:r>
              <w:t>完善交通设施对我区道路安全畅通的改善成效较之前比较</w:t>
            </w:r>
          </w:p>
        </w:tc>
        <w:tc>
          <w:tcPr>
            <w:tcW w:w="2268" w:type="dxa"/>
            <w:vAlign w:val="center"/>
          </w:tcPr>
          <w:p>
            <w:pPr>
              <w:pStyle w:val="13"/>
            </w:pPr>
            <w:r>
              <w:t>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广大群众遵守交通规则的比率</w:t>
            </w:r>
          </w:p>
        </w:tc>
        <w:tc>
          <w:tcPr>
            <w:tcW w:w="5386" w:type="dxa"/>
            <w:vAlign w:val="center"/>
          </w:tcPr>
          <w:p>
            <w:pPr>
              <w:pStyle w:val="13"/>
            </w:pPr>
            <w:r>
              <w:t>广大群众遵守交通规则的比率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满意和较满意人数占接受调查总人数的比率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98.00</w:t>
            </w:r>
          </w:p>
        </w:tc>
        <w:tc>
          <w:tcPr>
            <w:tcW w:w="964" w:type="dxa"/>
            <w:vAlign w:val="center"/>
          </w:tcPr>
          <w:p>
            <w:pPr>
              <w:pStyle w:val="16"/>
            </w:pPr>
            <w:r>
              <w:t>98.00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石家庄市公安局鹿泉分局交通管理大队小计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98.00</w:t>
            </w:r>
          </w:p>
        </w:tc>
        <w:tc>
          <w:tcPr>
            <w:tcW w:w="964" w:type="dxa"/>
            <w:vAlign w:val="center"/>
          </w:tcPr>
          <w:p>
            <w:pPr>
              <w:pStyle w:val="16"/>
            </w:pPr>
            <w:r>
              <w:t>98.00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电动自行车上牌专项资金</w:t>
            </w:r>
          </w:p>
        </w:tc>
        <w:tc>
          <w:tcPr>
            <w:tcW w:w="964" w:type="dxa"/>
            <w:vAlign w:val="center"/>
          </w:tcPr>
          <w:p>
            <w:pPr>
              <w:pStyle w:val="12"/>
            </w:pPr>
            <w:r>
              <w:t>98.00</w:t>
            </w:r>
          </w:p>
        </w:tc>
        <w:tc>
          <w:tcPr>
            <w:tcW w:w="1134" w:type="dxa"/>
            <w:vAlign w:val="center"/>
          </w:tcPr>
          <w:p>
            <w:pPr>
              <w:pStyle w:val="13"/>
            </w:pPr>
            <w:r>
              <w:t>交通管理设备</w:t>
            </w:r>
          </w:p>
        </w:tc>
        <w:tc>
          <w:tcPr>
            <w:tcW w:w="1134" w:type="dxa"/>
            <w:vAlign w:val="center"/>
          </w:tcPr>
          <w:p>
            <w:pPr>
              <w:pStyle w:val="13"/>
            </w:pPr>
            <w:r>
              <w:t>A02370200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98.00</w:t>
            </w:r>
          </w:p>
        </w:tc>
        <w:tc>
          <w:tcPr>
            <w:tcW w:w="964" w:type="dxa"/>
            <w:vAlign w:val="center"/>
          </w:tcPr>
          <w:p>
            <w:pPr>
              <w:pStyle w:val="12"/>
            </w:pPr>
            <w:r>
              <w:t>98.00</w:t>
            </w:r>
          </w:p>
        </w:tc>
        <w:tc>
          <w:tcPr>
            <w:tcW w:w="964" w:type="dxa"/>
            <w:vAlign w:val="center"/>
          </w:tcPr>
          <w:p>
            <w:pPr>
              <w:pStyle w:val="12"/>
            </w:pPr>
            <w:r>
              <w:t>98.00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石家庄市公安局鹿泉分局交通管理大队（含所属单位）上年末固定资产金额为0.00万元（详见下表）。本年度拟购置固定资产总额为0.00万元，已按要求列入政府采购预算，详见政府采购预算表。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451石家庄市公安局鹿泉分局交通管理大队</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800002BF" w:usb1="38CF7CFA" w:usb2="00000016"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AyNTlkZjliMmYxYTJiNDcyODQzYjNhYWY5ODYxNWIifQ=="/>
  </w:docVars>
  <w:rsids>
    <w:rsidRoot w:val="00000000"/>
    <w:rsid w:val="0D8A1B38"/>
    <w:rsid w:val="117F087D"/>
    <w:rsid w:val="1F3F33F9"/>
    <w:rsid w:val="24575689"/>
    <w:rsid w:val="2BCF1FA9"/>
    <w:rsid w:val="2CAB6572"/>
    <w:rsid w:val="30847806"/>
    <w:rsid w:val="30B11C7D"/>
    <w:rsid w:val="37531CE0"/>
    <w:rsid w:val="40642868"/>
    <w:rsid w:val="47B16CDB"/>
    <w:rsid w:val="50746AF7"/>
    <w:rsid w:val="50F32669"/>
    <w:rsid w:val="599975CF"/>
    <w:rsid w:val="5D3F048D"/>
    <w:rsid w:val="6071095D"/>
    <w:rsid w:val="61811074"/>
    <w:rsid w:val="75A94E96"/>
    <w:rsid w:val="7A1C14E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2024-03-05T10:59:25Z</dcterms:created>
  <dcterms:modified xsi:type="dcterms:W3CDTF">2024-03-05T02:59:24Z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2024-03-05T10:59:25Z</dcterms:created>
  <dcterms:modified xsi:type="dcterms:W3CDTF">2024-03-05T02:59:25Z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2024-03-05T10:59:25Z</dcterms:created>
  <dcterms:modified xsi:type="dcterms:W3CDTF">2024-03-05T02:59:25Z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2024-03-05T10:59:26Z</dcterms:created>
  <dcterms:modified xsi:type="dcterms:W3CDTF">2024-03-05T02:59:26Z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2024-03-05T10:59:22Z</dcterms:created>
  <dcterms:modified xsi:type="dcterms:W3CDTF">2024-03-05T02:59:22Z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2024-03-05T10:59:22Z</dcterms:created>
  <dcterms:modified xsi:type="dcterms:W3CDTF">2024-03-05T02:59:22Z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2024-03-05T10:59:22Z</dcterms:created>
  <dcterms:modified xsi:type="dcterms:W3CDTF">2024-03-05T02:59:22Z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2024-03-05T10:59:23Z</dcterms:created>
  <dcterms:modified xsi:type="dcterms:W3CDTF">2024-03-05T02:59:23Z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2024-03-05T10:59:20Z</dcterms:created>
  <dcterms:modified xsi:type="dcterms:W3CDTF">2024-03-05T02:59:20Z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2024-03-05T10:59:23Z</dcterms:created>
  <dcterms:modified xsi:type="dcterms:W3CDTF">2024-03-05T02:59:23Z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2024-03-05T10:59:23Z</dcterms:created>
  <dcterms:modified xsi:type="dcterms:W3CDTF">2024-03-05T02:59:23Z</dcterms:modified>
</cp:coreProperties>
</file>

<file path=customXml/itemProps1.xml><?xml version="1.0" encoding="utf-8"?>
<ds:datastoreItem xmlns:ds="http://schemas.openxmlformats.org/officeDocument/2006/customXml" ds:itemID="{a9f9b26d-190e-4549-83ef-aa234e9df2ba}">
  <ds:schemaRefs/>
</ds:datastoreItem>
</file>

<file path=customXml/itemProps10.xml><?xml version="1.0" encoding="utf-8"?>
<ds:datastoreItem xmlns:ds="http://schemas.openxmlformats.org/officeDocument/2006/customXml" ds:itemID="{2136e058-0de4-44f6-a70d-99030b44f1c4}">
  <ds:schemaRefs/>
</ds:datastoreItem>
</file>

<file path=customXml/itemProps11.xml><?xml version="1.0" encoding="utf-8"?>
<ds:datastoreItem xmlns:ds="http://schemas.openxmlformats.org/officeDocument/2006/customXml" ds:itemID="{5a53bf20-dc49-40e3-8495-cd5b336db9b7}">
  <ds:schemaRefs/>
</ds:datastoreItem>
</file>

<file path=customXml/itemProps12.xml><?xml version="1.0" encoding="utf-8"?>
<ds:datastoreItem xmlns:ds="http://schemas.openxmlformats.org/officeDocument/2006/customXml" ds:itemID="{cad3d3ec-c10d-43d3-8f70-4a9f43b9e8db}">
  <ds:schemaRefs/>
</ds:datastoreItem>
</file>

<file path=customXml/itemProps13.xml><?xml version="1.0" encoding="utf-8"?>
<ds:datastoreItem xmlns:ds="http://schemas.openxmlformats.org/officeDocument/2006/customXml" ds:itemID="{82c0deda-236d-4cdd-8346-94c2f8a15ba5}">
  <ds:schemaRefs/>
</ds:datastoreItem>
</file>

<file path=customXml/itemProps14.xml><?xml version="1.0" encoding="utf-8"?>
<ds:datastoreItem xmlns:ds="http://schemas.openxmlformats.org/officeDocument/2006/customXml" ds:itemID="{6e9a17b3-04b3-49ab-990d-887d7d9ecae4}">
  <ds:schemaRefs/>
</ds:datastoreItem>
</file>

<file path=customXml/itemProps15.xml><?xml version="1.0" encoding="utf-8"?>
<ds:datastoreItem xmlns:ds="http://schemas.openxmlformats.org/officeDocument/2006/customXml" ds:itemID="{b707fbab-d5ea-4201-852f-4a12876faeea}">
  <ds:schemaRefs/>
</ds:datastoreItem>
</file>

<file path=customXml/itemProps16.xml><?xml version="1.0" encoding="utf-8"?>
<ds:datastoreItem xmlns:ds="http://schemas.openxmlformats.org/officeDocument/2006/customXml" ds:itemID="{b2a8b942-f73a-4897-b65d-706f4ed5d669}">
  <ds:schemaRefs/>
</ds:datastoreItem>
</file>

<file path=customXml/itemProps17.xml><?xml version="1.0" encoding="utf-8"?>
<ds:datastoreItem xmlns:ds="http://schemas.openxmlformats.org/officeDocument/2006/customXml" ds:itemID="{40a75251-7b93-4c3b-b084-7a5e709dacec}">
  <ds:schemaRefs/>
</ds:datastoreItem>
</file>

<file path=customXml/itemProps18.xml><?xml version="1.0" encoding="utf-8"?>
<ds:datastoreItem xmlns:ds="http://schemas.openxmlformats.org/officeDocument/2006/customXml" ds:itemID="{7ba59cd3-0d66-46bf-9037-6e2b2bdc1161}">
  <ds:schemaRefs/>
</ds:datastoreItem>
</file>

<file path=customXml/itemProps19.xml><?xml version="1.0" encoding="utf-8"?>
<ds:datastoreItem xmlns:ds="http://schemas.openxmlformats.org/officeDocument/2006/customXml" ds:itemID="{7c962781-f078-4a3b-91aa-7e1d839b9da9}">
  <ds:schemaRefs/>
</ds:datastoreItem>
</file>

<file path=customXml/itemProps2.xml><?xml version="1.0" encoding="utf-8"?>
<ds:datastoreItem xmlns:ds="http://schemas.openxmlformats.org/officeDocument/2006/customXml" ds:itemID="{d270f2c9-7a59-42b0-81fc-414959f21766}">
  <ds:schemaRefs/>
</ds:datastoreItem>
</file>

<file path=customXml/itemProps20.xml><?xml version="1.0" encoding="utf-8"?>
<ds:datastoreItem xmlns:ds="http://schemas.openxmlformats.org/officeDocument/2006/customXml" ds:itemID="{de6d1ce6-6020-4169-b6c8-57e92349e1bb}">
  <ds:schemaRefs/>
</ds:datastoreItem>
</file>

<file path=customXml/itemProps21.xml><?xml version="1.0" encoding="utf-8"?>
<ds:datastoreItem xmlns:ds="http://schemas.openxmlformats.org/officeDocument/2006/customXml" ds:itemID="{55d2690c-0533-417a-80d2-94d42c704e7b}">
  <ds:schemaRefs/>
</ds:datastoreItem>
</file>

<file path=customXml/itemProps22.xml><?xml version="1.0" encoding="utf-8"?>
<ds:datastoreItem xmlns:ds="http://schemas.openxmlformats.org/officeDocument/2006/customXml" ds:itemID="{55241dc4-e68b-4324-808c-b4ce1376f6ff}">
  <ds:schemaRefs/>
</ds:datastoreItem>
</file>

<file path=customXml/itemProps3.xml><?xml version="1.0" encoding="utf-8"?>
<ds:datastoreItem xmlns:ds="http://schemas.openxmlformats.org/officeDocument/2006/customXml" ds:itemID="{4b79fb82-c03a-41db-bf1d-792c6d5f1723}">
  <ds:schemaRefs/>
</ds:datastoreItem>
</file>

<file path=customXml/itemProps4.xml><?xml version="1.0" encoding="utf-8"?>
<ds:datastoreItem xmlns:ds="http://schemas.openxmlformats.org/officeDocument/2006/customXml" ds:itemID="{00ce54e0-2b98-45cb-83d0-9d56b49364a4}">
  <ds:schemaRefs/>
</ds:datastoreItem>
</file>

<file path=customXml/itemProps5.xml><?xml version="1.0" encoding="utf-8"?>
<ds:datastoreItem xmlns:ds="http://schemas.openxmlformats.org/officeDocument/2006/customXml" ds:itemID="{a32d85be-7aec-4f84-8416-797f46175863}">
  <ds:schemaRefs/>
</ds:datastoreItem>
</file>

<file path=customXml/itemProps6.xml><?xml version="1.0" encoding="utf-8"?>
<ds:datastoreItem xmlns:ds="http://schemas.openxmlformats.org/officeDocument/2006/customXml" ds:itemID="{6b75f99d-2c1c-402c-b8cf-8011505a181a}">
  <ds:schemaRefs/>
</ds:datastoreItem>
</file>

<file path=customXml/itemProps7.xml><?xml version="1.0" encoding="utf-8"?>
<ds:datastoreItem xmlns:ds="http://schemas.openxmlformats.org/officeDocument/2006/customXml" ds:itemID="{722317e7-fcc0-49a7-9b62-74f2be8d6424}">
  <ds:schemaRefs/>
</ds:datastoreItem>
</file>

<file path=customXml/itemProps8.xml><?xml version="1.0" encoding="utf-8"?>
<ds:datastoreItem xmlns:ds="http://schemas.openxmlformats.org/officeDocument/2006/customXml" ds:itemID="{1bbda7d3-cf4d-4463-9dfd-4143ebda03c4}">
  <ds:schemaRefs/>
</ds:datastoreItem>
</file>

<file path=customXml/itemProps9.xml><?xml version="1.0" encoding="utf-8"?>
<ds:datastoreItem xmlns:ds="http://schemas.openxmlformats.org/officeDocument/2006/customXml" ds:itemID="{f2bfb59c-2ddc-416b-8d87-ed524a67509b}">
  <ds:schemaRefs/>
</ds:datastoreItem>
</file>

<file path=docProps/app.xml><?xml version="1.0" encoding="utf-8"?>
<Properties xmlns="http://schemas.openxmlformats.org/officeDocument/2006/extended-properties" xmlns:vt="http://schemas.openxmlformats.org/officeDocument/2006/docPropsVTypes">
  <TotalTime>115</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2024-03-05T10:59:00Z</dcterms:created>
  <dc:creator>Administrator</dc:creator>
  <cp:lastModifiedBy>小丸子</cp:lastModifiedBy>
  <dcterms:modified xsi:type="dcterms:W3CDTF">2024-03-06T08:13:37Z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A1769A8C8E4B411B84492D9B7AAA255A_12</vt:lpwstr>
  </property>
</Properties>
</file>