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ascii="黑体" w:hAnsi="黑体" w:eastAsia="黑体" w:cs="黑体"/>
          <w:b/>
          <w:color w:val="000000"/>
          <w:sz w:val="44"/>
          <w:lang w:eastAsia="zh-CN"/>
        </w:rPr>
      </w:pPr>
    </w:p>
    <w:p>
      <w:pPr>
        <w:jc w:val="center"/>
        <w:outlineLvl w:val="0"/>
        <w:rPr>
          <w:rFonts w:ascii="黑体" w:hAnsi="黑体" w:eastAsia="黑体" w:cs="黑体"/>
          <w:b/>
          <w:color w:val="000000"/>
          <w:sz w:val="44"/>
          <w:lang w:eastAsia="zh-CN"/>
        </w:rPr>
      </w:pPr>
    </w:p>
    <w:p>
      <w:pPr>
        <w:jc w:val="center"/>
        <w:outlineLvl w:val="0"/>
        <w:rPr>
          <w:rFonts w:ascii="方正小标宋_GBK" w:hAnsi="方正小标宋_GBK" w:eastAsia="方正小标宋_GBK" w:cs="方正小标宋_GBK"/>
          <w:b/>
          <w:color w:val="000000"/>
          <w:spacing w:val="8"/>
          <w:sz w:val="100"/>
          <w:szCs w:val="100"/>
          <w:lang w:eastAsia="zh-CN"/>
        </w:rPr>
      </w:pPr>
      <w:r>
        <w:rPr>
          <w:rFonts w:hint="eastAsia" w:ascii="方正小标宋_GBK" w:hAnsi="方正小标宋_GBK" w:eastAsia="方正小标宋_GBK" w:cs="方正小标宋_GBK"/>
          <w:b/>
          <w:color w:val="000000"/>
          <w:spacing w:val="8"/>
          <w:sz w:val="100"/>
          <w:szCs w:val="100"/>
          <w:lang w:eastAsia="zh-CN"/>
        </w:rPr>
        <w:t>中国共产党石家庄市鹿泉区</w:t>
      </w:r>
    </w:p>
    <w:p>
      <w:pPr>
        <w:jc w:val="center"/>
        <w:outlineLvl w:val="0"/>
        <w:rPr>
          <w:rFonts w:ascii="方正小标宋简体" w:hAnsi="方正小标宋简体" w:eastAsia="方正小标宋简体" w:cs="方正小标宋简体"/>
          <w:b/>
          <w:color w:val="000000"/>
          <w:sz w:val="112"/>
          <w:szCs w:val="112"/>
          <w:lang w:eastAsia="zh-CN"/>
        </w:rPr>
      </w:pPr>
      <w:r>
        <w:rPr>
          <w:rFonts w:hint="eastAsia" w:ascii="方正小标宋_GBK" w:hAnsi="方正小标宋_GBK" w:eastAsia="方正小标宋_GBK" w:cs="方正小标宋_GBK"/>
          <w:b/>
          <w:color w:val="000000"/>
          <w:spacing w:val="8"/>
          <w:sz w:val="100"/>
          <w:szCs w:val="100"/>
          <w:lang w:eastAsia="zh-CN"/>
        </w:rPr>
        <w:t>纪律检查委员会</w:t>
      </w:r>
    </w:p>
    <w:p>
      <w:pPr>
        <w:jc w:val="center"/>
        <w:outlineLvl w:val="0"/>
        <w:rPr>
          <w:rFonts w:ascii="方正小标宋简体" w:hAnsi="方正小标宋简体" w:eastAsia="方正小标宋简体" w:cs="方正小标宋简体"/>
          <w:b/>
          <w:color w:val="000000"/>
          <w:sz w:val="112"/>
          <w:szCs w:val="112"/>
          <w:lang w:eastAsia="zh-CN"/>
        </w:rPr>
      </w:pPr>
      <w:r>
        <w:rPr>
          <w:rFonts w:hint="eastAsia" w:ascii="方正小标宋简体" w:hAnsi="方正小标宋简体" w:eastAsia="方正小标宋简体" w:cs="方正小标宋简体"/>
          <w:b/>
          <w:color w:val="000000"/>
          <w:sz w:val="112"/>
          <w:szCs w:val="112"/>
          <w:lang w:eastAsia="zh-CN"/>
        </w:rPr>
        <w:t>2024年度部门预算信息公开</w:t>
      </w:r>
    </w:p>
    <w:p>
      <w:pPr>
        <w:jc w:val="center"/>
        <w:outlineLvl w:val="0"/>
        <w:rPr>
          <w:rFonts w:ascii="黑体" w:hAnsi="黑体" w:eastAsia="黑体" w:cs="黑体"/>
          <w:b/>
          <w:color w:val="000000"/>
          <w:sz w:val="44"/>
          <w:lang w:eastAsia="zh-CN"/>
        </w:rPr>
      </w:pPr>
    </w:p>
    <w:p>
      <w:pPr>
        <w:jc w:val="center"/>
        <w:outlineLvl w:val="0"/>
        <w:rPr>
          <w:rFonts w:ascii="黑体" w:hAnsi="黑体" w:eastAsia="黑体" w:cs="黑体"/>
          <w:b/>
          <w:color w:val="000000"/>
          <w:sz w:val="44"/>
          <w:lang w:eastAsia="zh-CN"/>
        </w:rPr>
      </w:pPr>
    </w:p>
    <w:p>
      <w:pPr>
        <w:jc w:val="center"/>
        <w:outlineLvl w:val="0"/>
        <w:rPr>
          <w:rFonts w:ascii="黑体" w:hAnsi="黑体" w:eastAsia="黑体" w:cs="黑体"/>
          <w:b/>
          <w:color w:val="000000"/>
          <w:sz w:val="44"/>
          <w:lang w:eastAsia="zh-CN"/>
        </w:rPr>
      </w:pPr>
    </w:p>
    <w:p>
      <w:pPr>
        <w:jc w:val="center"/>
        <w:outlineLvl w:val="0"/>
        <w:rPr>
          <w:rFonts w:ascii="黑体" w:hAnsi="黑体" w:eastAsia="黑体" w:cs="黑体"/>
          <w:b/>
          <w:color w:val="000000"/>
          <w:sz w:val="44"/>
          <w:lang w:eastAsia="zh-CN"/>
        </w:rPr>
      </w:pPr>
    </w:p>
    <w:p>
      <w:pPr>
        <w:outlineLvl w:val="0"/>
        <w:rPr>
          <w:rFonts w:ascii="黑体" w:hAnsi="黑体" w:eastAsia="黑体" w:cs="黑体"/>
          <w:b/>
          <w:color w:val="000000"/>
          <w:sz w:val="44"/>
          <w:lang w:eastAsia="zh-CN"/>
        </w:rPr>
      </w:pPr>
    </w:p>
    <w:p>
      <w:pPr>
        <w:jc w:val="center"/>
        <w:outlineLvl w:val="0"/>
        <w:rPr>
          <w:rFonts w:ascii="黑体" w:hAnsi="黑体" w:eastAsia="黑体" w:cs="黑体"/>
          <w:b/>
          <w:color w:val="000000"/>
          <w:sz w:val="44"/>
          <w:lang w:eastAsia="zh-CN"/>
        </w:rPr>
      </w:pPr>
    </w:p>
    <w:p>
      <w:pPr>
        <w:jc w:val="center"/>
        <w:outlineLvl w:val="0"/>
      </w:pPr>
      <w:r>
        <w:rPr>
          <w:rFonts w:ascii="黑体" w:hAnsi="黑体" w:eastAsia="黑体" w:cs="黑体"/>
          <w:b/>
          <w:color w:val="000000"/>
          <w:sz w:val="44"/>
        </w:rPr>
        <w:t>2024年部门预算信息公开目录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28"/>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28"/>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28"/>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28"/>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28"/>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28"/>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28"/>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28"/>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28"/>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28"/>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28"/>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28"/>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28"/>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28"/>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pPr>
        <w:pStyle w:val="28"/>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pPr>
        <w:pStyle w:val="28"/>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pPr>
        <w:pStyle w:val="28"/>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31</w:t>
      </w:r>
      <w:r>
        <w:fldChar w:fldCharType="end"/>
      </w:r>
      <w:r>
        <w:fldChar w:fldCharType="end"/>
      </w:r>
    </w:p>
    <w:p>
      <w:pPr>
        <w:pStyle w:val="28"/>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32</w:t>
      </w:r>
      <w:r>
        <w:fldChar w:fldCharType="end"/>
      </w:r>
      <w:r>
        <w:fldChar w:fldCharType="end"/>
      </w:r>
    </w:p>
    <w:p>
      <w:pPr>
        <w:pStyle w:val="28"/>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33</w:t>
      </w:r>
      <w:r>
        <w:fldChar w:fldCharType="end"/>
      </w:r>
      <w:r>
        <w:fldChar w:fldCharType="end"/>
      </w:r>
    </w:p>
    <w:p>
      <w:pPr>
        <w:pStyle w:val="28"/>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34</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222中国共产党石家庄市鹿泉区纪律检查委员会</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2312.41</w:t>
            </w:r>
          </w:p>
        </w:tc>
        <w:tc>
          <w:tcPr>
            <w:tcW w:w="4535" w:type="dxa"/>
            <w:vAlign w:val="center"/>
          </w:tcPr>
          <w:p>
            <w:pPr>
              <w:pStyle w:val="13"/>
            </w:pPr>
            <w:r>
              <w:t>一、一般公共服务支出</w:t>
            </w:r>
          </w:p>
        </w:tc>
        <w:tc>
          <w:tcPr>
            <w:tcW w:w="2126" w:type="dxa"/>
            <w:vAlign w:val="center"/>
          </w:tcPr>
          <w:p>
            <w:pPr>
              <w:pStyle w:val="12"/>
            </w:pPr>
            <w:r>
              <w:t>1789.70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279.60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101.78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141.33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2312.41</w:t>
            </w:r>
          </w:p>
        </w:tc>
        <w:tc>
          <w:tcPr>
            <w:tcW w:w="4535" w:type="dxa"/>
            <w:vAlign w:val="center"/>
          </w:tcPr>
          <w:p>
            <w:pPr>
              <w:pStyle w:val="15"/>
            </w:pPr>
            <w:r>
              <w:t>本年支出合计</w:t>
            </w:r>
          </w:p>
        </w:tc>
        <w:tc>
          <w:tcPr>
            <w:tcW w:w="2126" w:type="dxa"/>
            <w:vAlign w:val="center"/>
          </w:tcPr>
          <w:p>
            <w:pPr>
              <w:pStyle w:val="16"/>
            </w:pPr>
            <w:r>
              <w:t>2312.41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2312.41</w:t>
            </w:r>
          </w:p>
        </w:tc>
        <w:tc>
          <w:tcPr>
            <w:tcW w:w="4535" w:type="dxa"/>
            <w:vAlign w:val="center"/>
          </w:tcPr>
          <w:p>
            <w:pPr>
              <w:pStyle w:val="15"/>
            </w:pPr>
            <w:r>
              <w:t>支出总计</w:t>
            </w:r>
          </w:p>
        </w:tc>
        <w:tc>
          <w:tcPr>
            <w:tcW w:w="2126" w:type="dxa"/>
            <w:vAlign w:val="center"/>
          </w:tcPr>
          <w:p>
            <w:pPr>
              <w:pStyle w:val="16"/>
            </w:pPr>
            <w:r>
              <w:t>2312.41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222中国共产党石家庄市鹿泉区纪律检查委员会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2312.41</w:t>
            </w:r>
          </w:p>
        </w:tc>
        <w:tc>
          <w:tcPr>
            <w:tcW w:w="1134" w:type="dxa"/>
            <w:vAlign w:val="center"/>
          </w:tcPr>
          <w:p>
            <w:pPr>
              <w:pStyle w:val="16"/>
            </w:pPr>
            <w:r>
              <w:t>2312.41</w:t>
            </w:r>
          </w:p>
        </w:tc>
        <w:tc>
          <w:tcPr>
            <w:tcW w:w="1134" w:type="dxa"/>
            <w:vAlign w:val="center"/>
          </w:tcPr>
          <w:p>
            <w:pPr>
              <w:pStyle w:val="16"/>
            </w:pPr>
            <w:r>
              <w:t>2312.41</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1789.70</w:t>
            </w:r>
          </w:p>
        </w:tc>
        <w:tc>
          <w:tcPr>
            <w:tcW w:w="1134" w:type="dxa"/>
            <w:vAlign w:val="center"/>
          </w:tcPr>
          <w:p>
            <w:pPr>
              <w:pStyle w:val="12"/>
            </w:pPr>
            <w:r>
              <w:t>1789.70</w:t>
            </w:r>
          </w:p>
        </w:tc>
        <w:tc>
          <w:tcPr>
            <w:tcW w:w="1134" w:type="dxa"/>
            <w:vAlign w:val="center"/>
          </w:tcPr>
          <w:p>
            <w:pPr>
              <w:pStyle w:val="12"/>
            </w:pPr>
            <w:r>
              <w:t>1789.70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20101</w:t>
            </w:r>
          </w:p>
        </w:tc>
        <w:tc>
          <w:tcPr>
            <w:tcW w:w="1559" w:type="dxa"/>
            <w:vAlign w:val="center"/>
          </w:tcPr>
          <w:p>
            <w:pPr>
              <w:pStyle w:val="13"/>
            </w:pPr>
            <w:r>
              <w:t>人大事务</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2010102</w:t>
            </w:r>
          </w:p>
        </w:tc>
        <w:tc>
          <w:tcPr>
            <w:tcW w:w="1559" w:type="dxa"/>
            <w:vAlign w:val="center"/>
          </w:tcPr>
          <w:p>
            <w:pPr>
              <w:pStyle w:val="13"/>
            </w:pPr>
            <w:r>
              <w:t>一般行政管理事务</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20111</w:t>
            </w:r>
          </w:p>
        </w:tc>
        <w:tc>
          <w:tcPr>
            <w:tcW w:w="1559" w:type="dxa"/>
            <w:vAlign w:val="center"/>
          </w:tcPr>
          <w:p>
            <w:pPr>
              <w:pStyle w:val="13"/>
            </w:pPr>
            <w:r>
              <w:t>纪检监察事务</w:t>
            </w:r>
          </w:p>
        </w:tc>
        <w:tc>
          <w:tcPr>
            <w:tcW w:w="1134" w:type="dxa"/>
            <w:vAlign w:val="center"/>
          </w:tcPr>
          <w:p>
            <w:pPr>
              <w:pStyle w:val="12"/>
            </w:pPr>
            <w:r>
              <w:t>1759.70</w:t>
            </w:r>
          </w:p>
        </w:tc>
        <w:tc>
          <w:tcPr>
            <w:tcW w:w="1134" w:type="dxa"/>
            <w:vAlign w:val="center"/>
          </w:tcPr>
          <w:p>
            <w:pPr>
              <w:pStyle w:val="12"/>
            </w:pPr>
            <w:r>
              <w:t>1759.70</w:t>
            </w:r>
          </w:p>
        </w:tc>
        <w:tc>
          <w:tcPr>
            <w:tcW w:w="1134" w:type="dxa"/>
            <w:vAlign w:val="center"/>
          </w:tcPr>
          <w:p>
            <w:pPr>
              <w:pStyle w:val="12"/>
            </w:pPr>
            <w:r>
              <w:t>1759.70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2011101</w:t>
            </w:r>
          </w:p>
        </w:tc>
        <w:tc>
          <w:tcPr>
            <w:tcW w:w="1559" w:type="dxa"/>
            <w:vAlign w:val="center"/>
          </w:tcPr>
          <w:p>
            <w:pPr>
              <w:pStyle w:val="13"/>
            </w:pPr>
            <w:r>
              <w:t>行政运行</w:t>
            </w:r>
          </w:p>
        </w:tc>
        <w:tc>
          <w:tcPr>
            <w:tcW w:w="1134" w:type="dxa"/>
            <w:vAlign w:val="center"/>
          </w:tcPr>
          <w:p>
            <w:pPr>
              <w:pStyle w:val="12"/>
            </w:pPr>
            <w:r>
              <w:t>1402.70</w:t>
            </w:r>
          </w:p>
        </w:tc>
        <w:tc>
          <w:tcPr>
            <w:tcW w:w="1134" w:type="dxa"/>
            <w:vAlign w:val="center"/>
          </w:tcPr>
          <w:p>
            <w:pPr>
              <w:pStyle w:val="12"/>
            </w:pPr>
            <w:r>
              <w:t>1402.70</w:t>
            </w:r>
          </w:p>
        </w:tc>
        <w:tc>
          <w:tcPr>
            <w:tcW w:w="1134" w:type="dxa"/>
            <w:vAlign w:val="center"/>
          </w:tcPr>
          <w:p>
            <w:pPr>
              <w:pStyle w:val="12"/>
            </w:pPr>
            <w:r>
              <w:t>1402.70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2011102</w:t>
            </w:r>
          </w:p>
        </w:tc>
        <w:tc>
          <w:tcPr>
            <w:tcW w:w="1559" w:type="dxa"/>
            <w:vAlign w:val="center"/>
          </w:tcPr>
          <w:p>
            <w:pPr>
              <w:pStyle w:val="13"/>
            </w:pPr>
            <w:r>
              <w:t>一般行政管理事务</w:t>
            </w:r>
          </w:p>
        </w:tc>
        <w:tc>
          <w:tcPr>
            <w:tcW w:w="1134" w:type="dxa"/>
            <w:vAlign w:val="center"/>
          </w:tcPr>
          <w:p>
            <w:pPr>
              <w:pStyle w:val="12"/>
            </w:pPr>
            <w:r>
              <w:t>347.00</w:t>
            </w:r>
          </w:p>
        </w:tc>
        <w:tc>
          <w:tcPr>
            <w:tcW w:w="1134" w:type="dxa"/>
            <w:vAlign w:val="center"/>
          </w:tcPr>
          <w:p>
            <w:pPr>
              <w:pStyle w:val="12"/>
            </w:pPr>
            <w:r>
              <w:t>347.00</w:t>
            </w:r>
          </w:p>
        </w:tc>
        <w:tc>
          <w:tcPr>
            <w:tcW w:w="1134" w:type="dxa"/>
            <w:vAlign w:val="center"/>
          </w:tcPr>
          <w:p>
            <w:pPr>
              <w:pStyle w:val="12"/>
            </w:pPr>
            <w:r>
              <w:t>347.00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rPr>
                <w:highlight w:val="yellow"/>
              </w:rPr>
            </w:pPr>
          </w:p>
        </w:tc>
        <w:tc>
          <w:tcPr>
            <w:tcW w:w="1559" w:type="dxa"/>
            <w:vAlign w:val="center"/>
          </w:tcPr>
          <w:p>
            <w:pPr>
              <w:pStyle w:val="13"/>
              <w:rPr>
                <w:rFonts w:hint="eastAsia" w:eastAsia="方正书宋_GBK"/>
                <w:highlight w:val="yellow"/>
                <w:lang w:eastAsia="zh-CN"/>
              </w:rPr>
            </w:pPr>
            <w:r>
              <w:rPr>
                <w:rFonts w:hint="eastAsia"/>
                <w:highlight w:val="none"/>
                <w:lang w:eastAsia="zh-CN"/>
              </w:rPr>
              <w:t>涉密</w:t>
            </w:r>
          </w:p>
        </w:tc>
        <w:tc>
          <w:tcPr>
            <w:tcW w:w="1134" w:type="dxa"/>
            <w:vAlign w:val="center"/>
          </w:tcPr>
          <w:p>
            <w:pPr>
              <w:pStyle w:val="12"/>
              <w:rPr>
                <w:highlight w:val="yellow"/>
              </w:rPr>
            </w:pPr>
          </w:p>
        </w:tc>
        <w:tc>
          <w:tcPr>
            <w:tcW w:w="1134" w:type="dxa"/>
            <w:vAlign w:val="center"/>
          </w:tcPr>
          <w:p>
            <w:pPr>
              <w:pStyle w:val="12"/>
              <w:rPr>
                <w:highlight w:val="yellow"/>
              </w:rPr>
            </w:pPr>
          </w:p>
        </w:tc>
        <w:tc>
          <w:tcPr>
            <w:tcW w:w="1134" w:type="dxa"/>
            <w:vAlign w:val="center"/>
          </w:tcPr>
          <w:p>
            <w:pPr>
              <w:pStyle w:val="12"/>
              <w:rPr>
                <w:highlight w:val="yellow"/>
              </w:rPr>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279.60</w:t>
            </w:r>
          </w:p>
        </w:tc>
        <w:tc>
          <w:tcPr>
            <w:tcW w:w="1134" w:type="dxa"/>
            <w:vAlign w:val="center"/>
          </w:tcPr>
          <w:p>
            <w:pPr>
              <w:pStyle w:val="12"/>
            </w:pPr>
            <w:r>
              <w:t>279.60</w:t>
            </w:r>
          </w:p>
        </w:tc>
        <w:tc>
          <w:tcPr>
            <w:tcW w:w="1134" w:type="dxa"/>
            <w:vAlign w:val="center"/>
          </w:tcPr>
          <w:p>
            <w:pPr>
              <w:pStyle w:val="12"/>
            </w:pPr>
            <w:r>
              <w:t>279.60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279.60</w:t>
            </w:r>
          </w:p>
        </w:tc>
        <w:tc>
          <w:tcPr>
            <w:tcW w:w="1134" w:type="dxa"/>
            <w:vAlign w:val="center"/>
          </w:tcPr>
          <w:p>
            <w:pPr>
              <w:pStyle w:val="12"/>
            </w:pPr>
            <w:r>
              <w:t>279.60</w:t>
            </w:r>
          </w:p>
        </w:tc>
        <w:tc>
          <w:tcPr>
            <w:tcW w:w="1134" w:type="dxa"/>
            <w:vAlign w:val="center"/>
          </w:tcPr>
          <w:p>
            <w:pPr>
              <w:pStyle w:val="12"/>
            </w:pPr>
            <w:r>
              <w:t>279.60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138.92</w:t>
            </w:r>
          </w:p>
        </w:tc>
        <w:tc>
          <w:tcPr>
            <w:tcW w:w="1134" w:type="dxa"/>
            <w:vAlign w:val="center"/>
          </w:tcPr>
          <w:p>
            <w:pPr>
              <w:pStyle w:val="12"/>
            </w:pPr>
            <w:r>
              <w:t>138.92</w:t>
            </w:r>
          </w:p>
        </w:tc>
        <w:tc>
          <w:tcPr>
            <w:tcW w:w="1134" w:type="dxa"/>
            <w:vAlign w:val="center"/>
          </w:tcPr>
          <w:p>
            <w:pPr>
              <w:pStyle w:val="12"/>
            </w:pPr>
            <w:r>
              <w:t>138.92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140.68</w:t>
            </w:r>
          </w:p>
        </w:tc>
        <w:tc>
          <w:tcPr>
            <w:tcW w:w="1134" w:type="dxa"/>
            <w:vAlign w:val="center"/>
          </w:tcPr>
          <w:p>
            <w:pPr>
              <w:pStyle w:val="12"/>
            </w:pPr>
            <w:r>
              <w:t>140.68</w:t>
            </w:r>
          </w:p>
        </w:tc>
        <w:tc>
          <w:tcPr>
            <w:tcW w:w="1134" w:type="dxa"/>
            <w:vAlign w:val="center"/>
          </w:tcPr>
          <w:p>
            <w:pPr>
              <w:pStyle w:val="12"/>
            </w:pPr>
            <w:r>
              <w:t>140.68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101.78</w:t>
            </w:r>
          </w:p>
        </w:tc>
        <w:tc>
          <w:tcPr>
            <w:tcW w:w="1134" w:type="dxa"/>
            <w:vAlign w:val="center"/>
          </w:tcPr>
          <w:p>
            <w:pPr>
              <w:pStyle w:val="12"/>
            </w:pPr>
            <w:r>
              <w:t>101.78</w:t>
            </w:r>
          </w:p>
        </w:tc>
        <w:tc>
          <w:tcPr>
            <w:tcW w:w="1134" w:type="dxa"/>
            <w:vAlign w:val="center"/>
          </w:tcPr>
          <w:p>
            <w:pPr>
              <w:pStyle w:val="12"/>
            </w:pPr>
            <w:r>
              <w:t>101.78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101.78</w:t>
            </w:r>
          </w:p>
        </w:tc>
        <w:tc>
          <w:tcPr>
            <w:tcW w:w="1134" w:type="dxa"/>
            <w:vAlign w:val="center"/>
          </w:tcPr>
          <w:p>
            <w:pPr>
              <w:pStyle w:val="12"/>
            </w:pPr>
            <w:r>
              <w:t>101.78</w:t>
            </w:r>
          </w:p>
        </w:tc>
        <w:tc>
          <w:tcPr>
            <w:tcW w:w="1134" w:type="dxa"/>
            <w:vAlign w:val="center"/>
          </w:tcPr>
          <w:p>
            <w:pPr>
              <w:pStyle w:val="12"/>
            </w:pPr>
            <w:r>
              <w:t>101.78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101.78</w:t>
            </w:r>
          </w:p>
        </w:tc>
        <w:tc>
          <w:tcPr>
            <w:tcW w:w="1134" w:type="dxa"/>
            <w:vAlign w:val="center"/>
          </w:tcPr>
          <w:p>
            <w:pPr>
              <w:pStyle w:val="12"/>
            </w:pPr>
            <w:r>
              <w:t>101.78</w:t>
            </w:r>
          </w:p>
        </w:tc>
        <w:tc>
          <w:tcPr>
            <w:tcW w:w="1134" w:type="dxa"/>
            <w:vAlign w:val="center"/>
          </w:tcPr>
          <w:p>
            <w:pPr>
              <w:pStyle w:val="12"/>
            </w:pPr>
            <w:r>
              <w:t>101.78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141.33</w:t>
            </w:r>
          </w:p>
        </w:tc>
        <w:tc>
          <w:tcPr>
            <w:tcW w:w="1134" w:type="dxa"/>
            <w:vAlign w:val="center"/>
          </w:tcPr>
          <w:p>
            <w:pPr>
              <w:pStyle w:val="12"/>
            </w:pPr>
            <w:r>
              <w:t>141.33</w:t>
            </w:r>
          </w:p>
        </w:tc>
        <w:tc>
          <w:tcPr>
            <w:tcW w:w="1134" w:type="dxa"/>
            <w:vAlign w:val="center"/>
          </w:tcPr>
          <w:p>
            <w:pPr>
              <w:pStyle w:val="12"/>
            </w:pPr>
            <w:r>
              <w:t>141.33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141.33</w:t>
            </w:r>
          </w:p>
        </w:tc>
        <w:tc>
          <w:tcPr>
            <w:tcW w:w="1134" w:type="dxa"/>
            <w:vAlign w:val="center"/>
          </w:tcPr>
          <w:p>
            <w:pPr>
              <w:pStyle w:val="12"/>
            </w:pPr>
            <w:r>
              <w:t>141.33</w:t>
            </w:r>
          </w:p>
        </w:tc>
        <w:tc>
          <w:tcPr>
            <w:tcW w:w="1134" w:type="dxa"/>
            <w:vAlign w:val="center"/>
          </w:tcPr>
          <w:p>
            <w:pPr>
              <w:pStyle w:val="12"/>
            </w:pPr>
            <w:r>
              <w:t>141.33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141.33</w:t>
            </w:r>
          </w:p>
        </w:tc>
        <w:tc>
          <w:tcPr>
            <w:tcW w:w="1134" w:type="dxa"/>
            <w:vAlign w:val="center"/>
          </w:tcPr>
          <w:p>
            <w:pPr>
              <w:pStyle w:val="12"/>
            </w:pPr>
            <w:r>
              <w:t>141.33</w:t>
            </w:r>
          </w:p>
        </w:tc>
        <w:tc>
          <w:tcPr>
            <w:tcW w:w="1134" w:type="dxa"/>
            <w:vAlign w:val="center"/>
          </w:tcPr>
          <w:p>
            <w:pPr>
              <w:pStyle w:val="12"/>
            </w:pPr>
            <w:r>
              <w:t>141.33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222中国共产党石家庄市鹿泉区纪律检查委员会</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2312.41</w:t>
            </w:r>
          </w:p>
        </w:tc>
        <w:tc>
          <w:tcPr>
            <w:tcW w:w="1361" w:type="dxa"/>
            <w:vAlign w:val="center"/>
          </w:tcPr>
          <w:p>
            <w:pPr>
              <w:pStyle w:val="16"/>
            </w:pPr>
            <w:r>
              <w:t>1925.41</w:t>
            </w:r>
          </w:p>
        </w:tc>
        <w:tc>
          <w:tcPr>
            <w:tcW w:w="1361" w:type="dxa"/>
            <w:vAlign w:val="center"/>
          </w:tcPr>
          <w:p>
            <w:pPr>
              <w:pStyle w:val="16"/>
            </w:pPr>
            <w:r>
              <w:t>387.00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1789.70</w:t>
            </w:r>
          </w:p>
        </w:tc>
        <w:tc>
          <w:tcPr>
            <w:tcW w:w="1361" w:type="dxa"/>
            <w:vAlign w:val="center"/>
          </w:tcPr>
          <w:p>
            <w:pPr>
              <w:pStyle w:val="12"/>
            </w:pPr>
            <w:r>
              <w:t>1402.70</w:t>
            </w:r>
          </w:p>
        </w:tc>
        <w:tc>
          <w:tcPr>
            <w:tcW w:w="1361" w:type="dxa"/>
            <w:vAlign w:val="center"/>
          </w:tcPr>
          <w:p>
            <w:pPr>
              <w:pStyle w:val="12"/>
            </w:pPr>
            <w:r>
              <w:t>387.00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20101</w:t>
            </w:r>
          </w:p>
        </w:tc>
        <w:tc>
          <w:tcPr>
            <w:tcW w:w="4535" w:type="dxa"/>
            <w:vAlign w:val="center"/>
          </w:tcPr>
          <w:p>
            <w:pPr>
              <w:pStyle w:val="13"/>
            </w:pPr>
            <w:r>
              <w:t>人大事务</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2010102</w:t>
            </w:r>
          </w:p>
        </w:tc>
        <w:tc>
          <w:tcPr>
            <w:tcW w:w="4535" w:type="dxa"/>
            <w:vAlign w:val="center"/>
          </w:tcPr>
          <w:p>
            <w:pPr>
              <w:pStyle w:val="13"/>
            </w:pPr>
            <w:r>
              <w:t>一般行政管理事务</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20111</w:t>
            </w:r>
          </w:p>
        </w:tc>
        <w:tc>
          <w:tcPr>
            <w:tcW w:w="4535" w:type="dxa"/>
            <w:vAlign w:val="center"/>
          </w:tcPr>
          <w:p>
            <w:pPr>
              <w:pStyle w:val="13"/>
            </w:pPr>
            <w:r>
              <w:t>纪检监察事务</w:t>
            </w:r>
          </w:p>
        </w:tc>
        <w:tc>
          <w:tcPr>
            <w:tcW w:w="1361" w:type="dxa"/>
            <w:vAlign w:val="center"/>
          </w:tcPr>
          <w:p>
            <w:pPr>
              <w:pStyle w:val="12"/>
            </w:pPr>
            <w:r>
              <w:t>1759.70</w:t>
            </w:r>
          </w:p>
        </w:tc>
        <w:tc>
          <w:tcPr>
            <w:tcW w:w="1361" w:type="dxa"/>
            <w:vAlign w:val="center"/>
          </w:tcPr>
          <w:p>
            <w:pPr>
              <w:pStyle w:val="12"/>
            </w:pPr>
            <w:r>
              <w:t>1402.70</w:t>
            </w:r>
          </w:p>
        </w:tc>
        <w:tc>
          <w:tcPr>
            <w:tcW w:w="1361" w:type="dxa"/>
            <w:vAlign w:val="center"/>
          </w:tcPr>
          <w:p>
            <w:pPr>
              <w:pStyle w:val="12"/>
            </w:pPr>
            <w:r>
              <w:t>357.00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2011101</w:t>
            </w:r>
          </w:p>
        </w:tc>
        <w:tc>
          <w:tcPr>
            <w:tcW w:w="4535" w:type="dxa"/>
            <w:vAlign w:val="center"/>
          </w:tcPr>
          <w:p>
            <w:pPr>
              <w:pStyle w:val="13"/>
            </w:pPr>
            <w:r>
              <w:t>行政运行</w:t>
            </w:r>
          </w:p>
        </w:tc>
        <w:tc>
          <w:tcPr>
            <w:tcW w:w="1361" w:type="dxa"/>
            <w:vAlign w:val="center"/>
          </w:tcPr>
          <w:p>
            <w:pPr>
              <w:pStyle w:val="12"/>
            </w:pPr>
            <w:r>
              <w:t>1402.70</w:t>
            </w:r>
          </w:p>
        </w:tc>
        <w:tc>
          <w:tcPr>
            <w:tcW w:w="1361" w:type="dxa"/>
            <w:vAlign w:val="center"/>
          </w:tcPr>
          <w:p>
            <w:pPr>
              <w:pStyle w:val="12"/>
            </w:pPr>
            <w:r>
              <w:t>1402.70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2011102</w:t>
            </w:r>
          </w:p>
        </w:tc>
        <w:tc>
          <w:tcPr>
            <w:tcW w:w="4535" w:type="dxa"/>
            <w:vAlign w:val="center"/>
          </w:tcPr>
          <w:p>
            <w:pPr>
              <w:pStyle w:val="13"/>
            </w:pPr>
            <w:r>
              <w:t>一般行政管理事务</w:t>
            </w:r>
          </w:p>
        </w:tc>
        <w:tc>
          <w:tcPr>
            <w:tcW w:w="1361" w:type="dxa"/>
            <w:vAlign w:val="center"/>
          </w:tcPr>
          <w:p>
            <w:pPr>
              <w:pStyle w:val="12"/>
            </w:pPr>
            <w:r>
              <w:t>347.00</w:t>
            </w:r>
          </w:p>
        </w:tc>
        <w:tc>
          <w:tcPr>
            <w:tcW w:w="1361" w:type="dxa"/>
            <w:vAlign w:val="center"/>
          </w:tcPr>
          <w:p>
            <w:pPr>
              <w:pStyle w:val="12"/>
            </w:pPr>
          </w:p>
        </w:tc>
        <w:tc>
          <w:tcPr>
            <w:tcW w:w="1361" w:type="dxa"/>
            <w:vAlign w:val="center"/>
          </w:tcPr>
          <w:p>
            <w:pPr>
              <w:pStyle w:val="12"/>
            </w:pPr>
            <w:r>
              <w:t>347.00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rPr>
                <w:highlight w:val="yellow"/>
              </w:rPr>
            </w:pPr>
          </w:p>
        </w:tc>
        <w:tc>
          <w:tcPr>
            <w:tcW w:w="4535" w:type="dxa"/>
            <w:vAlign w:val="center"/>
          </w:tcPr>
          <w:p>
            <w:pPr>
              <w:pStyle w:val="13"/>
              <w:rPr>
                <w:rFonts w:hint="eastAsia" w:eastAsia="方正书宋_GBK"/>
                <w:highlight w:val="yellow"/>
                <w:lang w:eastAsia="zh-CN"/>
              </w:rPr>
            </w:pPr>
            <w:r>
              <w:rPr>
                <w:rFonts w:hint="eastAsia"/>
                <w:highlight w:val="none"/>
                <w:lang w:eastAsia="zh-CN"/>
              </w:rPr>
              <w:t>涉密</w:t>
            </w:r>
          </w:p>
        </w:tc>
        <w:tc>
          <w:tcPr>
            <w:tcW w:w="1361" w:type="dxa"/>
            <w:vAlign w:val="center"/>
          </w:tcPr>
          <w:p>
            <w:pPr>
              <w:pStyle w:val="12"/>
              <w:rPr>
                <w:highlight w:val="yellow"/>
              </w:rPr>
            </w:pPr>
          </w:p>
        </w:tc>
        <w:tc>
          <w:tcPr>
            <w:tcW w:w="1361" w:type="dxa"/>
            <w:vAlign w:val="center"/>
          </w:tcPr>
          <w:p>
            <w:pPr>
              <w:pStyle w:val="12"/>
              <w:rPr>
                <w:highlight w:val="yellow"/>
              </w:rPr>
            </w:pPr>
          </w:p>
        </w:tc>
        <w:tc>
          <w:tcPr>
            <w:tcW w:w="1361" w:type="dxa"/>
            <w:vAlign w:val="center"/>
          </w:tcPr>
          <w:p>
            <w:pPr>
              <w:pStyle w:val="12"/>
              <w:rPr>
                <w:highlight w:val="yellow"/>
              </w:rPr>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279.60</w:t>
            </w:r>
          </w:p>
        </w:tc>
        <w:tc>
          <w:tcPr>
            <w:tcW w:w="1361" w:type="dxa"/>
            <w:vAlign w:val="center"/>
          </w:tcPr>
          <w:p>
            <w:pPr>
              <w:pStyle w:val="12"/>
            </w:pPr>
            <w:r>
              <w:t>279.60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279.60</w:t>
            </w:r>
          </w:p>
        </w:tc>
        <w:tc>
          <w:tcPr>
            <w:tcW w:w="1361" w:type="dxa"/>
            <w:vAlign w:val="center"/>
          </w:tcPr>
          <w:p>
            <w:pPr>
              <w:pStyle w:val="12"/>
            </w:pPr>
            <w:r>
              <w:t>279.60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138.92</w:t>
            </w:r>
          </w:p>
        </w:tc>
        <w:tc>
          <w:tcPr>
            <w:tcW w:w="1361" w:type="dxa"/>
            <w:vAlign w:val="center"/>
          </w:tcPr>
          <w:p>
            <w:pPr>
              <w:pStyle w:val="12"/>
            </w:pPr>
            <w:r>
              <w:t>138.92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140.68</w:t>
            </w:r>
          </w:p>
        </w:tc>
        <w:tc>
          <w:tcPr>
            <w:tcW w:w="1361" w:type="dxa"/>
            <w:vAlign w:val="center"/>
          </w:tcPr>
          <w:p>
            <w:pPr>
              <w:pStyle w:val="12"/>
            </w:pPr>
            <w:r>
              <w:t>140.68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101.78</w:t>
            </w:r>
          </w:p>
        </w:tc>
        <w:tc>
          <w:tcPr>
            <w:tcW w:w="1361" w:type="dxa"/>
            <w:vAlign w:val="center"/>
          </w:tcPr>
          <w:p>
            <w:pPr>
              <w:pStyle w:val="12"/>
            </w:pPr>
            <w:r>
              <w:t>101.78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101.78</w:t>
            </w:r>
          </w:p>
        </w:tc>
        <w:tc>
          <w:tcPr>
            <w:tcW w:w="1361" w:type="dxa"/>
            <w:vAlign w:val="center"/>
          </w:tcPr>
          <w:p>
            <w:pPr>
              <w:pStyle w:val="12"/>
            </w:pPr>
            <w:r>
              <w:t>101.78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101.78</w:t>
            </w:r>
          </w:p>
        </w:tc>
        <w:tc>
          <w:tcPr>
            <w:tcW w:w="1361" w:type="dxa"/>
            <w:vAlign w:val="center"/>
          </w:tcPr>
          <w:p>
            <w:pPr>
              <w:pStyle w:val="12"/>
            </w:pPr>
            <w:r>
              <w:t>101.78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141.33</w:t>
            </w:r>
          </w:p>
        </w:tc>
        <w:tc>
          <w:tcPr>
            <w:tcW w:w="1361" w:type="dxa"/>
            <w:vAlign w:val="center"/>
          </w:tcPr>
          <w:p>
            <w:pPr>
              <w:pStyle w:val="12"/>
            </w:pPr>
            <w:r>
              <w:t>141.33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141.33</w:t>
            </w:r>
          </w:p>
        </w:tc>
        <w:tc>
          <w:tcPr>
            <w:tcW w:w="1361" w:type="dxa"/>
            <w:vAlign w:val="center"/>
          </w:tcPr>
          <w:p>
            <w:pPr>
              <w:pStyle w:val="12"/>
            </w:pPr>
            <w:r>
              <w:t>141.33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141.33</w:t>
            </w:r>
          </w:p>
        </w:tc>
        <w:tc>
          <w:tcPr>
            <w:tcW w:w="1361" w:type="dxa"/>
            <w:vAlign w:val="center"/>
          </w:tcPr>
          <w:p>
            <w:pPr>
              <w:pStyle w:val="12"/>
            </w:pPr>
            <w:r>
              <w:t>141.33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222中国共产党石家庄市鹿泉区纪律检查委员会</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2312.41</w:t>
            </w:r>
          </w:p>
        </w:tc>
        <w:tc>
          <w:tcPr>
            <w:tcW w:w="3402" w:type="dxa"/>
            <w:vAlign w:val="center"/>
          </w:tcPr>
          <w:p>
            <w:pPr>
              <w:pStyle w:val="13"/>
            </w:pPr>
            <w:r>
              <w:t>一、一般公共服务支出</w:t>
            </w:r>
          </w:p>
        </w:tc>
        <w:tc>
          <w:tcPr>
            <w:tcW w:w="1474" w:type="dxa"/>
            <w:vAlign w:val="center"/>
          </w:tcPr>
          <w:p>
            <w:pPr>
              <w:pStyle w:val="12"/>
            </w:pPr>
            <w:r>
              <w:t>1789.70</w:t>
            </w:r>
          </w:p>
        </w:tc>
        <w:tc>
          <w:tcPr>
            <w:tcW w:w="1474" w:type="dxa"/>
            <w:vAlign w:val="center"/>
          </w:tcPr>
          <w:p>
            <w:pPr>
              <w:pStyle w:val="12"/>
            </w:pPr>
            <w:r>
              <w:t>1789.70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279.60</w:t>
            </w:r>
          </w:p>
        </w:tc>
        <w:tc>
          <w:tcPr>
            <w:tcW w:w="1474" w:type="dxa"/>
            <w:vAlign w:val="center"/>
          </w:tcPr>
          <w:p>
            <w:pPr>
              <w:pStyle w:val="12"/>
            </w:pPr>
            <w:r>
              <w:t>279.60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101.78</w:t>
            </w:r>
          </w:p>
        </w:tc>
        <w:tc>
          <w:tcPr>
            <w:tcW w:w="1474" w:type="dxa"/>
            <w:vAlign w:val="center"/>
          </w:tcPr>
          <w:p>
            <w:pPr>
              <w:pStyle w:val="12"/>
            </w:pPr>
            <w:r>
              <w:t>101.78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141.33</w:t>
            </w:r>
          </w:p>
        </w:tc>
        <w:tc>
          <w:tcPr>
            <w:tcW w:w="1474" w:type="dxa"/>
            <w:vAlign w:val="center"/>
          </w:tcPr>
          <w:p>
            <w:pPr>
              <w:pStyle w:val="12"/>
            </w:pPr>
            <w:r>
              <w:t>141.33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2312.41</w:t>
            </w:r>
          </w:p>
        </w:tc>
        <w:tc>
          <w:tcPr>
            <w:tcW w:w="3402" w:type="dxa"/>
            <w:vAlign w:val="center"/>
          </w:tcPr>
          <w:p>
            <w:pPr>
              <w:pStyle w:val="15"/>
            </w:pPr>
            <w:r>
              <w:t>本年支出合计</w:t>
            </w:r>
          </w:p>
        </w:tc>
        <w:tc>
          <w:tcPr>
            <w:tcW w:w="1474" w:type="dxa"/>
            <w:vAlign w:val="center"/>
          </w:tcPr>
          <w:p>
            <w:pPr>
              <w:pStyle w:val="16"/>
            </w:pPr>
            <w:r>
              <w:t>2312.41</w:t>
            </w:r>
          </w:p>
        </w:tc>
        <w:tc>
          <w:tcPr>
            <w:tcW w:w="1474" w:type="dxa"/>
            <w:vAlign w:val="center"/>
          </w:tcPr>
          <w:p>
            <w:pPr>
              <w:pStyle w:val="16"/>
            </w:pPr>
            <w:r>
              <w:t>2312.41</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2312.41</w:t>
            </w:r>
          </w:p>
        </w:tc>
        <w:tc>
          <w:tcPr>
            <w:tcW w:w="3402" w:type="dxa"/>
            <w:vAlign w:val="center"/>
          </w:tcPr>
          <w:p>
            <w:pPr>
              <w:pStyle w:val="15"/>
            </w:pPr>
            <w:r>
              <w:t>支出总计</w:t>
            </w:r>
          </w:p>
        </w:tc>
        <w:tc>
          <w:tcPr>
            <w:tcW w:w="1474" w:type="dxa"/>
            <w:vAlign w:val="center"/>
          </w:tcPr>
          <w:p>
            <w:pPr>
              <w:pStyle w:val="16"/>
            </w:pPr>
            <w:r>
              <w:t>2312.41</w:t>
            </w:r>
          </w:p>
        </w:tc>
        <w:tc>
          <w:tcPr>
            <w:tcW w:w="1474" w:type="dxa"/>
            <w:vAlign w:val="center"/>
          </w:tcPr>
          <w:p>
            <w:pPr>
              <w:pStyle w:val="16"/>
            </w:pPr>
            <w:r>
              <w:t>2312.41</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222中国共产党石家庄市鹿泉区纪律检查委员会</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2312.41</w:t>
            </w:r>
          </w:p>
        </w:tc>
        <w:tc>
          <w:tcPr>
            <w:tcW w:w="2551" w:type="dxa"/>
            <w:vAlign w:val="center"/>
          </w:tcPr>
          <w:p>
            <w:pPr>
              <w:pStyle w:val="16"/>
            </w:pPr>
            <w:r>
              <w:t>1925.41</w:t>
            </w:r>
          </w:p>
        </w:tc>
        <w:tc>
          <w:tcPr>
            <w:tcW w:w="2551" w:type="dxa"/>
            <w:vAlign w:val="center"/>
          </w:tcPr>
          <w:p>
            <w:pPr>
              <w:pStyle w:val="16"/>
            </w:pPr>
            <w:r>
              <w:t>387.00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1789.70</w:t>
            </w:r>
          </w:p>
        </w:tc>
        <w:tc>
          <w:tcPr>
            <w:tcW w:w="2551" w:type="dxa"/>
            <w:vAlign w:val="center"/>
          </w:tcPr>
          <w:p>
            <w:pPr>
              <w:pStyle w:val="12"/>
            </w:pPr>
            <w:r>
              <w:t>1402.70</w:t>
            </w:r>
          </w:p>
        </w:tc>
        <w:tc>
          <w:tcPr>
            <w:tcW w:w="2551" w:type="dxa"/>
            <w:vAlign w:val="center"/>
          </w:tcPr>
          <w:p>
            <w:pPr>
              <w:pStyle w:val="12"/>
            </w:pPr>
            <w:r>
              <w:t>387.00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20101</w:t>
            </w:r>
          </w:p>
        </w:tc>
        <w:tc>
          <w:tcPr>
            <w:tcW w:w="4535" w:type="dxa"/>
            <w:vAlign w:val="center"/>
          </w:tcPr>
          <w:p>
            <w:pPr>
              <w:pStyle w:val="13"/>
            </w:pPr>
            <w:r>
              <w:t>人大事务</w:t>
            </w:r>
          </w:p>
        </w:tc>
        <w:tc>
          <w:tcPr>
            <w:tcW w:w="2551" w:type="dxa"/>
            <w:vAlign w:val="center"/>
          </w:tcPr>
          <w:p>
            <w:pPr>
              <w:pStyle w:val="12"/>
            </w:pPr>
            <w:r>
              <w:t>30.00</w:t>
            </w:r>
          </w:p>
        </w:tc>
        <w:tc>
          <w:tcPr>
            <w:tcW w:w="2551" w:type="dxa"/>
            <w:vAlign w:val="center"/>
          </w:tcPr>
          <w:p>
            <w:pPr>
              <w:pStyle w:val="12"/>
            </w:pPr>
          </w:p>
        </w:tc>
        <w:tc>
          <w:tcPr>
            <w:tcW w:w="2551"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2010102</w:t>
            </w:r>
          </w:p>
        </w:tc>
        <w:tc>
          <w:tcPr>
            <w:tcW w:w="4535" w:type="dxa"/>
            <w:vAlign w:val="center"/>
          </w:tcPr>
          <w:p>
            <w:pPr>
              <w:pStyle w:val="13"/>
            </w:pPr>
            <w:r>
              <w:t>一般行政管理事务</w:t>
            </w:r>
          </w:p>
        </w:tc>
        <w:tc>
          <w:tcPr>
            <w:tcW w:w="2551" w:type="dxa"/>
            <w:vAlign w:val="center"/>
          </w:tcPr>
          <w:p>
            <w:pPr>
              <w:pStyle w:val="12"/>
            </w:pPr>
            <w:r>
              <w:t>30.00</w:t>
            </w:r>
          </w:p>
        </w:tc>
        <w:tc>
          <w:tcPr>
            <w:tcW w:w="2551" w:type="dxa"/>
            <w:vAlign w:val="center"/>
          </w:tcPr>
          <w:p>
            <w:pPr>
              <w:pStyle w:val="12"/>
            </w:pPr>
          </w:p>
        </w:tc>
        <w:tc>
          <w:tcPr>
            <w:tcW w:w="2551"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20111</w:t>
            </w:r>
          </w:p>
        </w:tc>
        <w:tc>
          <w:tcPr>
            <w:tcW w:w="4535" w:type="dxa"/>
            <w:vAlign w:val="center"/>
          </w:tcPr>
          <w:p>
            <w:pPr>
              <w:pStyle w:val="13"/>
            </w:pPr>
            <w:r>
              <w:t>纪检监察事务</w:t>
            </w:r>
          </w:p>
        </w:tc>
        <w:tc>
          <w:tcPr>
            <w:tcW w:w="2551" w:type="dxa"/>
            <w:vAlign w:val="center"/>
          </w:tcPr>
          <w:p>
            <w:pPr>
              <w:pStyle w:val="12"/>
            </w:pPr>
            <w:r>
              <w:t>1759.70</w:t>
            </w:r>
          </w:p>
        </w:tc>
        <w:tc>
          <w:tcPr>
            <w:tcW w:w="2551" w:type="dxa"/>
            <w:vAlign w:val="center"/>
          </w:tcPr>
          <w:p>
            <w:pPr>
              <w:pStyle w:val="12"/>
            </w:pPr>
            <w:r>
              <w:t>1402.70</w:t>
            </w:r>
          </w:p>
        </w:tc>
        <w:tc>
          <w:tcPr>
            <w:tcW w:w="2551" w:type="dxa"/>
            <w:vAlign w:val="center"/>
          </w:tcPr>
          <w:p>
            <w:pPr>
              <w:pStyle w:val="12"/>
            </w:pPr>
            <w:r>
              <w:t>357.00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2011101</w:t>
            </w:r>
          </w:p>
        </w:tc>
        <w:tc>
          <w:tcPr>
            <w:tcW w:w="4535" w:type="dxa"/>
            <w:vAlign w:val="center"/>
          </w:tcPr>
          <w:p>
            <w:pPr>
              <w:pStyle w:val="13"/>
            </w:pPr>
            <w:r>
              <w:t>行政运行</w:t>
            </w:r>
          </w:p>
        </w:tc>
        <w:tc>
          <w:tcPr>
            <w:tcW w:w="2551" w:type="dxa"/>
            <w:vAlign w:val="center"/>
          </w:tcPr>
          <w:p>
            <w:pPr>
              <w:pStyle w:val="12"/>
            </w:pPr>
            <w:r>
              <w:t>1402.70</w:t>
            </w:r>
          </w:p>
        </w:tc>
        <w:tc>
          <w:tcPr>
            <w:tcW w:w="2551" w:type="dxa"/>
            <w:vAlign w:val="center"/>
          </w:tcPr>
          <w:p>
            <w:pPr>
              <w:pStyle w:val="12"/>
            </w:pPr>
            <w:r>
              <w:t>1402.70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2011102</w:t>
            </w:r>
          </w:p>
        </w:tc>
        <w:tc>
          <w:tcPr>
            <w:tcW w:w="4535" w:type="dxa"/>
            <w:vAlign w:val="center"/>
          </w:tcPr>
          <w:p>
            <w:pPr>
              <w:pStyle w:val="13"/>
            </w:pPr>
            <w:r>
              <w:t>一般行政管理事务</w:t>
            </w:r>
          </w:p>
        </w:tc>
        <w:tc>
          <w:tcPr>
            <w:tcW w:w="2551" w:type="dxa"/>
            <w:vAlign w:val="center"/>
          </w:tcPr>
          <w:p>
            <w:pPr>
              <w:pStyle w:val="12"/>
            </w:pPr>
            <w:r>
              <w:t>347.00</w:t>
            </w:r>
          </w:p>
        </w:tc>
        <w:tc>
          <w:tcPr>
            <w:tcW w:w="2551" w:type="dxa"/>
            <w:vAlign w:val="center"/>
          </w:tcPr>
          <w:p>
            <w:pPr>
              <w:pStyle w:val="12"/>
            </w:pPr>
          </w:p>
        </w:tc>
        <w:tc>
          <w:tcPr>
            <w:tcW w:w="2551" w:type="dxa"/>
            <w:vAlign w:val="center"/>
          </w:tcPr>
          <w:p>
            <w:pPr>
              <w:pStyle w:val="12"/>
            </w:pPr>
            <w:r>
              <w:t>347.00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rPr>
                <w:highlight w:val="yellow"/>
              </w:rPr>
            </w:pPr>
          </w:p>
        </w:tc>
        <w:tc>
          <w:tcPr>
            <w:tcW w:w="4535" w:type="dxa"/>
            <w:vAlign w:val="center"/>
          </w:tcPr>
          <w:p>
            <w:pPr>
              <w:pStyle w:val="13"/>
              <w:rPr>
                <w:rFonts w:hint="eastAsia" w:eastAsia="方正书宋_GBK"/>
                <w:highlight w:val="yellow"/>
                <w:lang w:eastAsia="zh-CN"/>
              </w:rPr>
            </w:pPr>
            <w:r>
              <w:rPr>
                <w:rFonts w:hint="eastAsia"/>
                <w:highlight w:val="none"/>
                <w:lang w:eastAsia="zh-CN"/>
              </w:rPr>
              <w:t>涉密</w:t>
            </w:r>
          </w:p>
        </w:tc>
        <w:tc>
          <w:tcPr>
            <w:tcW w:w="2551" w:type="dxa"/>
            <w:vAlign w:val="center"/>
          </w:tcPr>
          <w:p>
            <w:pPr>
              <w:pStyle w:val="12"/>
              <w:rPr>
                <w:highlight w:val="yellow"/>
              </w:rPr>
            </w:pPr>
          </w:p>
        </w:tc>
        <w:tc>
          <w:tcPr>
            <w:tcW w:w="2551" w:type="dxa"/>
            <w:vAlign w:val="center"/>
          </w:tcPr>
          <w:p>
            <w:pPr>
              <w:pStyle w:val="12"/>
              <w:rPr>
                <w:highlight w:val="yellow"/>
              </w:rPr>
            </w:pPr>
          </w:p>
        </w:tc>
        <w:tc>
          <w:tcPr>
            <w:tcW w:w="2551" w:type="dxa"/>
            <w:vAlign w:val="center"/>
          </w:tcPr>
          <w:p>
            <w:pPr>
              <w:pStyle w:val="12"/>
              <w:rPr>
                <w:highlight w:val="yellow"/>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279.60</w:t>
            </w:r>
          </w:p>
        </w:tc>
        <w:tc>
          <w:tcPr>
            <w:tcW w:w="2551" w:type="dxa"/>
            <w:vAlign w:val="center"/>
          </w:tcPr>
          <w:p>
            <w:pPr>
              <w:pStyle w:val="12"/>
            </w:pPr>
            <w:r>
              <w:t>279.60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279.60</w:t>
            </w:r>
          </w:p>
        </w:tc>
        <w:tc>
          <w:tcPr>
            <w:tcW w:w="2551" w:type="dxa"/>
            <w:vAlign w:val="center"/>
          </w:tcPr>
          <w:p>
            <w:pPr>
              <w:pStyle w:val="12"/>
            </w:pPr>
            <w:r>
              <w:t>279.60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138.92</w:t>
            </w:r>
          </w:p>
        </w:tc>
        <w:tc>
          <w:tcPr>
            <w:tcW w:w="2551" w:type="dxa"/>
            <w:vAlign w:val="center"/>
          </w:tcPr>
          <w:p>
            <w:pPr>
              <w:pStyle w:val="12"/>
            </w:pPr>
            <w:r>
              <w:t>138.92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140.68</w:t>
            </w:r>
          </w:p>
        </w:tc>
        <w:tc>
          <w:tcPr>
            <w:tcW w:w="2551" w:type="dxa"/>
            <w:vAlign w:val="center"/>
          </w:tcPr>
          <w:p>
            <w:pPr>
              <w:pStyle w:val="12"/>
            </w:pPr>
            <w:r>
              <w:t>140.68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101.78</w:t>
            </w:r>
          </w:p>
        </w:tc>
        <w:tc>
          <w:tcPr>
            <w:tcW w:w="2551" w:type="dxa"/>
            <w:vAlign w:val="center"/>
          </w:tcPr>
          <w:p>
            <w:pPr>
              <w:pStyle w:val="12"/>
            </w:pPr>
            <w:r>
              <w:t>101.78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101.78</w:t>
            </w:r>
          </w:p>
        </w:tc>
        <w:tc>
          <w:tcPr>
            <w:tcW w:w="2551" w:type="dxa"/>
            <w:vAlign w:val="center"/>
          </w:tcPr>
          <w:p>
            <w:pPr>
              <w:pStyle w:val="12"/>
            </w:pPr>
            <w:r>
              <w:t>101.78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101.78</w:t>
            </w:r>
          </w:p>
        </w:tc>
        <w:tc>
          <w:tcPr>
            <w:tcW w:w="2551" w:type="dxa"/>
            <w:vAlign w:val="center"/>
          </w:tcPr>
          <w:p>
            <w:pPr>
              <w:pStyle w:val="12"/>
            </w:pPr>
            <w:r>
              <w:t>101.78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141.33</w:t>
            </w:r>
          </w:p>
        </w:tc>
        <w:tc>
          <w:tcPr>
            <w:tcW w:w="2551" w:type="dxa"/>
            <w:vAlign w:val="center"/>
          </w:tcPr>
          <w:p>
            <w:pPr>
              <w:pStyle w:val="12"/>
            </w:pPr>
            <w:r>
              <w:t>141.33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141.33</w:t>
            </w:r>
          </w:p>
        </w:tc>
        <w:tc>
          <w:tcPr>
            <w:tcW w:w="2551" w:type="dxa"/>
            <w:vAlign w:val="center"/>
          </w:tcPr>
          <w:p>
            <w:pPr>
              <w:pStyle w:val="12"/>
            </w:pPr>
            <w:r>
              <w:t>141.33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141.33</w:t>
            </w:r>
          </w:p>
        </w:tc>
        <w:tc>
          <w:tcPr>
            <w:tcW w:w="2551" w:type="dxa"/>
            <w:vAlign w:val="center"/>
          </w:tcPr>
          <w:p>
            <w:pPr>
              <w:pStyle w:val="12"/>
            </w:pPr>
            <w:r>
              <w:t>141.33</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222中国共产党石家庄市鹿泉区纪律检查委员会</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1925.41</w:t>
            </w:r>
          </w:p>
        </w:tc>
        <w:tc>
          <w:tcPr>
            <w:tcW w:w="2551" w:type="dxa"/>
            <w:vAlign w:val="center"/>
          </w:tcPr>
          <w:p>
            <w:pPr>
              <w:pStyle w:val="16"/>
            </w:pPr>
            <w:r>
              <w:t>1661.40</w:t>
            </w:r>
          </w:p>
        </w:tc>
        <w:tc>
          <w:tcPr>
            <w:tcW w:w="2551" w:type="dxa"/>
            <w:vAlign w:val="center"/>
          </w:tcPr>
          <w:p>
            <w:pPr>
              <w:pStyle w:val="16"/>
            </w:pPr>
            <w:r>
              <w:t>264.01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1526.08</w:t>
            </w:r>
          </w:p>
        </w:tc>
        <w:tc>
          <w:tcPr>
            <w:tcW w:w="2551" w:type="dxa"/>
            <w:vAlign w:val="center"/>
          </w:tcPr>
          <w:p>
            <w:pPr>
              <w:pStyle w:val="12"/>
            </w:pPr>
            <w:r>
              <w:t>1526.08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394.15</w:t>
            </w:r>
          </w:p>
        </w:tc>
        <w:tc>
          <w:tcPr>
            <w:tcW w:w="2551" w:type="dxa"/>
            <w:vAlign w:val="center"/>
          </w:tcPr>
          <w:p>
            <w:pPr>
              <w:pStyle w:val="12"/>
            </w:pPr>
            <w:r>
              <w:t>394.15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332.52</w:t>
            </w:r>
          </w:p>
        </w:tc>
        <w:tc>
          <w:tcPr>
            <w:tcW w:w="2551" w:type="dxa"/>
            <w:vAlign w:val="center"/>
          </w:tcPr>
          <w:p>
            <w:pPr>
              <w:pStyle w:val="12"/>
            </w:pPr>
            <w:r>
              <w:t>332.52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342.70</w:t>
            </w:r>
          </w:p>
        </w:tc>
        <w:tc>
          <w:tcPr>
            <w:tcW w:w="2551" w:type="dxa"/>
            <w:vAlign w:val="center"/>
          </w:tcPr>
          <w:p>
            <w:pPr>
              <w:pStyle w:val="12"/>
            </w:pPr>
            <w:r>
              <w:t>342.70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42.26</w:t>
            </w:r>
          </w:p>
        </w:tc>
        <w:tc>
          <w:tcPr>
            <w:tcW w:w="2551" w:type="dxa"/>
            <w:vAlign w:val="center"/>
          </w:tcPr>
          <w:p>
            <w:pPr>
              <w:pStyle w:val="12"/>
            </w:pPr>
            <w:r>
              <w:t>42.26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140.68</w:t>
            </w:r>
          </w:p>
        </w:tc>
        <w:tc>
          <w:tcPr>
            <w:tcW w:w="2551" w:type="dxa"/>
            <w:vAlign w:val="center"/>
          </w:tcPr>
          <w:p>
            <w:pPr>
              <w:pStyle w:val="12"/>
            </w:pPr>
            <w:r>
              <w:t>140.68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57.38</w:t>
            </w:r>
          </w:p>
        </w:tc>
        <w:tc>
          <w:tcPr>
            <w:tcW w:w="2551" w:type="dxa"/>
            <w:vAlign w:val="center"/>
          </w:tcPr>
          <w:p>
            <w:pPr>
              <w:pStyle w:val="12"/>
            </w:pPr>
            <w:r>
              <w:t>57.38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44.40</w:t>
            </w:r>
          </w:p>
        </w:tc>
        <w:tc>
          <w:tcPr>
            <w:tcW w:w="2551" w:type="dxa"/>
            <w:vAlign w:val="center"/>
          </w:tcPr>
          <w:p>
            <w:pPr>
              <w:pStyle w:val="12"/>
            </w:pPr>
            <w:r>
              <w:t>44.40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30.66</w:t>
            </w:r>
          </w:p>
        </w:tc>
        <w:tc>
          <w:tcPr>
            <w:tcW w:w="2551" w:type="dxa"/>
            <w:vAlign w:val="center"/>
          </w:tcPr>
          <w:p>
            <w:pPr>
              <w:pStyle w:val="12"/>
            </w:pPr>
            <w:r>
              <w:t>30.66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141.33</w:t>
            </w:r>
          </w:p>
        </w:tc>
        <w:tc>
          <w:tcPr>
            <w:tcW w:w="2551" w:type="dxa"/>
            <w:vAlign w:val="center"/>
          </w:tcPr>
          <w:p>
            <w:pPr>
              <w:pStyle w:val="12"/>
            </w:pPr>
            <w:r>
              <w:t>141.33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264.01</w:t>
            </w:r>
          </w:p>
        </w:tc>
        <w:tc>
          <w:tcPr>
            <w:tcW w:w="2551" w:type="dxa"/>
            <w:vAlign w:val="center"/>
          </w:tcPr>
          <w:p>
            <w:pPr>
              <w:pStyle w:val="12"/>
            </w:pPr>
          </w:p>
        </w:tc>
        <w:tc>
          <w:tcPr>
            <w:tcW w:w="2551" w:type="dxa"/>
            <w:vAlign w:val="center"/>
          </w:tcPr>
          <w:p>
            <w:pPr>
              <w:pStyle w:val="12"/>
            </w:pPr>
            <w:r>
              <w:t>264.01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44.20</w:t>
            </w:r>
          </w:p>
        </w:tc>
        <w:tc>
          <w:tcPr>
            <w:tcW w:w="2551" w:type="dxa"/>
            <w:vAlign w:val="center"/>
          </w:tcPr>
          <w:p>
            <w:pPr>
              <w:pStyle w:val="12"/>
            </w:pPr>
          </w:p>
        </w:tc>
        <w:tc>
          <w:tcPr>
            <w:tcW w:w="2551" w:type="dxa"/>
            <w:vAlign w:val="center"/>
          </w:tcPr>
          <w:p>
            <w:pPr>
              <w:pStyle w:val="12"/>
            </w:pPr>
            <w:r>
              <w:t>44.20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43.46</w:t>
            </w:r>
          </w:p>
        </w:tc>
        <w:tc>
          <w:tcPr>
            <w:tcW w:w="2551" w:type="dxa"/>
            <w:vAlign w:val="center"/>
          </w:tcPr>
          <w:p>
            <w:pPr>
              <w:pStyle w:val="12"/>
            </w:pPr>
          </w:p>
        </w:tc>
        <w:tc>
          <w:tcPr>
            <w:tcW w:w="2551" w:type="dxa"/>
            <w:vAlign w:val="center"/>
          </w:tcPr>
          <w:p>
            <w:pPr>
              <w:pStyle w:val="12"/>
            </w:pPr>
            <w:r>
              <w:t>43.46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80.87</w:t>
            </w:r>
          </w:p>
        </w:tc>
        <w:tc>
          <w:tcPr>
            <w:tcW w:w="2551" w:type="dxa"/>
            <w:vAlign w:val="center"/>
          </w:tcPr>
          <w:p>
            <w:pPr>
              <w:pStyle w:val="12"/>
            </w:pPr>
          </w:p>
        </w:tc>
        <w:tc>
          <w:tcPr>
            <w:tcW w:w="2551" w:type="dxa"/>
            <w:vAlign w:val="center"/>
          </w:tcPr>
          <w:p>
            <w:pPr>
              <w:pStyle w:val="12"/>
            </w:pPr>
            <w:r>
              <w:t>80.87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8.01</w:t>
            </w:r>
          </w:p>
        </w:tc>
        <w:tc>
          <w:tcPr>
            <w:tcW w:w="2551" w:type="dxa"/>
            <w:vAlign w:val="center"/>
          </w:tcPr>
          <w:p>
            <w:pPr>
              <w:pStyle w:val="12"/>
            </w:pPr>
          </w:p>
        </w:tc>
        <w:tc>
          <w:tcPr>
            <w:tcW w:w="2551" w:type="dxa"/>
            <w:vAlign w:val="center"/>
          </w:tcPr>
          <w:p>
            <w:pPr>
              <w:pStyle w:val="12"/>
            </w:pPr>
            <w:r>
              <w:t>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9.85</w:t>
            </w:r>
          </w:p>
        </w:tc>
        <w:tc>
          <w:tcPr>
            <w:tcW w:w="2551" w:type="dxa"/>
            <w:vAlign w:val="center"/>
          </w:tcPr>
          <w:p>
            <w:pPr>
              <w:pStyle w:val="12"/>
            </w:pPr>
          </w:p>
        </w:tc>
        <w:tc>
          <w:tcPr>
            <w:tcW w:w="2551" w:type="dxa"/>
            <w:vAlign w:val="center"/>
          </w:tcPr>
          <w:p>
            <w:pPr>
              <w:pStyle w:val="12"/>
            </w:pPr>
            <w:r>
              <w:t>9.85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13.50</w:t>
            </w:r>
          </w:p>
        </w:tc>
        <w:tc>
          <w:tcPr>
            <w:tcW w:w="2551" w:type="dxa"/>
            <w:vAlign w:val="center"/>
          </w:tcPr>
          <w:p>
            <w:pPr>
              <w:pStyle w:val="12"/>
            </w:pPr>
          </w:p>
        </w:tc>
        <w:tc>
          <w:tcPr>
            <w:tcW w:w="2551" w:type="dxa"/>
            <w:vAlign w:val="center"/>
          </w:tcPr>
          <w:p>
            <w:pPr>
              <w:pStyle w:val="12"/>
            </w:pPr>
            <w:r>
              <w:t>13.50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55.80</w:t>
            </w:r>
          </w:p>
        </w:tc>
        <w:tc>
          <w:tcPr>
            <w:tcW w:w="2551" w:type="dxa"/>
            <w:vAlign w:val="center"/>
          </w:tcPr>
          <w:p>
            <w:pPr>
              <w:pStyle w:val="12"/>
            </w:pPr>
          </w:p>
        </w:tc>
        <w:tc>
          <w:tcPr>
            <w:tcW w:w="2551" w:type="dxa"/>
            <w:vAlign w:val="center"/>
          </w:tcPr>
          <w:p>
            <w:pPr>
              <w:pStyle w:val="12"/>
            </w:pPr>
            <w:r>
              <w:t>55.80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6.31</w:t>
            </w:r>
          </w:p>
        </w:tc>
        <w:tc>
          <w:tcPr>
            <w:tcW w:w="2551" w:type="dxa"/>
            <w:vAlign w:val="center"/>
          </w:tcPr>
          <w:p>
            <w:pPr>
              <w:pStyle w:val="12"/>
            </w:pPr>
          </w:p>
        </w:tc>
        <w:tc>
          <w:tcPr>
            <w:tcW w:w="2551" w:type="dxa"/>
            <w:vAlign w:val="center"/>
          </w:tcPr>
          <w:p>
            <w:pPr>
              <w:pStyle w:val="12"/>
            </w:pPr>
            <w:r>
              <w:t>6.31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135.32</w:t>
            </w:r>
          </w:p>
        </w:tc>
        <w:tc>
          <w:tcPr>
            <w:tcW w:w="2551" w:type="dxa"/>
            <w:vAlign w:val="center"/>
          </w:tcPr>
          <w:p>
            <w:pPr>
              <w:pStyle w:val="12"/>
            </w:pPr>
            <w:r>
              <w:t>135.32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134.20</w:t>
            </w:r>
          </w:p>
        </w:tc>
        <w:tc>
          <w:tcPr>
            <w:tcW w:w="2551" w:type="dxa"/>
            <w:vAlign w:val="center"/>
          </w:tcPr>
          <w:p>
            <w:pPr>
              <w:pStyle w:val="12"/>
            </w:pPr>
            <w:r>
              <w:t>134.20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0.97</w:t>
            </w:r>
          </w:p>
        </w:tc>
        <w:tc>
          <w:tcPr>
            <w:tcW w:w="2551" w:type="dxa"/>
            <w:vAlign w:val="center"/>
          </w:tcPr>
          <w:p>
            <w:pPr>
              <w:pStyle w:val="12"/>
            </w:pPr>
            <w:r>
              <w:t>0.97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30309</w:t>
            </w:r>
          </w:p>
        </w:tc>
        <w:tc>
          <w:tcPr>
            <w:tcW w:w="4535" w:type="dxa"/>
            <w:vAlign w:val="center"/>
          </w:tcPr>
          <w:p>
            <w:pPr>
              <w:pStyle w:val="13"/>
            </w:pPr>
            <w:r>
              <w:t>奖励金</w:t>
            </w:r>
          </w:p>
        </w:tc>
        <w:tc>
          <w:tcPr>
            <w:tcW w:w="2551" w:type="dxa"/>
            <w:vAlign w:val="center"/>
          </w:tcPr>
          <w:p>
            <w:pPr>
              <w:pStyle w:val="12"/>
            </w:pPr>
            <w:r>
              <w:t>0.14</w:t>
            </w:r>
          </w:p>
        </w:tc>
        <w:tc>
          <w:tcPr>
            <w:tcW w:w="2551" w:type="dxa"/>
            <w:vAlign w:val="center"/>
          </w:tcPr>
          <w:p>
            <w:pPr>
              <w:pStyle w:val="12"/>
            </w:pPr>
            <w:r>
              <w:t>0.14</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222中国共产党石家庄市鹿泉区纪律检查委员会</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222中国共产党石家庄市鹿泉区纪律检查委员会</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222中国共产党石家庄市鹿泉区纪律检查委员会</w:t>
            </w:r>
          </w:p>
        </w:tc>
        <w:tc>
          <w:tcPr>
            <w:tcW w:w="2381" w:type="dxa"/>
            <w:tcBorders>
              <w:top w:val="single" w:color="FFFFFF" w:sz="6" w:space="0"/>
              <w:left w:val="single" w:color="FFFFFF" w:sz="6" w:space="0"/>
              <w:right w:val="single" w:color="FFFFFF" w:sz="6" w:space="0"/>
            </w:tcBorders>
            <w:vAlign w:val="center"/>
          </w:tcPr>
          <w:p>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15.50</w:t>
            </w:r>
          </w:p>
        </w:tc>
        <w:tc>
          <w:tcPr>
            <w:tcW w:w="2381" w:type="dxa"/>
            <w:vAlign w:val="center"/>
          </w:tcPr>
          <w:p>
            <w:pPr>
              <w:pStyle w:val="16"/>
            </w:pPr>
            <w:r>
              <w:t>15.50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15.50</w:t>
            </w:r>
          </w:p>
        </w:tc>
        <w:tc>
          <w:tcPr>
            <w:tcW w:w="2381" w:type="dxa"/>
            <w:vAlign w:val="center"/>
          </w:tcPr>
          <w:p>
            <w:pPr>
              <w:pStyle w:val="12"/>
            </w:pPr>
            <w:r>
              <w:t>15.50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13.50</w:t>
            </w:r>
          </w:p>
        </w:tc>
        <w:tc>
          <w:tcPr>
            <w:tcW w:w="2381" w:type="dxa"/>
            <w:vAlign w:val="center"/>
          </w:tcPr>
          <w:p>
            <w:pPr>
              <w:pStyle w:val="12"/>
            </w:pPr>
            <w:r>
              <w:t>13.50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13.50</w:t>
            </w:r>
          </w:p>
        </w:tc>
        <w:tc>
          <w:tcPr>
            <w:tcW w:w="2381" w:type="dxa"/>
            <w:vAlign w:val="center"/>
          </w:tcPr>
          <w:p>
            <w:pPr>
              <w:pStyle w:val="12"/>
            </w:pPr>
            <w:r>
              <w:t>13.50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r>
              <w:t>2.00</w:t>
            </w:r>
          </w:p>
        </w:tc>
        <w:tc>
          <w:tcPr>
            <w:tcW w:w="2381" w:type="dxa"/>
            <w:vAlign w:val="center"/>
          </w:tcPr>
          <w:p>
            <w:pPr>
              <w:pStyle w:val="12"/>
            </w:pPr>
            <w:r>
              <w:t>2.00</w:t>
            </w:r>
          </w:p>
        </w:tc>
        <w:tc>
          <w:tcPr>
            <w:tcW w:w="2381" w:type="dxa"/>
            <w:vAlign w:val="center"/>
          </w:tcPr>
          <w:p>
            <w:pPr>
              <w:pStyle w:val="12"/>
            </w:pPr>
          </w:p>
        </w:tc>
        <w:tc>
          <w:tcPr>
            <w:tcW w:w="2381" w:type="dxa"/>
            <w:vAlign w:val="center"/>
          </w:tcPr>
          <w:p>
            <w:pPr>
              <w:pStyle w:val="12"/>
            </w:pPr>
          </w:p>
        </w:tc>
      </w:tr>
    </w:tbl>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hint="eastAsia" w:ascii="方正小标宋_GBK" w:hAnsi="方正小标宋_GBK" w:cs="方正小标宋_GBK" w:eastAsiaTheme="minorEastAsia"/>
          <w:color w:val="000000"/>
          <w:sz w:val="44"/>
          <w:lang w:eastAsia="zh-CN"/>
        </w:rPr>
      </w:pPr>
      <w:r>
        <w:rPr>
          <w:rFonts w:ascii="方正小标宋_GBK" w:hAnsi="方正小标宋_GBK" w:eastAsia="方正小标宋_GBK" w:cs="方正小标宋_GBK"/>
          <w:color w:val="000000"/>
          <w:sz w:val="44"/>
        </w:rPr>
        <w:t>中国共产党石家庄市鹿泉区纪律检查委员会2024年部门预算信息</w:t>
      </w:r>
    </w:p>
    <w:p>
      <w:pPr>
        <w:jc w:val="center"/>
      </w:pPr>
      <w:r>
        <w:rPr>
          <w:rFonts w:ascii="方正小标宋_GBK" w:hAnsi="方正小标宋_GBK" w:eastAsia="方正小标宋_GBK" w:cs="方正小标宋_GBK"/>
          <w:color w:val="000000"/>
          <w:sz w:val="44"/>
        </w:rPr>
        <w:t>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按照《中华人民共和国预算法》、《地方预决算公开操作规程》和《关于进一步推进预算公开工作的实施意见》规定，现将中国共产党石家庄市鹿泉区纪律检查委员会2024年部门预算公开如下：</w:t>
      </w:r>
    </w:p>
    <w:p>
      <w:pPr>
        <w:spacing w:line="500" w:lineRule="exact"/>
        <w:ind w:firstLine="641"/>
        <w:outlineLvl w:val="2"/>
        <w:rPr>
          <w:rFonts w:ascii="黑体" w:hAnsi="黑体" w:eastAsia="黑体" w:cs="黑体"/>
          <w:color w:val="000000"/>
          <w:sz w:val="32"/>
        </w:rPr>
      </w:pPr>
      <w:bookmarkStart w:id="9" w:name="_Toc_3_3_0000000010"/>
    </w:p>
    <w:p>
      <w:pPr>
        <w:spacing w:line="500" w:lineRule="exact"/>
        <w:ind w:firstLine="641"/>
        <w:outlineLvl w:val="2"/>
      </w:pPr>
      <w:r>
        <w:rPr>
          <w:rFonts w:ascii="黑体" w:hAnsi="黑体" w:eastAsia="黑体" w:cs="黑体"/>
          <w:color w:val="000000"/>
          <w:sz w:val="32"/>
        </w:rPr>
        <w:t>一、部门职责及机构设置情况</w:t>
      </w:r>
      <w:bookmarkEnd w:id="9"/>
      <w:bookmarkStart w:id="20" w:name="_GoBack"/>
      <w:bookmarkEnd w:id="20"/>
    </w:p>
    <w:p>
      <w:pPr>
        <w:spacing w:line="500" w:lineRule="exact"/>
        <w:ind w:firstLine="641"/>
      </w:pPr>
      <w:r>
        <w:rPr>
          <w:rFonts w:ascii="方正楷体_GBK" w:hAnsi="方正楷体_GBK" w:eastAsia="方正楷体_GBK" w:cs="方正楷体_GBK"/>
          <w:b/>
          <w:color w:val="000000"/>
          <w:sz w:val="32"/>
        </w:rPr>
        <w:t>部门职责：</w:t>
      </w:r>
    </w:p>
    <w:p>
      <w:pPr>
        <w:pStyle w:val="18"/>
      </w:pPr>
      <w:r>
        <w:t>（一）负责全区党的纪律检查工作。贯彻落实党中央和省委、市委、区委关于纪律检查工作的决策部署，维护党的章程和其他党内法规，检查党的路线方针政策和决议的执行情况，协助区委推进全面从严治党、加强党风建设和组织协调反腐败工作。</w:t>
      </w:r>
    </w:p>
    <w:p>
      <w:pPr>
        <w:pStyle w:val="18"/>
      </w:pPr>
      <w:r>
        <w:t>（二）依照党的章程和其他党内法规履行监督、执纪、问责职责。负责经常对党员进行遵守纪律的教育，作出关于维护党纪的决定；对区委工作机关、区委批准设立的党组（党委），各乡镇党委、纪委等党的组织和区委管理的党员领导干部履行职责、行使权力进行监督，受理处置党员群众检举举报，开展谈话提醒、约谈函询；检查和处理上述党的组织和党员违反党的章程和其他党内法规的比较重要或者复杂的案件，决定或者取消对这些案件中的党员的处分；进行问责或者提出责任追究的建议；受理党员的控告和申诉；保障党员的权利。</w:t>
      </w:r>
    </w:p>
    <w:p>
      <w:pPr>
        <w:pStyle w:val="18"/>
      </w:pPr>
      <w:r>
        <w:t>（三）支持配合巡视、巡察工作。承担巡视、巡察整改日常监督责任，做好巡视、巡察整改督查督办工作，依规依纪依法处置巡视、巡察移交的反映领导干部问题线索。</w:t>
      </w:r>
    </w:p>
    <w:p>
      <w:pPr>
        <w:pStyle w:val="18"/>
      </w:pPr>
      <w:r>
        <w:t>（四）负责全区监察工作。贯彻落实党中央和省委、市委、区委关于监察工作的决策部署，维护宪法法律，依法对区委管理的行使公权力的公职人员进行监察，调查职务违法和职务犯罪，开展廉政建设和反腐败工作。</w:t>
      </w:r>
    </w:p>
    <w:p>
      <w:pPr>
        <w:pStyle w:val="18"/>
      </w:pPr>
      <w:r>
        <w:t>（五）依照法律规定履行监督、调查、处置职责。推动开展廉政教育，对区委管理的行使公权力的公职人员依法履职、秉公用权、廉洁从政从业以及道德操守情况进行监督检查；对涉嫌贪污贿赂、滥用职权、玩忽职守、权力寻租、利益输送、徇私舞弊以及浪费国家资财等职务违法和职务犯罪进行调查；对违法的公职人员依法作出政务处分决定；对履行职责不力、失职失责的领导人员进行问责；对涉嫌职务犯罪的，将调查结果移送人民检察院依法审查、提起公诉；向监察对象所在单位提出监察建议。</w:t>
      </w:r>
    </w:p>
    <w:p>
      <w:pPr>
        <w:pStyle w:val="18"/>
      </w:pPr>
      <w:r>
        <w:t>（六）负责组织协调全面从严治党、党风廉政建设和反腐败宣传教育工作。</w:t>
      </w:r>
    </w:p>
    <w:p>
      <w:pPr>
        <w:pStyle w:val="18"/>
      </w:pPr>
      <w:r>
        <w:t>（七）负责综合分析全面从严治党、党风廉政建设和反腐败工作情况，对纪检监察工作重要理论及实践问题进行调查研究；制定或者修改全区纪检监察制度规定，参与起草有关规范性文件。</w:t>
      </w:r>
    </w:p>
    <w:p>
      <w:pPr>
        <w:pStyle w:val="18"/>
      </w:pPr>
      <w:r>
        <w:t>（八）负责组织协调全区反腐败追逃追赃和防逃工作，督促有关单位做好相关工作。</w:t>
      </w:r>
    </w:p>
    <w:p>
      <w:pPr>
        <w:pStyle w:val="18"/>
      </w:pPr>
      <w:r>
        <w:t>（九）根据干部管理权限，负责全区纪检监察系统领导班子建设、干部队伍建设和组织建设的综合规划、政策研究、制度建设和业务指导；会同区委组织部负责区委巡察办的科级干部提名、考察，报区委任免；根据干部管理权限负责区委巡察办科级以下干部人事工作。会同区委组织部做好乡镇纪委（监察办）和开发区纪工委（监察组）领导班子建设有关工作；组织和指导区纪检监察系统干部教育培训工作等。</w:t>
      </w:r>
    </w:p>
    <w:p>
      <w:pPr>
        <w:pStyle w:val="18"/>
      </w:pPr>
      <w:r>
        <w:t>（十）完成市纪委监委、区委交办的其他任务。</w:t>
      </w:r>
    </w:p>
    <w:p>
      <w:pPr>
        <w:ind w:firstLine="640"/>
        <w:rPr>
          <w:rFonts w:hint="eastAsia" w:ascii="方正楷体_GBK" w:hAnsi="方正楷体_GBK" w:cs="方正楷体_GBK" w:eastAsiaTheme="minorEastAsia"/>
          <w:b/>
          <w:color w:val="000000"/>
          <w:sz w:val="32"/>
          <w:lang w:eastAsia="zh-CN"/>
        </w:rPr>
      </w:pPr>
    </w:p>
    <w:p>
      <w:pPr>
        <w:rPr>
          <w:rFonts w:hint="eastAsia" w:ascii="方正楷体_GBK" w:hAnsi="方正楷体_GBK" w:cs="方正楷体_GBK" w:eastAsiaTheme="minorEastAsia"/>
          <w:b/>
          <w:color w:val="000000"/>
          <w:sz w:val="32"/>
          <w:lang w:eastAsia="zh-CN"/>
        </w:rPr>
      </w:pPr>
    </w:p>
    <w:p>
      <w:pPr>
        <w:ind w:firstLine="640"/>
        <w:rPr>
          <w:rFonts w:hint="eastAsia" w:ascii="方正楷体_GBK" w:hAnsi="方正楷体_GBK" w:cs="方正楷体_GBK" w:eastAsiaTheme="minorEastAsia"/>
          <w:b/>
          <w:color w:val="000000"/>
          <w:sz w:val="32"/>
          <w:lang w:eastAsia="zh-CN"/>
        </w:rPr>
      </w:pPr>
    </w:p>
    <w:p>
      <w:pPr>
        <w:ind w:firstLine="640"/>
      </w:pPr>
      <w:r>
        <w:rPr>
          <w:rFonts w:ascii="方正楷体_GBK" w:hAnsi="方正楷体_GBK" w:eastAsia="方正楷体_GBK" w:cs="方正楷体_GBK"/>
          <w:b/>
          <w:color w:val="000000"/>
          <w:sz w:val="32"/>
        </w:rPr>
        <w:t>机构设置：</w:t>
      </w:r>
    </w:p>
    <w:p>
      <w:pPr>
        <w:jc w:val="center"/>
        <w:rPr>
          <w:rFonts w:hint="eastAsia" w:ascii="方正小标宋_GBK" w:hAnsi="方正小标宋_GBK" w:cs="方正小标宋_GBK" w:eastAsiaTheme="minorEastAsia"/>
          <w:color w:val="000000"/>
          <w:sz w:val="32"/>
          <w:lang w:eastAsia="zh-CN"/>
        </w:rP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中国共产党石家庄市鹿泉区纪律检查委员会本级</w:t>
            </w:r>
          </w:p>
        </w:tc>
        <w:tc>
          <w:tcPr>
            <w:tcW w:w="1843" w:type="dxa"/>
            <w:vAlign w:val="center"/>
          </w:tcPr>
          <w:p>
            <w:pPr>
              <w:pStyle w:val="14"/>
            </w:pPr>
            <w:r>
              <w:t>行政</w:t>
            </w:r>
          </w:p>
        </w:tc>
        <w:tc>
          <w:tcPr>
            <w:tcW w:w="2126" w:type="dxa"/>
            <w:vAlign w:val="center"/>
          </w:tcPr>
          <w:p>
            <w:pPr>
              <w:pStyle w:val="14"/>
            </w:pPr>
            <w:r>
              <w:t>副处（县）级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rPr>
                <w:rFonts w:hint="eastAsia" w:eastAsiaTheme="minorEastAsia"/>
                <w:lang w:eastAsia="zh-CN"/>
              </w:rPr>
            </w:pPr>
            <w:r>
              <w:rPr>
                <w:rFonts w:hint="eastAsia" w:asciiTheme="minorEastAsia" w:hAnsiTheme="minorEastAsia" w:eastAsiaTheme="minorEastAsia"/>
                <w:lang w:eastAsia="zh-CN"/>
              </w:rPr>
              <w:t>石家庄市</w:t>
            </w:r>
            <w:r>
              <w:rPr>
                <w:rFonts w:hint="eastAsia" w:eastAsiaTheme="minorEastAsia"/>
                <w:lang w:eastAsia="zh-CN"/>
              </w:rPr>
              <w:t>鹿泉区</w:t>
            </w:r>
            <w:r>
              <w:rPr>
                <w:rFonts w:eastAsiaTheme="minorEastAsia"/>
                <w:lang w:eastAsia="zh-CN"/>
              </w:rPr>
              <w:t>委廉政教育中心</w:t>
            </w:r>
            <w:r>
              <w:rPr>
                <w:rFonts w:hint="eastAsia" w:eastAsiaTheme="minorEastAsia"/>
                <w:lang w:eastAsia="zh-CN"/>
              </w:rPr>
              <w:t>（不独立</w:t>
            </w:r>
            <w:r>
              <w:rPr>
                <w:rFonts w:eastAsiaTheme="minorEastAsia"/>
                <w:lang w:eastAsia="zh-CN"/>
              </w:rPr>
              <w:t>核算，统一纳入区纪委核算</w:t>
            </w:r>
            <w:r>
              <w:rPr>
                <w:rFonts w:hint="eastAsia" w:eastAsiaTheme="minorEastAsia"/>
                <w:lang w:eastAsia="zh-CN"/>
              </w:rPr>
              <w:t>）</w:t>
            </w:r>
          </w:p>
        </w:tc>
        <w:tc>
          <w:tcPr>
            <w:tcW w:w="1843" w:type="dxa"/>
            <w:vAlign w:val="center"/>
          </w:tcPr>
          <w:p>
            <w:pPr>
              <w:pStyle w:val="14"/>
              <w:rPr>
                <w:rFonts w:hint="eastAsia" w:eastAsiaTheme="minorEastAsia"/>
                <w:lang w:eastAsia="zh-CN"/>
              </w:rPr>
            </w:pPr>
            <w:r>
              <w:rPr>
                <w:rFonts w:hint="eastAsia" w:eastAsiaTheme="minorEastAsia"/>
                <w:lang w:eastAsia="zh-CN"/>
              </w:rPr>
              <w:t>全额</w:t>
            </w:r>
            <w:r>
              <w:rPr>
                <w:rFonts w:eastAsiaTheme="minorEastAsia"/>
                <w:lang w:eastAsia="zh-CN"/>
              </w:rPr>
              <w:t>事业</w:t>
            </w:r>
          </w:p>
        </w:tc>
        <w:tc>
          <w:tcPr>
            <w:tcW w:w="2126" w:type="dxa"/>
            <w:vAlign w:val="center"/>
          </w:tcPr>
          <w:p>
            <w:pPr>
              <w:pStyle w:val="14"/>
              <w:rPr>
                <w:rFonts w:hint="eastAsia" w:eastAsiaTheme="minorEastAsia"/>
                <w:lang w:eastAsia="zh-CN"/>
              </w:rPr>
            </w:pPr>
            <w:r>
              <w:rPr>
                <w:rFonts w:hint="eastAsia" w:eastAsiaTheme="minorEastAsia"/>
                <w:lang w:eastAsia="zh-CN"/>
              </w:rPr>
              <w:t>正科级</w:t>
            </w:r>
          </w:p>
        </w:tc>
        <w:tc>
          <w:tcPr>
            <w:tcW w:w="3827" w:type="dxa"/>
            <w:vAlign w:val="center"/>
          </w:tcPr>
          <w:p>
            <w:pPr>
              <w:pStyle w:val="14"/>
              <w:rPr>
                <w:rFonts w:hint="eastAsia" w:eastAsiaTheme="minorEastAsia"/>
                <w:lang w:eastAsia="zh-CN"/>
              </w:rPr>
            </w:pPr>
            <w:r>
              <w:rPr>
                <w:rFonts w:hint="eastAsia" w:eastAsiaTheme="minorEastAsia"/>
                <w:lang w:eastAsia="zh-CN"/>
              </w:rPr>
              <w:t>财政性</w:t>
            </w:r>
            <w:r>
              <w:rPr>
                <w:rFonts w:eastAsiaTheme="minorEastAsia"/>
                <w:lang w:eastAsia="zh-CN"/>
              </w:rPr>
              <w:t>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rPr>
                <w:rFonts w:hint="eastAsia" w:eastAsiaTheme="minorEastAsia"/>
                <w:lang w:eastAsia="zh-CN"/>
              </w:rPr>
            </w:pPr>
            <w:r>
              <w:rPr>
                <w:rFonts w:hint="eastAsia" w:eastAsiaTheme="minorEastAsia"/>
                <w:lang w:eastAsia="zh-CN"/>
              </w:rPr>
              <w:t>中共</w:t>
            </w:r>
            <w:r>
              <w:rPr>
                <w:rFonts w:eastAsiaTheme="minorEastAsia"/>
                <w:lang w:eastAsia="zh-CN"/>
              </w:rPr>
              <w:t>石家庄市鹿泉区委巡察工作领导小组办公室（</w:t>
            </w:r>
            <w:r>
              <w:rPr>
                <w:rFonts w:hint="eastAsia" w:eastAsiaTheme="minorEastAsia"/>
                <w:lang w:eastAsia="zh-CN"/>
              </w:rPr>
              <w:t>区委</w:t>
            </w:r>
            <w:r>
              <w:rPr>
                <w:rFonts w:eastAsiaTheme="minorEastAsia"/>
                <w:lang w:eastAsia="zh-CN"/>
              </w:rPr>
              <w:t>工作机关，设在区纪委）</w:t>
            </w:r>
          </w:p>
        </w:tc>
        <w:tc>
          <w:tcPr>
            <w:tcW w:w="1843" w:type="dxa"/>
            <w:vAlign w:val="center"/>
          </w:tcPr>
          <w:p>
            <w:pPr>
              <w:pStyle w:val="14"/>
              <w:rPr>
                <w:rFonts w:hint="eastAsia" w:eastAsiaTheme="minorEastAsia"/>
                <w:lang w:eastAsia="zh-CN"/>
              </w:rPr>
            </w:pPr>
            <w:r>
              <w:rPr>
                <w:rFonts w:hint="eastAsia" w:eastAsiaTheme="minorEastAsia"/>
                <w:lang w:eastAsia="zh-CN"/>
              </w:rPr>
              <w:t>行政机关</w:t>
            </w:r>
          </w:p>
        </w:tc>
        <w:tc>
          <w:tcPr>
            <w:tcW w:w="2126" w:type="dxa"/>
            <w:vAlign w:val="center"/>
          </w:tcPr>
          <w:p>
            <w:pPr>
              <w:pStyle w:val="14"/>
              <w:rPr>
                <w:rFonts w:hint="eastAsia" w:eastAsiaTheme="minorEastAsia"/>
                <w:lang w:eastAsia="zh-CN"/>
              </w:rPr>
            </w:pPr>
            <w:r>
              <w:rPr>
                <w:rFonts w:hint="eastAsia" w:eastAsiaTheme="minorEastAsia"/>
                <w:lang w:eastAsia="zh-CN"/>
              </w:rPr>
              <w:t>正科级</w:t>
            </w:r>
          </w:p>
        </w:tc>
        <w:tc>
          <w:tcPr>
            <w:tcW w:w="3827" w:type="dxa"/>
            <w:vAlign w:val="center"/>
          </w:tcPr>
          <w:p>
            <w:pPr>
              <w:pStyle w:val="14"/>
              <w:rPr>
                <w:rFonts w:hint="eastAsia" w:eastAsiaTheme="minorEastAsia"/>
                <w:lang w:eastAsia="zh-CN"/>
              </w:rPr>
            </w:pPr>
            <w:r>
              <w:rPr>
                <w:rFonts w:hint="eastAsia" w:eastAsiaTheme="minorEastAsia"/>
                <w:lang w:eastAsia="zh-CN"/>
              </w:rPr>
              <w:t>财政</w:t>
            </w:r>
            <w:r>
              <w:rPr>
                <w:rFonts w:eastAsiaTheme="minorEastAsia"/>
                <w:lang w:eastAsia="zh-CN"/>
              </w:rPr>
              <w:t>拨款</w:t>
            </w:r>
          </w:p>
        </w:tc>
      </w:tr>
    </w:tbl>
    <w:p>
      <w:pPr>
        <w:jc w:val="center"/>
        <w:rPr>
          <w:rFonts w:eastAsiaTheme="minorEastAsia"/>
          <w:lang w:eastAsia="zh-CN"/>
        </w:rPr>
      </w:pPr>
    </w:p>
    <w:p>
      <w:pPr>
        <w:spacing w:before="10" w:after="10" w:line="500" w:lineRule="exact"/>
        <w:ind w:firstLine="640"/>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按照预算管理有关规定，目前部门预算的编制实行综合预算管理，即全部收入和支出都反映在预算中。中国共产党石家庄市鹿泉区纪律检查委员会机关及所属事业单位的收支包含在部门预算中。</w:t>
      </w:r>
    </w:p>
    <w:p>
      <w:pPr>
        <w:pStyle w:val="19"/>
      </w:pPr>
      <w:r>
        <w:t>1、收入说明</w:t>
      </w:r>
    </w:p>
    <w:p>
      <w:pPr>
        <w:pStyle w:val="19"/>
      </w:pPr>
      <w:r>
        <w:t>反映本部门当年全部收入。2024年预算收入2312.41万元，其中：一般公共预算收入2312.41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中国共产党石家庄市鹿泉区纪律检查委员会年度部门预算中支出预算的总体情况。2024年支出预算2312.41万元，其中基本支出1925.41万元，包括人员经费1661.40万元和日常公用经费264.01万元；项目支出387.00万元，主要为纪检监察业务费、巡察巡视专项经费、乡镇纪检监察业务费、办案一体化平台建设等</w:t>
      </w:r>
    </w:p>
    <w:p>
      <w:pPr>
        <w:pStyle w:val="19"/>
      </w:pPr>
      <w:r>
        <w:t>3、比上年增减情况</w:t>
      </w:r>
    </w:p>
    <w:p>
      <w:pPr>
        <w:pStyle w:val="19"/>
      </w:pPr>
      <w:r>
        <w:t>2024年预算收支安排2312.41万元，较2023年预算减少59.17万元，其中：基本支出减少84.17万元，主要为主要是人员减少，减少人员经费和日常公用经费。项目支出增加25.00万元，主要为增加办案一体机平台建设项目费用。</w:t>
      </w:r>
    </w:p>
    <w:p>
      <w:pPr>
        <w:spacing w:before="10" w:after="10" w:line="500" w:lineRule="exact"/>
        <w:ind w:firstLine="640"/>
        <w:outlineLvl w:val="2"/>
      </w:pPr>
      <w:bookmarkStart w:id="11" w:name="_Toc_3_3_0000000012"/>
      <w:r>
        <w:rPr>
          <w:rFonts w:ascii="黑体" w:hAnsi="黑体" w:eastAsia="黑体" w:cs="黑体"/>
          <w:color w:val="000000"/>
          <w:sz w:val="32"/>
        </w:rPr>
        <w:t>三、机关运行经费安排情况</w:t>
      </w:r>
      <w:bookmarkEnd w:id="11"/>
    </w:p>
    <w:p>
      <w:pPr>
        <w:pStyle w:val="20"/>
      </w:pPr>
      <w:r>
        <w:t>2024年，我部门机关运行经费共计安排264.01万元，主要用于日常维修、办公用房水电费、办公用房取暖费、办公用房物业管理费等日常运行支出。</w:t>
      </w:r>
    </w:p>
    <w:p>
      <w:pPr>
        <w:spacing w:before="10" w:after="10" w:line="500" w:lineRule="exact"/>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15.50万元，其中因公出国（境）费0.00万元；公务用车购置及运维费13.50万元（其中：公务用车购置费为0.00万元，公务用车运维费13.50万元)；公务接待费2.00万元。与2023年相比减少11.50万元，增减变化的主要原因是公务用车运维费用减少。</w:t>
      </w:r>
    </w:p>
    <w:p>
      <w:pPr>
        <w:spacing w:before="10" w:after="10" w:line="500" w:lineRule="exact"/>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rPr>
          <w:rFonts w:eastAsia="方正仿宋_GBK"/>
          <w:color w:val="000000"/>
          <w:sz w:val="28"/>
          <w:lang w:eastAsia="zh-CN"/>
        </w:rPr>
      </w:pPr>
      <w:r>
        <w:rPr>
          <w:rFonts w:eastAsia="方正仿宋_GBK"/>
          <w:color w:val="000000"/>
          <w:sz w:val="28"/>
        </w:rPr>
        <w:t>（一）总体绩效目标</w:t>
      </w:r>
    </w:p>
    <w:p>
      <w:pPr>
        <w:pStyle w:val="21"/>
        <w:rPr>
          <w:lang w:eastAsia="zh-CN"/>
        </w:rPr>
      </w:pPr>
      <w:r>
        <w:rPr>
          <w:rFonts w:hint="eastAsia"/>
        </w:rPr>
        <w:t>今年是中华人民共和国成立75周年，是实现“十四五”规划目标任务的关键一年，也是全市经济总量过万亿、实现弯道超车的冲刺之年、决胜之年。做好纪检监察工作，要坚持以习近平新时代中国特色社会主义思想为指导，全面贯彻落实党的二十大和二十届二中全会精神，深入学习贯彻习近平总书记关于党的自我革命的重要思想，认真贯彻落实习近平总书记视察河北、视察石家庄重要讲话和重要指示精神，坚决落实全面从严治党战略方针，认真落实二十届中央纪委三次全会精神，省市纪委全会和区委全会工作部署，坚持稳中求进工作总基调，坚持严的基调、严的措施、严的氛围不动摇，纵深推进正风肃纪反腐，持续推进新征程纪检监察工作高质量发展，为加快建设现代化经济强区、魅力鹿泉、生态宜居宜业宜游新城区提供坚强保障。</w:t>
      </w:r>
    </w:p>
    <w:p>
      <w:pPr>
        <w:spacing w:line="500" w:lineRule="exact"/>
        <w:ind w:firstLine="560"/>
        <w:rPr>
          <w:rFonts w:eastAsia="方正仿宋_GBK"/>
          <w:color w:val="000000"/>
          <w:sz w:val="28"/>
          <w:lang w:eastAsia="zh-CN"/>
        </w:rPr>
      </w:pPr>
      <w:r>
        <w:rPr>
          <w:rFonts w:eastAsia="方正仿宋_GBK"/>
          <w:color w:val="000000"/>
          <w:sz w:val="28"/>
        </w:rPr>
        <w:t>（二）分项绩效目标</w:t>
      </w:r>
    </w:p>
    <w:p>
      <w:pPr>
        <w:pStyle w:val="19"/>
      </w:pPr>
      <w:r>
        <w:rPr>
          <w:rFonts w:hint="eastAsia"/>
          <w:lang w:eastAsia="zh-CN"/>
        </w:rPr>
        <w:t>1</w:t>
      </w:r>
      <w:r>
        <w:rPr>
          <w:rFonts w:hint="eastAsia"/>
        </w:rPr>
        <w:t>、努力推进政治监督具体化精准化常态化取得新成效</w:t>
      </w:r>
    </w:p>
    <w:p>
      <w:pPr>
        <w:pStyle w:val="19"/>
        <w:rPr>
          <w:rFonts w:hint="eastAsia"/>
        </w:rPr>
      </w:pPr>
      <w:r>
        <w:rPr>
          <w:rFonts w:hint="eastAsia"/>
          <w:lang w:eastAsia="zh-CN"/>
        </w:rPr>
        <w:t>（</w:t>
      </w:r>
      <w:r>
        <w:rPr>
          <w:rFonts w:hint="eastAsia"/>
          <w:lang w:val="en-US" w:eastAsia="zh-CN"/>
        </w:rPr>
        <w:t>1）</w:t>
      </w:r>
      <w:r>
        <w:rPr>
          <w:rFonts w:hint="eastAsia"/>
        </w:rPr>
        <w:t>围绕贯彻习近平总书记重要指示批示精神和党中央重大决策部署强化政治监督。坚持党中央决策部署到哪里，政治监督就跟进到哪里。</w:t>
      </w:r>
    </w:p>
    <w:p>
      <w:pPr>
        <w:pStyle w:val="19"/>
        <w:rPr>
          <w:rFonts w:hint="eastAsia"/>
        </w:rPr>
      </w:pPr>
      <w:r>
        <w:rPr>
          <w:rFonts w:hint="eastAsia"/>
          <w:lang w:eastAsia="zh-CN"/>
        </w:rPr>
        <w:t>（</w:t>
      </w:r>
      <w:r>
        <w:rPr>
          <w:rFonts w:hint="eastAsia"/>
          <w:lang w:val="en-US" w:eastAsia="zh-CN"/>
        </w:rPr>
        <w:t>2</w:t>
      </w:r>
      <w:r>
        <w:rPr>
          <w:rFonts w:hint="eastAsia"/>
          <w:lang w:eastAsia="zh-CN"/>
        </w:rPr>
        <w:t>）</w:t>
      </w:r>
      <w:r>
        <w:rPr>
          <w:rFonts w:hint="eastAsia"/>
        </w:rPr>
        <w:t>围绕省市区重点工作落实强化日常监督。找准服务保障经济社会高质量发展的切入点着力点，以强有力监督推动乡镇和职能部门抓好重点工作部署落实。</w:t>
      </w:r>
    </w:p>
    <w:p>
      <w:pPr>
        <w:pStyle w:val="19"/>
        <w:rPr>
          <w:rFonts w:hint="eastAsia"/>
        </w:rPr>
      </w:pPr>
      <w:r>
        <w:rPr>
          <w:rFonts w:hint="eastAsia"/>
          <w:lang w:eastAsia="zh-CN"/>
        </w:rPr>
        <w:t>（</w:t>
      </w:r>
      <w:r>
        <w:rPr>
          <w:rFonts w:hint="eastAsia"/>
          <w:lang w:val="en-US" w:eastAsia="zh-CN"/>
        </w:rPr>
        <w:t>3</w:t>
      </w:r>
      <w:r>
        <w:rPr>
          <w:rFonts w:hint="eastAsia"/>
          <w:lang w:eastAsia="zh-CN"/>
        </w:rPr>
        <w:t>）</w:t>
      </w:r>
      <w:r>
        <w:rPr>
          <w:rFonts w:hint="eastAsia"/>
        </w:rPr>
        <w:t>围绕政治纪律和政治规矩执行强化专项监督。正确地处理好监督与信任、制约和促进、监督与监管的关系。大胆创新监督模式</w:t>
      </w:r>
      <w:r>
        <w:rPr>
          <w:rFonts w:hint="eastAsia"/>
          <w:lang w:eastAsia="zh-CN"/>
        </w:rPr>
        <w:t>，</w:t>
      </w:r>
      <w:r>
        <w:rPr>
          <w:rFonts w:hint="eastAsia"/>
        </w:rPr>
        <w:t>灵活运用监督手段</w:t>
      </w:r>
      <w:r>
        <w:rPr>
          <w:rFonts w:hint="eastAsia"/>
          <w:lang w:eastAsia="zh-CN"/>
        </w:rPr>
        <w:t>，</w:t>
      </w:r>
      <w:r>
        <w:rPr>
          <w:rFonts w:hint="eastAsia"/>
        </w:rPr>
        <w:t>着力提升监督质效</w:t>
      </w:r>
      <w:r>
        <w:rPr>
          <w:rFonts w:hint="eastAsia"/>
          <w:lang w:eastAsia="zh-CN"/>
        </w:rPr>
        <w:t>，</w:t>
      </w:r>
      <w:r>
        <w:rPr>
          <w:rFonts w:hint="eastAsia"/>
        </w:rPr>
        <w:t>保障监督力量，提升监督能力和水平，做到精准发现问题、精准分析问题、精准推动解决问题。</w:t>
      </w:r>
    </w:p>
    <w:p>
      <w:pPr>
        <w:pStyle w:val="19"/>
      </w:pPr>
      <w:r>
        <w:rPr>
          <w:rFonts w:hint="eastAsia"/>
          <w:lang w:eastAsia="zh-CN"/>
        </w:rPr>
        <w:t>2</w:t>
      </w:r>
      <w:r>
        <w:rPr>
          <w:rFonts w:hint="eastAsia"/>
        </w:rPr>
        <w:t>、努力推进不敢腐、不能腐、不想腐取得新成效</w:t>
      </w:r>
    </w:p>
    <w:p>
      <w:pPr>
        <w:pStyle w:val="19"/>
        <w:rPr>
          <w:rFonts w:hint="eastAsia"/>
        </w:rPr>
      </w:pPr>
      <w:r>
        <w:rPr>
          <w:rFonts w:hint="eastAsia"/>
          <w:lang w:eastAsia="zh-CN"/>
        </w:rPr>
        <w:t>（</w:t>
      </w:r>
      <w:r>
        <w:rPr>
          <w:rFonts w:hint="eastAsia"/>
          <w:lang w:val="en-US" w:eastAsia="zh-CN"/>
        </w:rPr>
        <w:t>1</w:t>
      </w:r>
      <w:r>
        <w:rPr>
          <w:rFonts w:hint="eastAsia"/>
          <w:lang w:eastAsia="zh-CN"/>
        </w:rPr>
        <w:t>）</w:t>
      </w:r>
      <w:r>
        <w:rPr>
          <w:rFonts w:hint="eastAsia"/>
        </w:rPr>
        <w:t>坚决保持惩治腐败高压态势。严密防范各级“一把手”和党的二十大后新提任的、重要岗位的、年轻的、拟提拔重用的领导干部腐败问题。</w:t>
      </w:r>
    </w:p>
    <w:p>
      <w:pPr>
        <w:pStyle w:val="19"/>
        <w:rPr>
          <w:rFonts w:hint="eastAsia"/>
        </w:rPr>
      </w:pPr>
      <w:r>
        <w:rPr>
          <w:rFonts w:hint="eastAsia"/>
          <w:lang w:eastAsia="zh-CN"/>
        </w:rPr>
        <w:t>（</w:t>
      </w:r>
      <w:r>
        <w:rPr>
          <w:rFonts w:hint="eastAsia"/>
          <w:lang w:val="en-US" w:eastAsia="zh-CN"/>
        </w:rPr>
        <w:t>2</w:t>
      </w:r>
      <w:r>
        <w:rPr>
          <w:rFonts w:hint="eastAsia"/>
          <w:lang w:eastAsia="zh-CN"/>
        </w:rPr>
        <w:t>）</w:t>
      </w:r>
      <w:r>
        <w:rPr>
          <w:rFonts w:hint="eastAsia"/>
        </w:rPr>
        <w:t>坚决锚定反腐败斗争惩治重点。紧盯政商勾连腐败问题，坚决打击以权力为依托的资本逐利行为，坚决防止各种利益集团、权势团体向政治领域渗透。</w:t>
      </w:r>
    </w:p>
    <w:p>
      <w:pPr>
        <w:pStyle w:val="19"/>
        <w:rPr>
          <w:rFonts w:hint="eastAsia"/>
        </w:rPr>
      </w:pPr>
      <w:r>
        <w:rPr>
          <w:rFonts w:hint="eastAsia"/>
          <w:lang w:eastAsia="zh-CN"/>
        </w:rPr>
        <w:t>（</w:t>
      </w:r>
      <w:r>
        <w:rPr>
          <w:rFonts w:hint="eastAsia"/>
          <w:lang w:val="en-US" w:eastAsia="zh-CN"/>
        </w:rPr>
        <w:t>3</w:t>
      </w:r>
      <w:r>
        <w:rPr>
          <w:rFonts w:hint="eastAsia"/>
          <w:lang w:eastAsia="zh-CN"/>
        </w:rPr>
        <w:t>）</w:t>
      </w:r>
      <w:r>
        <w:rPr>
          <w:rFonts w:hint="eastAsia"/>
        </w:rPr>
        <w:t>坚决筑牢拒腐防变的思想防线。紧盯查办案件“后半篇文章”，加强类案分析，针对暴露出来的问题短板，提出有针对性、说服力的整改意见，督促协同有关部门开展专项治理，堵塞监管漏洞。</w:t>
      </w:r>
    </w:p>
    <w:p>
      <w:pPr>
        <w:pStyle w:val="19"/>
      </w:pPr>
      <w:r>
        <w:rPr>
          <w:rFonts w:hint="eastAsia"/>
          <w:lang w:eastAsia="zh-CN"/>
        </w:rPr>
        <w:t>（</w:t>
      </w:r>
      <w:r>
        <w:rPr>
          <w:rFonts w:hint="eastAsia"/>
          <w:lang w:val="en-US" w:eastAsia="zh-CN"/>
        </w:rPr>
        <w:t>4</w:t>
      </w:r>
      <w:r>
        <w:rPr>
          <w:rFonts w:hint="eastAsia"/>
          <w:lang w:eastAsia="zh-CN"/>
        </w:rPr>
        <w:t>）</w:t>
      </w:r>
      <w:r>
        <w:rPr>
          <w:rFonts w:hint="eastAsia"/>
        </w:rPr>
        <w:t>坚决精准把握反腐败斗争基本要求。紧盯办案程序，把习近平法治思想的立场观点方法，运用到反腐败斗争全过程，严格按法定权限、规则、程序办事。紧盯案件质量，全面执行审查调查工作指导体系，打造“审调真用力、案管善监督、审理严把关、整体谋提升”的质量共建格局。</w:t>
      </w:r>
    </w:p>
    <w:p>
      <w:pPr>
        <w:pStyle w:val="19"/>
      </w:pPr>
      <w:r>
        <w:rPr>
          <w:rFonts w:hint="eastAsia"/>
          <w:lang w:eastAsia="zh-CN"/>
        </w:rPr>
        <w:t>3</w:t>
      </w:r>
      <w:r>
        <w:rPr>
          <w:rFonts w:hint="eastAsia"/>
        </w:rPr>
        <w:t>、努力推进干部作风建设取得新成效</w:t>
      </w:r>
    </w:p>
    <w:p>
      <w:pPr>
        <w:pStyle w:val="19"/>
        <w:rPr>
          <w:rFonts w:hint="eastAsia"/>
        </w:rPr>
      </w:pPr>
      <w:r>
        <w:rPr>
          <w:rFonts w:hint="eastAsia"/>
          <w:lang w:eastAsia="zh-CN"/>
        </w:rPr>
        <w:t>（</w:t>
      </w:r>
      <w:r>
        <w:rPr>
          <w:rFonts w:hint="eastAsia"/>
          <w:lang w:val="en-US" w:eastAsia="zh-CN"/>
        </w:rPr>
        <w:t>1</w:t>
      </w:r>
      <w:r>
        <w:rPr>
          <w:rFonts w:hint="eastAsia"/>
          <w:lang w:eastAsia="zh-CN"/>
        </w:rPr>
        <w:t>）</w:t>
      </w:r>
      <w:r>
        <w:rPr>
          <w:rFonts w:hint="eastAsia"/>
        </w:rPr>
        <w:t>坚决纠治官僚主义、形式主义。坚持从区直部门抓起、从领导干部改起，以抓好“关键少数”促进党风政风根本好转。紧盯官僚主义实际表现和阶段性特征。</w:t>
      </w:r>
    </w:p>
    <w:p>
      <w:pPr>
        <w:pStyle w:val="19"/>
        <w:rPr>
          <w:rFonts w:hint="eastAsia"/>
        </w:rPr>
      </w:pPr>
      <w:r>
        <w:rPr>
          <w:rFonts w:hint="eastAsia"/>
          <w:lang w:eastAsia="zh-CN"/>
        </w:rPr>
        <w:t>（</w:t>
      </w:r>
      <w:r>
        <w:rPr>
          <w:rFonts w:hint="eastAsia"/>
          <w:lang w:val="en-US" w:eastAsia="zh-CN"/>
        </w:rPr>
        <w:t>2</w:t>
      </w:r>
      <w:r>
        <w:rPr>
          <w:rFonts w:hint="eastAsia"/>
          <w:lang w:eastAsia="zh-CN"/>
        </w:rPr>
        <w:t>）</w:t>
      </w:r>
      <w:r>
        <w:rPr>
          <w:rFonts w:hint="eastAsia"/>
        </w:rPr>
        <w:t>坚决整治享乐主义、奢靡之风。一是开展违规吃喝专项整治。二是坚持风腐同查同治。三是惩防并举整治铺张浪费。</w:t>
      </w:r>
    </w:p>
    <w:p>
      <w:pPr>
        <w:pStyle w:val="19"/>
      </w:pPr>
      <w:r>
        <w:rPr>
          <w:rFonts w:hint="eastAsia"/>
          <w:lang w:eastAsia="zh-CN"/>
        </w:rPr>
        <w:t>（</w:t>
      </w:r>
      <w:r>
        <w:rPr>
          <w:rFonts w:hint="eastAsia"/>
          <w:lang w:val="en-US" w:eastAsia="zh-CN"/>
        </w:rPr>
        <w:t>3</w:t>
      </w:r>
      <w:r>
        <w:rPr>
          <w:rFonts w:hint="eastAsia"/>
          <w:lang w:eastAsia="zh-CN"/>
        </w:rPr>
        <w:t>）</w:t>
      </w:r>
      <w:r>
        <w:rPr>
          <w:rFonts w:hint="eastAsia"/>
        </w:rPr>
        <w:t>坚决纠治权力观扭曲、政绩观错位。对搞政绩工程、统计造假、举债过日子等问题集中开展整治，坚决纠治追求片面政绩、眼前政绩、表面政绩等问题。</w:t>
      </w:r>
    </w:p>
    <w:p>
      <w:pPr>
        <w:pStyle w:val="19"/>
      </w:pPr>
      <w:r>
        <w:rPr>
          <w:rFonts w:hint="eastAsia"/>
          <w:lang w:eastAsia="zh-CN"/>
        </w:rPr>
        <w:t>4</w:t>
      </w:r>
      <w:r>
        <w:rPr>
          <w:rFonts w:hint="eastAsia"/>
        </w:rPr>
        <w:t>、努力推进党的纪律建设取得新成效</w:t>
      </w:r>
    </w:p>
    <w:p>
      <w:pPr>
        <w:pStyle w:val="19"/>
        <w:rPr>
          <w:rFonts w:hint="eastAsia"/>
        </w:rPr>
      </w:pPr>
      <w:r>
        <w:rPr>
          <w:rFonts w:hint="eastAsia"/>
          <w:lang w:eastAsia="zh-CN"/>
        </w:rPr>
        <w:t>（</w:t>
      </w:r>
      <w:r>
        <w:rPr>
          <w:rFonts w:hint="eastAsia"/>
          <w:lang w:val="en-US" w:eastAsia="zh-CN"/>
        </w:rPr>
        <w:t>1</w:t>
      </w:r>
      <w:r>
        <w:rPr>
          <w:rFonts w:hint="eastAsia"/>
          <w:lang w:eastAsia="zh-CN"/>
        </w:rPr>
        <w:t>）</w:t>
      </w:r>
      <w:r>
        <w:rPr>
          <w:rFonts w:hint="eastAsia"/>
        </w:rPr>
        <w:t>深化纪律教育。深入学习习近平总书记关于党的纪律建设的重要论述，认真学好新修订的纪律处分条例，学习应知应会党内法规和国家法律清单。</w:t>
      </w:r>
    </w:p>
    <w:p>
      <w:pPr>
        <w:pStyle w:val="19"/>
        <w:rPr>
          <w:rFonts w:hint="eastAsia"/>
        </w:rPr>
      </w:pPr>
      <w:r>
        <w:rPr>
          <w:rFonts w:hint="eastAsia"/>
          <w:lang w:eastAsia="zh-CN"/>
        </w:rPr>
        <w:t>（</w:t>
      </w:r>
      <w:r>
        <w:rPr>
          <w:rFonts w:hint="eastAsia"/>
          <w:lang w:val="en-US" w:eastAsia="zh-CN"/>
        </w:rPr>
        <w:t>2</w:t>
      </w:r>
      <w:r>
        <w:rPr>
          <w:rFonts w:hint="eastAsia"/>
          <w:lang w:eastAsia="zh-CN"/>
        </w:rPr>
        <w:t>）</w:t>
      </w:r>
      <w:r>
        <w:rPr>
          <w:rFonts w:hint="eastAsia"/>
        </w:rPr>
        <w:t>严格纪律执行。坚持严字当头，违纪必惩、惩之能戒。</w:t>
      </w:r>
    </w:p>
    <w:p>
      <w:pPr>
        <w:pStyle w:val="19"/>
      </w:pPr>
      <w:r>
        <w:rPr>
          <w:rFonts w:hint="eastAsia"/>
          <w:lang w:eastAsia="zh-CN"/>
        </w:rPr>
        <w:t>（</w:t>
      </w:r>
      <w:r>
        <w:rPr>
          <w:rFonts w:hint="eastAsia"/>
          <w:lang w:val="en-US" w:eastAsia="zh-CN"/>
        </w:rPr>
        <w:t>3</w:t>
      </w:r>
      <w:r>
        <w:rPr>
          <w:rFonts w:hint="eastAsia"/>
          <w:lang w:eastAsia="zh-CN"/>
        </w:rPr>
        <w:t>）</w:t>
      </w:r>
      <w:r>
        <w:rPr>
          <w:rFonts w:hint="eastAsia"/>
        </w:rPr>
        <w:t>提升执纪效果。在坚持严的基调基础上，充分运用党的政策策略，释放最大的正向效应。注重维护党的形象，通过惩处党员错误挽回党的形象，避免丑化污名化。</w:t>
      </w:r>
    </w:p>
    <w:p>
      <w:pPr>
        <w:pStyle w:val="19"/>
      </w:pPr>
      <w:r>
        <w:rPr>
          <w:rFonts w:hint="eastAsia"/>
          <w:lang w:eastAsia="zh-CN"/>
        </w:rPr>
        <w:t>5</w:t>
      </w:r>
      <w:r>
        <w:rPr>
          <w:rFonts w:hint="eastAsia"/>
        </w:rPr>
        <w:t>、努力推进巡察工作取得新成效</w:t>
      </w:r>
    </w:p>
    <w:p>
      <w:pPr>
        <w:pStyle w:val="19"/>
        <w:rPr>
          <w:rFonts w:hint="eastAsia"/>
        </w:rPr>
      </w:pPr>
      <w:r>
        <w:rPr>
          <w:rFonts w:hint="eastAsia"/>
          <w:lang w:eastAsia="zh-CN"/>
        </w:rPr>
        <w:t>（</w:t>
      </w:r>
      <w:r>
        <w:rPr>
          <w:rFonts w:hint="eastAsia"/>
          <w:lang w:val="en-US" w:eastAsia="zh-CN"/>
        </w:rPr>
        <w:t>1</w:t>
      </w:r>
      <w:r>
        <w:rPr>
          <w:rFonts w:hint="eastAsia"/>
          <w:lang w:eastAsia="zh-CN"/>
        </w:rPr>
        <w:t>）</w:t>
      </w:r>
      <w:r>
        <w:rPr>
          <w:rFonts w:hint="eastAsia"/>
        </w:rPr>
        <w:t>坚守政治巡察定位，深入查找政治偏差，深化巡察整改和成果运用，更好发挥巡察综合监督作用。持续提升巡察工作质量。精准把握政治巡察定位，聚焦“两个维护”，紧盯“一把手”等“关键少数”，从政治忠诚、政治安全、政治责任、政治立场、党内政治生活上，严查巡察对象存在的问题。</w:t>
      </w:r>
    </w:p>
    <w:p>
      <w:pPr>
        <w:pStyle w:val="19"/>
        <w:rPr>
          <w:rFonts w:hint="eastAsia"/>
        </w:rPr>
      </w:pPr>
      <w:r>
        <w:rPr>
          <w:rFonts w:hint="eastAsia"/>
          <w:lang w:eastAsia="zh-CN"/>
        </w:rPr>
        <w:t>（</w:t>
      </w:r>
      <w:r>
        <w:rPr>
          <w:rFonts w:hint="eastAsia"/>
          <w:lang w:val="en-US" w:eastAsia="zh-CN"/>
        </w:rPr>
        <w:t>2</w:t>
      </w:r>
      <w:r>
        <w:rPr>
          <w:rFonts w:hint="eastAsia"/>
          <w:lang w:eastAsia="zh-CN"/>
        </w:rPr>
        <w:t>）</w:t>
      </w:r>
      <w:r>
        <w:rPr>
          <w:rFonts w:hint="eastAsia"/>
        </w:rPr>
        <w:t>持续强化整改和成果运用。建立覆盖巡察整改全周期的责任体系和制度流程。</w:t>
      </w:r>
    </w:p>
    <w:p>
      <w:pPr>
        <w:pStyle w:val="19"/>
        <w:rPr>
          <w:rFonts w:hint="eastAsia"/>
        </w:rPr>
      </w:pPr>
      <w:r>
        <w:rPr>
          <w:rFonts w:hint="eastAsia"/>
          <w:lang w:eastAsia="zh-CN"/>
        </w:rPr>
        <w:t>（</w:t>
      </w:r>
      <w:r>
        <w:rPr>
          <w:rFonts w:hint="eastAsia"/>
          <w:lang w:val="en-US" w:eastAsia="zh-CN"/>
        </w:rPr>
        <w:t>3</w:t>
      </w:r>
      <w:r>
        <w:rPr>
          <w:rFonts w:hint="eastAsia"/>
          <w:lang w:eastAsia="zh-CN"/>
        </w:rPr>
        <w:t>）</w:t>
      </w:r>
      <w:r>
        <w:rPr>
          <w:rFonts w:hint="eastAsia"/>
        </w:rPr>
        <w:t>持续强化巡察基础建设。着力加强巡察监督与其他监督的协同协作，完善巡察机构与纪检监察机关、组织部门巡察全流程、各环节协作机制，推动审计、财政、统计等部门专门力量深度参与巡察。</w:t>
      </w:r>
    </w:p>
    <w:p>
      <w:pPr>
        <w:pStyle w:val="19"/>
      </w:pPr>
      <w:r>
        <w:rPr>
          <w:rFonts w:hint="eastAsia"/>
          <w:lang w:eastAsia="zh-CN"/>
        </w:rPr>
        <w:t>6</w:t>
      </w:r>
      <w:r>
        <w:rPr>
          <w:rFonts w:hint="eastAsia"/>
        </w:rPr>
        <w:t>、努力推进自身建设取得新成效</w:t>
      </w:r>
    </w:p>
    <w:p>
      <w:pPr>
        <w:pStyle w:val="19"/>
        <w:rPr>
          <w:rFonts w:hint="eastAsia" w:eastAsia="方正仿宋_GBK"/>
          <w:lang w:eastAsia="zh-CN"/>
        </w:rPr>
      </w:pPr>
      <w:r>
        <w:rPr>
          <w:rFonts w:hint="eastAsia"/>
        </w:rPr>
        <w:t>持续深化纪检监察体制改革，强化法规制度执行，增强纪检监察工作的严肃性、权威性和公信力。坚决落实习近平总书记“绝对忠诚、绝对可靠、绝对纯洁”重要要求，做自我革命的表率、遵规守纪的标杆。推进纪检监察体制机制改革</w:t>
      </w:r>
      <w:r>
        <w:rPr>
          <w:rFonts w:hint="eastAsia"/>
          <w:lang w:eastAsia="zh-CN"/>
        </w:rPr>
        <w:t>，</w:t>
      </w:r>
      <w:r>
        <w:rPr>
          <w:rFonts w:hint="eastAsia"/>
        </w:rPr>
        <w:t>砥砺政治忠诚，提高斗争本领</w:t>
      </w:r>
      <w:r>
        <w:rPr>
          <w:rFonts w:hint="eastAsia"/>
          <w:lang w:eastAsia="zh-CN"/>
        </w:rPr>
        <w:t>。</w:t>
      </w:r>
    </w:p>
    <w:p>
      <w:pPr>
        <w:spacing w:line="500" w:lineRule="exact"/>
        <w:ind w:firstLine="560"/>
        <w:rPr>
          <w:lang w:eastAsia="zh-CN"/>
        </w:rPr>
      </w:pPr>
      <w:r>
        <w:rPr>
          <w:rFonts w:eastAsia="方正仿宋_GBK"/>
          <w:color w:val="000000"/>
          <w:sz w:val="28"/>
        </w:rPr>
        <w:t>（三）工作保障措施</w:t>
      </w:r>
    </w:p>
    <w:p>
      <w:pPr>
        <w:pStyle w:val="24"/>
        <w:rPr>
          <w:lang w:eastAsia="zh-CN"/>
        </w:rPr>
      </w:pPr>
      <w:r>
        <w:t>1</w:t>
      </w:r>
      <w:r>
        <w:rPr>
          <w:rFonts w:hint="eastAsia"/>
          <w:lang w:eastAsia="zh-CN"/>
        </w:rPr>
        <w:t>、</w:t>
      </w:r>
      <w:r>
        <w:t>严明政治纪律和政治规矩</w:t>
      </w:r>
    </w:p>
    <w:p>
      <w:pPr>
        <w:pStyle w:val="24"/>
      </w:pPr>
      <w:r>
        <w:t>开展落实“两个维护”情况专项监督；开展严肃党内政治生活情况专项监督；坚决破除“形式主义、官僚主义”。</w:t>
      </w:r>
    </w:p>
    <w:p>
      <w:pPr>
        <w:pStyle w:val="24"/>
      </w:pPr>
      <w:r>
        <w:t>2</w:t>
      </w:r>
      <w:r>
        <w:rPr>
          <w:rFonts w:hint="eastAsia"/>
          <w:lang w:eastAsia="zh-CN"/>
        </w:rPr>
        <w:t>、</w:t>
      </w:r>
      <w:r>
        <w:t>加强纪检监察工作体制机制建设</w:t>
      </w:r>
    </w:p>
    <w:p>
      <w:pPr>
        <w:pStyle w:val="24"/>
      </w:pPr>
      <w:r>
        <w:t>（1）强化上级纪委对下级纪委的领导和指导。认真履行协助党委全面从严治党职责，强化对下级党组织的监督，使主体责任、监督责任贯通协同、形成合力。</w:t>
      </w:r>
    </w:p>
    <w:p>
      <w:pPr>
        <w:pStyle w:val="24"/>
      </w:pPr>
      <w:r>
        <w:t>（2）持续深化国家监察体制改革。把增强对公权力和公职人员的监督全覆盖、有效性作为着力点，健全统一决策、一体运行的执纪执法工作机制。</w:t>
      </w:r>
    </w:p>
    <w:p>
      <w:pPr>
        <w:pStyle w:val="24"/>
      </w:pPr>
      <w:r>
        <w:t>（3）加强基层纪检组织建设。核定乡镇纪委机构、编制和职数，配齐配强专职纪检干部。强化对乡镇纪委开展日常监督、执纪审查等工作的指导。</w:t>
      </w:r>
    </w:p>
    <w:p>
      <w:pPr>
        <w:pStyle w:val="24"/>
      </w:pPr>
      <w:r>
        <w:t>3</w:t>
      </w:r>
      <w:r>
        <w:rPr>
          <w:rFonts w:hint="eastAsia"/>
          <w:lang w:eastAsia="zh-CN"/>
        </w:rPr>
        <w:t>、</w:t>
      </w:r>
      <w:r>
        <w:t>加强监督监察工作，在实效上实现新突破。</w:t>
      </w:r>
    </w:p>
    <w:p>
      <w:pPr>
        <w:pStyle w:val="24"/>
      </w:pPr>
      <w:r>
        <w:t>注重抓住监督重点，注重日常精准监督，坚持问题导向解决党风问题，深入推进作风建设，注重强化制度执行，注重形成监督合力，严格落实容错纠错机制，在全区营造风清气正、勇于改革创新、敢于担当负责的良好环境。</w:t>
      </w:r>
    </w:p>
    <w:p>
      <w:pPr>
        <w:pStyle w:val="24"/>
      </w:pPr>
      <w:r>
        <w:t>4</w:t>
      </w:r>
      <w:r>
        <w:rPr>
          <w:rFonts w:hint="eastAsia"/>
          <w:lang w:eastAsia="zh-CN"/>
        </w:rPr>
        <w:t>、</w:t>
      </w:r>
      <w:r>
        <w:t>在政治巡察上实现新突破。</w:t>
      </w:r>
    </w:p>
    <w:p>
      <w:pPr>
        <w:pStyle w:val="24"/>
      </w:pPr>
      <w:r>
        <w:t>突出抓好“六化”建设，一是巡察工作规范化；二是方式方法科学化；三是问题整改求实化；四是解决问题可视化；五是巡察成果应用化；六是队伍建设专业化。</w:t>
      </w:r>
    </w:p>
    <w:p>
      <w:pPr>
        <w:pStyle w:val="24"/>
      </w:pPr>
      <w:r>
        <w:t>5</w:t>
      </w:r>
      <w:r>
        <w:rPr>
          <w:rFonts w:hint="eastAsia"/>
          <w:lang w:eastAsia="zh-CN"/>
        </w:rPr>
        <w:t>、</w:t>
      </w:r>
      <w:r>
        <w:t>持续整治群众身边腐败和作风问题。</w:t>
      </w:r>
    </w:p>
    <w:p>
      <w:pPr>
        <w:pStyle w:val="24"/>
      </w:pPr>
      <w:r>
        <w:t>（1）持续深化扶贫领域腐败和作风问题专项治理，严肃查处扶贫领域贪污侵占、虚报冒领、截留挪用、优亲厚友等突出问题，严肃查处职能部门在扶贫工作中履责不力、监管不严、推诿扯皮等问题。</w:t>
      </w:r>
    </w:p>
    <w:p>
      <w:pPr>
        <w:pStyle w:val="24"/>
        <w:rPr>
          <w:rFonts w:hint="eastAsia" w:eastAsia="方正仿宋_GBK"/>
          <w:lang w:eastAsia="zh-CN"/>
        </w:rPr>
      </w:pPr>
      <w:r>
        <w:t>（2）扎实开展民生领域专项整治，加强对民生工程推进情况的监督，切实解决教育医疗、环境保护、食品药品安全等方面侵害群众利益问题</w:t>
      </w:r>
      <w:r>
        <w:rPr>
          <w:rFonts w:hint="eastAsia"/>
          <w:lang w:eastAsia="zh-CN"/>
        </w:rPr>
        <w:t>。</w:t>
      </w:r>
    </w:p>
    <w:p>
      <w:pPr>
        <w:pStyle w:val="24"/>
      </w:pPr>
      <w:r>
        <w:t>（3）深挖涉黑涉恶腐败和黑恶势力“保护伞”，立足职责定位，深化“一案三查”，把打击“保护伞”作为主攻方向，严肃查处党员干部和公职人员助长黑恶势力做大成势、干预和阻挠案件调查处理等问题，严肃查处“村霸”、宗族恶势力和黄赌毒背后的腐败行为。</w:t>
      </w:r>
    </w:p>
    <w:p>
      <w:pPr>
        <w:pStyle w:val="24"/>
      </w:pPr>
      <w:r>
        <w:rPr>
          <w:rFonts w:hint="eastAsia"/>
          <w:lang w:eastAsia="zh-CN"/>
        </w:rPr>
        <w:t>（4）</w:t>
      </w:r>
      <w:r>
        <w:t>把整治群众反映强烈的腐败和作风问题放在突出位置，严肃查处对群众反映强烈的问题不担当、消极应付，对群众合理诉求不作为、推诿扯皮等问题，让群众切实感受到正风反腐就在身边。</w:t>
      </w:r>
    </w:p>
    <w:p>
      <w:pPr>
        <w:pStyle w:val="24"/>
      </w:pPr>
      <w:r>
        <w:t>6</w:t>
      </w:r>
      <w:r>
        <w:rPr>
          <w:rFonts w:hint="eastAsia"/>
          <w:lang w:eastAsia="zh-CN"/>
        </w:rPr>
        <w:t>、</w:t>
      </w:r>
      <w:r>
        <w:t>加强并完善各项制度建设</w:t>
      </w:r>
    </w:p>
    <w:p>
      <w:pPr>
        <w:pStyle w:val="24"/>
      </w:pPr>
      <w:r>
        <w:t>（1）加强完善学习制度，并在落实上下功夫。严格落实理论学习中心组、常委扩大会学习等制度，带头学习贯彻习近平新时代中国特色社会主义思想，坚持在学懂弄通做实上下功夫。弘扬革命理想高于天的精神，秉持献身党和人民事业的崇高情怀，增强担当精神和斗争精神，在大是大非面前敢于亮剑、敢于斗争。注重在一线培养锻炼、发现识别优秀干部，体现讲担当、重担当的鲜明用人导向。</w:t>
      </w:r>
    </w:p>
    <w:p>
      <w:pPr>
        <w:pStyle w:val="24"/>
      </w:pPr>
      <w:r>
        <w:t>（2）制定完善预算绩效管理制度，制定绩效目标，责任落实到人，督促各项绩效指标完成，为全年预算绩效目标的实现奠定制度基础。</w:t>
      </w:r>
    </w:p>
    <w:p>
      <w:pPr>
        <w:pStyle w:val="24"/>
      </w:pPr>
      <w:r>
        <w:t>7</w:t>
      </w:r>
      <w:r>
        <w:rPr>
          <w:rFonts w:hint="eastAsia"/>
          <w:lang w:eastAsia="zh-CN"/>
        </w:rPr>
        <w:t>、</w:t>
      </w:r>
      <w:r>
        <w:t>加强资金支出管理。</w:t>
      </w:r>
    </w:p>
    <w:p>
      <w:pPr>
        <w:pStyle w:val="24"/>
      </w:pPr>
      <w:r>
        <w:t>通过优化支出结构、编细编实预算、尽快启动项目、及时支付资金、6月底前细化代编预算、按规定及时下达资金等多种措施，加快支出进度。确保支出进度达标。</w:t>
      </w:r>
    </w:p>
    <w:p>
      <w:pPr>
        <w:pStyle w:val="24"/>
      </w:pPr>
      <w:r>
        <w:t>8</w:t>
      </w:r>
      <w:r>
        <w:rPr>
          <w:rFonts w:hint="eastAsia"/>
          <w:lang w:eastAsia="zh-CN"/>
        </w:rPr>
        <w:t>、</w:t>
      </w:r>
      <w:r>
        <w:t>加强绩效运行监控。</w:t>
      </w:r>
    </w:p>
    <w:p>
      <w:pPr>
        <w:pStyle w:val="24"/>
      </w:pPr>
      <w:r>
        <w:t>按要求开展绩效运行监控，发现问题及时采取措施，确保绩效目标如期保质实现。</w:t>
      </w:r>
    </w:p>
    <w:p>
      <w:pPr>
        <w:pStyle w:val="24"/>
      </w:pPr>
      <w:r>
        <w:t>9</w:t>
      </w:r>
      <w:r>
        <w:rPr>
          <w:rFonts w:hint="eastAsia"/>
          <w:lang w:eastAsia="zh-CN"/>
        </w:rPr>
        <w:t>、</w:t>
      </w:r>
      <w:r>
        <w:t>做好绩效自评。</w:t>
      </w:r>
    </w:p>
    <w:p>
      <w:pPr>
        <w:pStyle w:val="24"/>
      </w:pPr>
      <w:r>
        <w:t>按要求开展上年度部门预算绩效自评和重点评价工作，对评价中发现的问题及时整改，调整优化支出结构，提高财政资金使用效益。</w:t>
      </w:r>
    </w:p>
    <w:p>
      <w:pPr>
        <w:pStyle w:val="24"/>
      </w:pPr>
      <w:r>
        <w:t>10</w:t>
      </w:r>
      <w:r>
        <w:rPr>
          <w:rFonts w:hint="eastAsia"/>
          <w:lang w:eastAsia="zh-CN"/>
        </w:rPr>
        <w:t>、</w:t>
      </w:r>
      <w:r>
        <w:t>规范财务资产管理。</w:t>
      </w:r>
    </w:p>
    <w:p>
      <w:pPr>
        <w:pStyle w:val="24"/>
      </w:pPr>
      <w:r>
        <w:t>完善财务管理制度，严格审批程序，加强固定资产登记、使用和报废处置管理，做到支出合理，物尽其用。</w:t>
      </w:r>
    </w:p>
    <w:p>
      <w:pPr>
        <w:pStyle w:val="24"/>
      </w:pPr>
      <w:r>
        <w:t>11</w:t>
      </w:r>
      <w:r>
        <w:rPr>
          <w:rFonts w:hint="eastAsia"/>
          <w:lang w:eastAsia="zh-CN"/>
        </w:rPr>
        <w:t>、</w:t>
      </w:r>
      <w:r>
        <w:t>加强内部监督。</w:t>
      </w:r>
    </w:p>
    <w:p>
      <w:pPr>
        <w:pStyle w:val="24"/>
      </w:pPr>
      <w:r>
        <w:t>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pPr>
      <w:r>
        <w:t>12</w:t>
      </w:r>
      <w:r>
        <w:rPr>
          <w:rFonts w:hint="eastAsia"/>
          <w:lang w:eastAsia="zh-CN"/>
        </w:rPr>
        <w:t>、</w:t>
      </w:r>
      <w:r>
        <w:t>加强宣传培训调研等。</w:t>
      </w:r>
    </w:p>
    <w:p>
      <w:pPr>
        <w:pStyle w:val="24"/>
      </w:pPr>
      <w:r>
        <w:t>加强人员培训，提高本部门职工业务素质；加强调研，提出优化财政资金配置、提高资金使用效益的意见；加大宣传力度，强化预算绩效管理意识，促进预算绩效管理水平进一步提升。</w:t>
      </w:r>
    </w:p>
    <w:p>
      <w:pPr>
        <w:pStyle w:val="24"/>
        <w:rPr>
          <w:lang w:eastAsia="zh-CN"/>
        </w:rPr>
        <w:sectPr>
          <w:pgSz w:w="16840" w:h="11900" w:orient="landscape"/>
          <w:pgMar w:top="1361" w:right="1020" w:bottom="1361" w:left="1020" w:header="720" w:footer="720" w:gutter="0"/>
          <w:cols w:space="720" w:num="1"/>
        </w:sectPr>
      </w:pPr>
    </w:p>
    <w:p>
      <w:p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pStyle w:val="24"/>
        <w:ind w:firstLine="1209" w:firstLineChars="432"/>
        <w:rPr>
          <w:rFonts w:hint="eastAsia" w:ascii="黑体" w:hAnsi="黑体" w:eastAsia="方正仿宋_GBK" w:cs="黑体"/>
          <w:color w:val="000000"/>
          <w:sz w:val="32"/>
          <w:lang w:eastAsia="zh-CN"/>
        </w:rPr>
        <w:sectPr>
          <w:pgSz w:w="16840" w:h="11900" w:orient="landscape"/>
          <w:pgMar w:top="1361" w:right="1020" w:bottom="1134" w:left="1020" w:header="720" w:footer="720" w:gutter="0"/>
          <w:cols w:space="720" w:num="1"/>
        </w:sectPr>
      </w:pPr>
      <w:r>
        <w:rPr>
          <w:rFonts w:hint="eastAsia" w:ascii="Times New Roman" w:hAnsi="Times New Roman" w:cs="Times New Roman"/>
        </w:rPr>
        <w:t>我</w:t>
      </w:r>
      <w:r>
        <w:rPr>
          <w:rFonts w:hint="eastAsia" w:ascii="Times New Roman" w:hAnsi="Times New Roman" w:cs="Times New Roman"/>
          <w:lang w:eastAsia="zh-CN"/>
        </w:rPr>
        <w:t>部门</w:t>
      </w:r>
      <w:r>
        <w:rPr>
          <w:rFonts w:ascii="Times New Roman" w:hAnsi="Times New Roman" w:cs="Times New Roman"/>
        </w:rPr>
        <w:t>无专项资</w:t>
      </w:r>
      <w:r>
        <w:rPr>
          <w:rFonts w:hint="eastAsia" w:ascii="Times New Roman" w:hAnsi="Times New Roman" w:cs="Times New Roman"/>
          <w:lang w:eastAsia="zh-CN"/>
        </w:rPr>
        <w:t>金</w:t>
      </w:r>
    </w:p>
    <w:p>
      <w:pPr>
        <w:spacing w:before="10" w:after="10" w:line="500" w:lineRule="exact"/>
        <w:ind w:firstLine="640" w:firstLineChars="20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line="500" w:lineRule="exact"/>
        <w:ind w:firstLine="560"/>
      </w:pPr>
      <w:r>
        <w:rPr>
          <w:rFonts w:ascii="方正仿宋_GBK" w:hAnsi="方正仿宋_GBK" w:eastAsia="方正仿宋_GBK" w:cs="方正仿宋_GBK"/>
          <w:color w:val="000000"/>
          <w:sz w:val="28"/>
        </w:rPr>
        <w:t>1、2024办案一体化工作平台建设绩效目标表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13011024P003219100115</w:t>
            </w:r>
          </w:p>
        </w:tc>
        <w:tc>
          <w:tcPr>
            <w:tcW w:w="2835" w:type="dxa"/>
            <w:vAlign w:val="center"/>
          </w:tcPr>
          <w:p>
            <w:pPr>
              <w:pStyle w:val="11"/>
            </w:pPr>
            <w:r>
              <w:t>项目名称</w:t>
            </w:r>
          </w:p>
        </w:tc>
        <w:tc>
          <w:tcPr>
            <w:tcW w:w="6094" w:type="dxa"/>
            <w:gridSpan w:val="3"/>
            <w:vAlign w:val="center"/>
          </w:tcPr>
          <w:p>
            <w:pPr>
              <w:pStyle w:val="13"/>
            </w:pPr>
            <w:r>
              <w:t>2024办案一体化工作平台建设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纪委一体化工作平台建设，提高纪检监察工作的信息化水平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1.建设集线索处置、案件查办、措施管理、智慧审理、数字监管等功能于一体的办案工作平台，办案平台上线运行后，将很大程度上提高纪检监察工作的信息化水平，使纪检监察工作更加规范化。</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国产台式计算机数量</w:t>
            </w:r>
          </w:p>
        </w:tc>
        <w:tc>
          <w:tcPr>
            <w:tcW w:w="5386" w:type="dxa"/>
            <w:vAlign w:val="center"/>
          </w:tcPr>
          <w:p>
            <w:pPr>
              <w:pStyle w:val="13"/>
            </w:pPr>
            <w:r>
              <w:t>国产台式计算机数量</w:t>
            </w:r>
          </w:p>
        </w:tc>
        <w:tc>
          <w:tcPr>
            <w:tcW w:w="2268" w:type="dxa"/>
            <w:vAlign w:val="center"/>
          </w:tcPr>
          <w:p>
            <w:pPr>
              <w:pStyle w:val="13"/>
            </w:pPr>
            <w:r>
              <w:t>10台</w:t>
            </w:r>
          </w:p>
        </w:tc>
        <w:tc>
          <w:tcPr>
            <w:tcW w:w="1276" w:type="dxa"/>
            <w:vAlign w:val="center"/>
          </w:tcPr>
          <w:p>
            <w:pPr>
              <w:pStyle w:val="13"/>
            </w:pPr>
            <w:r>
              <w:t>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国产红黑打印机数量</w:t>
            </w:r>
          </w:p>
        </w:tc>
        <w:tc>
          <w:tcPr>
            <w:tcW w:w="5386" w:type="dxa"/>
            <w:vAlign w:val="center"/>
          </w:tcPr>
          <w:p>
            <w:pPr>
              <w:pStyle w:val="13"/>
            </w:pPr>
            <w:r>
              <w:t>国产红黑打印机数量</w:t>
            </w:r>
          </w:p>
        </w:tc>
        <w:tc>
          <w:tcPr>
            <w:tcW w:w="2268" w:type="dxa"/>
            <w:vAlign w:val="center"/>
          </w:tcPr>
          <w:p>
            <w:pPr>
              <w:pStyle w:val="13"/>
            </w:pPr>
            <w:r>
              <w:t>10台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国产扫描仪数量</w:t>
            </w:r>
          </w:p>
        </w:tc>
        <w:tc>
          <w:tcPr>
            <w:tcW w:w="5386" w:type="dxa"/>
            <w:vAlign w:val="center"/>
          </w:tcPr>
          <w:p>
            <w:pPr>
              <w:pStyle w:val="13"/>
            </w:pPr>
            <w:r>
              <w:t>国产扫描仪数量</w:t>
            </w:r>
          </w:p>
        </w:tc>
        <w:tc>
          <w:tcPr>
            <w:tcW w:w="2268" w:type="dxa"/>
            <w:vAlign w:val="center"/>
          </w:tcPr>
          <w:p>
            <w:pPr>
              <w:pStyle w:val="13"/>
            </w:pPr>
            <w:r>
              <w:t>6台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交换机数量</w:t>
            </w:r>
          </w:p>
        </w:tc>
        <w:tc>
          <w:tcPr>
            <w:tcW w:w="5386" w:type="dxa"/>
            <w:vAlign w:val="center"/>
          </w:tcPr>
          <w:p>
            <w:pPr>
              <w:pStyle w:val="13"/>
            </w:pPr>
            <w:r>
              <w:t>交换机数量</w:t>
            </w:r>
          </w:p>
        </w:tc>
        <w:tc>
          <w:tcPr>
            <w:tcW w:w="2268" w:type="dxa"/>
            <w:vAlign w:val="center"/>
          </w:tcPr>
          <w:p>
            <w:pPr>
              <w:pStyle w:val="13"/>
            </w:pPr>
            <w:r>
              <w:t>1台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质量合格率</w:t>
            </w:r>
          </w:p>
        </w:tc>
        <w:tc>
          <w:tcPr>
            <w:tcW w:w="5386" w:type="dxa"/>
            <w:vAlign w:val="center"/>
          </w:tcPr>
          <w:p>
            <w:pPr>
              <w:pStyle w:val="13"/>
            </w:pPr>
            <w:r>
              <w:t>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完成项目成本</w:t>
            </w:r>
          </w:p>
        </w:tc>
        <w:tc>
          <w:tcPr>
            <w:tcW w:w="5386" w:type="dxa"/>
            <w:vAlign w:val="center"/>
          </w:tcPr>
          <w:p>
            <w:pPr>
              <w:pStyle w:val="13"/>
            </w:pPr>
            <w:r>
              <w:t>完成项目成本</w:t>
            </w:r>
          </w:p>
        </w:tc>
        <w:tc>
          <w:tcPr>
            <w:tcW w:w="2268" w:type="dxa"/>
            <w:vAlign w:val="center"/>
          </w:tcPr>
          <w:p>
            <w:pPr>
              <w:pStyle w:val="13"/>
            </w:pPr>
            <w:r>
              <w:t>≤30万元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项目完成时效</w:t>
            </w:r>
          </w:p>
        </w:tc>
        <w:tc>
          <w:tcPr>
            <w:tcW w:w="5386" w:type="dxa"/>
            <w:vAlign w:val="center"/>
          </w:tcPr>
          <w:p>
            <w:pPr>
              <w:pStyle w:val="13"/>
            </w:pPr>
            <w:r>
              <w:t>项目完成时效</w:t>
            </w:r>
          </w:p>
        </w:tc>
        <w:tc>
          <w:tcPr>
            <w:tcW w:w="2268" w:type="dxa"/>
            <w:vAlign w:val="center"/>
          </w:tcPr>
          <w:p>
            <w:pPr>
              <w:pStyle w:val="13"/>
            </w:pPr>
            <w:r>
              <w:t>≤12月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项目持续发挥作用</w:t>
            </w:r>
          </w:p>
        </w:tc>
        <w:tc>
          <w:tcPr>
            <w:tcW w:w="5386" w:type="dxa"/>
            <w:vAlign w:val="center"/>
          </w:tcPr>
          <w:p>
            <w:pPr>
              <w:pStyle w:val="13"/>
            </w:pPr>
            <w:r>
              <w:t>项目持续发挥作用</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使用人员满意度</w:t>
            </w:r>
          </w:p>
        </w:tc>
        <w:tc>
          <w:tcPr>
            <w:tcW w:w="2268" w:type="dxa"/>
            <w:vAlign w:val="center"/>
          </w:tcPr>
          <w:p>
            <w:pPr>
              <w:pStyle w:val="13"/>
            </w:pPr>
            <w:r>
              <w:t>≥90%</w:t>
            </w:r>
          </w:p>
        </w:tc>
        <w:tc>
          <w:tcPr>
            <w:tcW w:w="1276" w:type="dxa"/>
            <w:vAlign w:val="center"/>
          </w:tcPr>
          <w:p>
            <w:pPr>
              <w:pStyle w:val="13"/>
            </w:pPr>
            <w:r>
              <w:t>历史经验</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2、2024纪检监察业务费绩效目标表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13011024P00321910008J</w:t>
            </w:r>
          </w:p>
        </w:tc>
        <w:tc>
          <w:tcPr>
            <w:tcW w:w="2835" w:type="dxa"/>
            <w:vAlign w:val="center"/>
          </w:tcPr>
          <w:p>
            <w:pPr>
              <w:pStyle w:val="11"/>
            </w:pPr>
            <w:r>
              <w:t>项目名称</w:t>
            </w:r>
          </w:p>
        </w:tc>
        <w:tc>
          <w:tcPr>
            <w:tcW w:w="6094" w:type="dxa"/>
            <w:gridSpan w:val="3"/>
            <w:vAlign w:val="center"/>
          </w:tcPr>
          <w:p>
            <w:pPr>
              <w:pStyle w:val="13"/>
            </w:pPr>
            <w:r>
              <w:t>2024纪检监察业务费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    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保障办案人员办案经费，办公用品及办案差旅费等支出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1.保障84人办案业务经费，维护党纪国法尊严，惩处腐败分子，有效遏制腐败现象。</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经费保障人数</w:t>
            </w:r>
          </w:p>
        </w:tc>
        <w:tc>
          <w:tcPr>
            <w:tcW w:w="5386" w:type="dxa"/>
            <w:vAlign w:val="center"/>
          </w:tcPr>
          <w:p>
            <w:pPr>
              <w:pStyle w:val="13"/>
            </w:pPr>
            <w:r>
              <w:t>保障办案人员数量</w:t>
            </w:r>
          </w:p>
        </w:tc>
        <w:tc>
          <w:tcPr>
            <w:tcW w:w="2268" w:type="dxa"/>
            <w:vAlign w:val="center"/>
          </w:tcPr>
          <w:p>
            <w:pPr>
              <w:pStyle w:val="13"/>
            </w:pPr>
            <w:r>
              <w:t>≥84人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案件办结率</w:t>
            </w:r>
          </w:p>
        </w:tc>
        <w:tc>
          <w:tcPr>
            <w:tcW w:w="5386" w:type="dxa"/>
            <w:vAlign w:val="center"/>
          </w:tcPr>
          <w:p>
            <w:pPr>
              <w:pStyle w:val="13"/>
            </w:pPr>
            <w:r>
              <w:t>案件办结率</w:t>
            </w:r>
          </w:p>
        </w:tc>
        <w:tc>
          <w:tcPr>
            <w:tcW w:w="2268" w:type="dxa"/>
            <w:vAlign w:val="center"/>
          </w:tcPr>
          <w:p>
            <w:pPr>
              <w:pStyle w:val="13"/>
            </w:pPr>
            <w:r>
              <w:t>≥85%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案件办理时限</w:t>
            </w:r>
          </w:p>
        </w:tc>
        <w:tc>
          <w:tcPr>
            <w:tcW w:w="5386" w:type="dxa"/>
            <w:vAlign w:val="center"/>
          </w:tcPr>
          <w:p>
            <w:pPr>
              <w:pStyle w:val="13"/>
            </w:pPr>
            <w:r>
              <w:t>案件办理时限</w:t>
            </w:r>
          </w:p>
        </w:tc>
        <w:tc>
          <w:tcPr>
            <w:tcW w:w="2268" w:type="dxa"/>
            <w:vAlign w:val="center"/>
          </w:tcPr>
          <w:p>
            <w:pPr>
              <w:pStyle w:val="13"/>
            </w:pPr>
            <w:r>
              <w:t>≤3月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按预算资金完成率</w:t>
            </w:r>
          </w:p>
        </w:tc>
        <w:tc>
          <w:tcPr>
            <w:tcW w:w="5386" w:type="dxa"/>
            <w:vAlign w:val="center"/>
          </w:tcPr>
          <w:p>
            <w:pPr>
              <w:pStyle w:val="13"/>
            </w:pPr>
            <w:r>
              <w:t>预算执行率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挽回经济损失</w:t>
            </w:r>
          </w:p>
        </w:tc>
        <w:tc>
          <w:tcPr>
            <w:tcW w:w="5386" w:type="dxa"/>
            <w:vAlign w:val="center"/>
          </w:tcPr>
          <w:p>
            <w:pPr>
              <w:pStyle w:val="13"/>
            </w:pPr>
            <w:r>
              <w:t>挽回经济损失</w:t>
            </w:r>
          </w:p>
        </w:tc>
        <w:tc>
          <w:tcPr>
            <w:tcW w:w="2268" w:type="dxa"/>
            <w:vAlign w:val="center"/>
          </w:tcPr>
          <w:p>
            <w:pPr>
              <w:pStyle w:val="13"/>
            </w:pPr>
            <w:r>
              <w:t>≥100万元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项目持续发挥作用</w:t>
            </w:r>
          </w:p>
        </w:tc>
        <w:tc>
          <w:tcPr>
            <w:tcW w:w="5386" w:type="dxa"/>
            <w:vAlign w:val="center"/>
          </w:tcPr>
          <w:p>
            <w:pPr>
              <w:pStyle w:val="13"/>
            </w:pPr>
            <w:r>
              <w:t>项目持续发挥作用</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rPr>
          <w:rFonts w:hint="eastAsia" w:eastAsia="方正仿宋_GBK"/>
          <w:highlight w:val="none"/>
          <w:lang w:eastAsia="zh-CN"/>
        </w:rPr>
      </w:pPr>
      <w:r>
        <w:rPr>
          <w:rFonts w:ascii="方正仿宋_GBK" w:hAnsi="方正仿宋_GBK" w:eastAsia="方正仿宋_GBK" w:cs="方正仿宋_GBK"/>
          <w:color w:val="000000"/>
          <w:sz w:val="28"/>
          <w:highlight w:val="none"/>
        </w:rPr>
        <w:t>3、</w:t>
      </w:r>
      <w:r>
        <w:rPr>
          <w:rFonts w:hint="eastAsia" w:ascii="方正仿宋_GBK" w:hAnsi="方正仿宋_GBK" w:eastAsia="方正仿宋_GBK" w:cs="方正仿宋_GBK"/>
          <w:color w:val="000000"/>
          <w:sz w:val="28"/>
          <w:highlight w:val="none"/>
          <w:lang w:eastAsia="zh-CN"/>
        </w:rPr>
        <w:t>涉密</w:t>
      </w:r>
    </w:p>
    <w:tbl>
      <w:tblPr>
        <w:tblStyle w:val="4"/>
        <w:tblW w:w="3061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gridCol w:w="1530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pPr>
              <w:pStyle w:val="12"/>
            </w:pPr>
          </w:p>
        </w:tc>
        <w:tc>
          <w:tcPr>
            <w:tcW w:w="15309" w:type="dxa"/>
            <w:tcBorders>
              <w:top w:val="single" w:color="FFFFFF" w:sz="6" w:space="0"/>
              <w:left w:val="single" w:color="FFFFFF" w:sz="6" w:space="0"/>
              <w:right w:val="single" w:color="FFFFFF" w:sz="6" w:space="0"/>
            </w:tcBorders>
            <w:vAlign w:val="center"/>
          </w:tcPr>
          <w:p>
            <w:pPr>
              <w:pStyle w:val="12"/>
            </w:pPr>
          </w:p>
        </w:tc>
      </w:tr>
    </w:tbl>
    <w:p>
      <w:pPr>
        <w:ind w:firstLine="560"/>
      </w:pPr>
      <w:r>
        <w:rPr>
          <w:rFonts w:ascii="方正仿宋_GBK" w:hAnsi="方正仿宋_GBK" w:eastAsia="方正仿宋_GBK" w:cs="方正仿宋_GBK"/>
          <w:color w:val="000000"/>
          <w:sz w:val="28"/>
        </w:rPr>
        <w:t>4、2024乡镇纪检监察业务费绩效目标表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13011024P003219100096</w:t>
            </w:r>
          </w:p>
        </w:tc>
        <w:tc>
          <w:tcPr>
            <w:tcW w:w="2835" w:type="dxa"/>
            <w:vAlign w:val="center"/>
          </w:tcPr>
          <w:p>
            <w:pPr>
              <w:pStyle w:val="11"/>
            </w:pPr>
            <w:r>
              <w:t>项目名称</w:t>
            </w:r>
          </w:p>
        </w:tc>
        <w:tc>
          <w:tcPr>
            <w:tcW w:w="6094" w:type="dxa"/>
            <w:gridSpan w:val="3"/>
            <w:vAlign w:val="center"/>
          </w:tcPr>
          <w:p>
            <w:pPr>
              <w:pStyle w:val="13"/>
            </w:pPr>
            <w:r>
              <w:t>2024乡镇纪检监察业务费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27.00</w:t>
            </w:r>
          </w:p>
        </w:tc>
        <w:tc>
          <w:tcPr>
            <w:tcW w:w="2835" w:type="dxa"/>
            <w:vAlign w:val="center"/>
          </w:tcPr>
          <w:p>
            <w:pPr>
              <w:pStyle w:val="11"/>
            </w:pPr>
            <w:r>
              <w:t>其中：财政    资金</w:t>
            </w:r>
          </w:p>
        </w:tc>
        <w:tc>
          <w:tcPr>
            <w:tcW w:w="2551" w:type="dxa"/>
            <w:vAlign w:val="center"/>
          </w:tcPr>
          <w:p>
            <w:pPr>
              <w:pStyle w:val="13"/>
            </w:pPr>
            <w:r>
              <w:t>27.00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乡镇纪委办案人员经费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1.该经费用于保障45名乡镇纪检人员办案业务经费，可使监督执纪工作向纵深发展，全覆盖。</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经费保障人数</w:t>
            </w:r>
          </w:p>
        </w:tc>
        <w:tc>
          <w:tcPr>
            <w:tcW w:w="5386" w:type="dxa"/>
            <w:vAlign w:val="center"/>
          </w:tcPr>
          <w:p>
            <w:pPr>
              <w:pStyle w:val="13"/>
            </w:pPr>
            <w:r>
              <w:t>经费保障人数</w:t>
            </w:r>
          </w:p>
        </w:tc>
        <w:tc>
          <w:tcPr>
            <w:tcW w:w="2268" w:type="dxa"/>
            <w:vAlign w:val="center"/>
          </w:tcPr>
          <w:p>
            <w:pPr>
              <w:pStyle w:val="13"/>
            </w:pPr>
            <w:r>
              <w:t>45人</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案件办结率</w:t>
            </w:r>
          </w:p>
        </w:tc>
        <w:tc>
          <w:tcPr>
            <w:tcW w:w="5386" w:type="dxa"/>
            <w:vAlign w:val="center"/>
          </w:tcPr>
          <w:p>
            <w:pPr>
              <w:pStyle w:val="13"/>
            </w:pPr>
            <w:r>
              <w:t>案件办结率</w:t>
            </w:r>
          </w:p>
        </w:tc>
        <w:tc>
          <w:tcPr>
            <w:tcW w:w="2268" w:type="dxa"/>
            <w:vAlign w:val="center"/>
          </w:tcPr>
          <w:p>
            <w:pPr>
              <w:pStyle w:val="13"/>
            </w:pPr>
            <w:r>
              <w:t>≥85%</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案件处理时间</w:t>
            </w:r>
          </w:p>
        </w:tc>
        <w:tc>
          <w:tcPr>
            <w:tcW w:w="5386" w:type="dxa"/>
            <w:vAlign w:val="center"/>
          </w:tcPr>
          <w:p>
            <w:pPr>
              <w:pStyle w:val="13"/>
            </w:pPr>
            <w:r>
              <w:t>案件处理时间</w:t>
            </w:r>
          </w:p>
        </w:tc>
        <w:tc>
          <w:tcPr>
            <w:tcW w:w="2268" w:type="dxa"/>
            <w:vAlign w:val="center"/>
          </w:tcPr>
          <w:p>
            <w:pPr>
              <w:pStyle w:val="13"/>
            </w:pPr>
            <w:r>
              <w:t>≤3月</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完成工作需要费用成本</w:t>
            </w:r>
          </w:p>
        </w:tc>
        <w:tc>
          <w:tcPr>
            <w:tcW w:w="5386" w:type="dxa"/>
            <w:vAlign w:val="center"/>
          </w:tcPr>
          <w:p>
            <w:pPr>
              <w:pStyle w:val="13"/>
            </w:pPr>
            <w:r>
              <w:t>完成工作需要费用成本</w:t>
            </w:r>
          </w:p>
        </w:tc>
        <w:tc>
          <w:tcPr>
            <w:tcW w:w="2268" w:type="dxa"/>
            <w:vAlign w:val="center"/>
          </w:tcPr>
          <w:p>
            <w:pPr>
              <w:pStyle w:val="13"/>
            </w:pPr>
            <w:r>
              <w:t>≤27万元</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项目持续发生作用</w:t>
            </w:r>
          </w:p>
        </w:tc>
        <w:tc>
          <w:tcPr>
            <w:tcW w:w="5386" w:type="dxa"/>
            <w:vAlign w:val="center"/>
          </w:tcPr>
          <w:p>
            <w:pPr>
              <w:pStyle w:val="13"/>
            </w:pPr>
            <w:r>
              <w:t>项目持续发生作用</w:t>
            </w:r>
          </w:p>
        </w:tc>
        <w:tc>
          <w:tcPr>
            <w:tcW w:w="2268" w:type="dxa"/>
            <w:vAlign w:val="center"/>
          </w:tcPr>
          <w:p>
            <w:pPr>
              <w:pStyle w:val="13"/>
            </w:pPr>
            <w:r>
              <w:t>≥1年</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挽回经济损失</w:t>
            </w:r>
          </w:p>
        </w:tc>
        <w:tc>
          <w:tcPr>
            <w:tcW w:w="5386" w:type="dxa"/>
            <w:vAlign w:val="center"/>
          </w:tcPr>
          <w:p>
            <w:pPr>
              <w:pStyle w:val="13"/>
            </w:pPr>
            <w:r>
              <w:t>挽回经济损失</w:t>
            </w:r>
          </w:p>
        </w:tc>
        <w:tc>
          <w:tcPr>
            <w:tcW w:w="2268" w:type="dxa"/>
            <w:vAlign w:val="center"/>
          </w:tcPr>
          <w:p>
            <w:pPr>
              <w:pStyle w:val="13"/>
            </w:pPr>
            <w:r>
              <w:t>10万元</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办案人员被投诉次数</w:t>
            </w:r>
          </w:p>
        </w:tc>
        <w:tc>
          <w:tcPr>
            <w:tcW w:w="5386" w:type="dxa"/>
            <w:vAlign w:val="center"/>
          </w:tcPr>
          <w:p>
            <w:pPr>
              <w:pStyle w:val="13"/>
            </w:pPr>
            <w:r>
              <w:t>办案人员被投诉次数</w:t>
            </w:r>
          </w:p>
        </w:tc>
        <w:tc>
          <w:tcPr>
            <w:tcW w:w="2268" w:type="dxa"/>
            <w:vAlign w:val="center"/>
          </w:tcPr>
          <w:p>
            <w:pPr>
              <w:pStyle w:val="13"/>
            </w:pPr>
            <w:r>
              <w:t>≤3次</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5、2024巡视巡察专项经费绩效目标表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13011024P00321910010H</w:t>
            </w:r>
          </w:p>
        </w:tc>
        <w:tc>
          <w:tcPr>
            <w:tcW w:w="2835" w:type="dxa"/>
            <w:vAlign w:val="center"/>
          </w:tcPr>
          <w:p>
            <w:pPr>
              <w:pStyle w:val="11"/>
            </w:pPr>
            <w:r>
              <w:t>项目名称</w:t>
            </w:r>
          </w:p>
        </w:tc>
        <w:tc>
          <w:tcPr>
            <w:tcW w:w="6094" w:type="dxa"/>
            <w:gridSpan w:val="3"/>
            <w:vAlign w:val="center"/>
          </w:tcPr>
          <w:p>
            <w:pPr>
              <w:pStyle w:val="13"/>
            </w:pPr>
            <w:r>
              <w:t>2024巡视巡察专项经费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120.00</w:t>
            </w:r>
          </w:p>
        </w:tc>
        <w:tc>
          <w:tcPr>
            <w:tcW w:w="2835" w:type="dxa"/>
            <w:vAlign w:val="center"/>
          </w:tcPr>
          <w:p>
            <w:pPr>
              <w:pStyle w:val="11"/>
            </w:pPr>
            <w:r>
              <w:t>其中：财政    资金</w:t>
            </w:r>
          </w:p>
        </w:tc>
        <w:tc>
          <w:tcPr>
            <w:tcW w:w="2551" w:type="dxa"/>
            <w:vAlign w:val="center"/>
          </w:tcPr>
          <w:p>
            <w:pPr>
              <w:pStyle w:val="13"/>
            </w:pPr>
            <w:r>
              <w:t>120.00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巡视巡察办案人员经费、办公费、差旅费等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1.保障平均每轮12人，全年四轮每轮两个月的巡察经费，通过巡察发现问题、形成震慑，推动党中央、省委、市委和县（区）党委重大决策部署，从严治党，遏制腐败。</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日常巡察平均人力</w:t>
            </w:r>
          </w:p>
        </w:tc>
        <w:tc>
          <w:tcPr>
            <w:tcW w:w="5386" w:type="dxa"/>
            <w:vAlign w:val="center"/>
          </w:tcPr>
          <w:p>
            <w:pPr>
              <w:pStyle w:val="13"/>
            </w:pPr>
            <w:r>
              <w:t>日常巡察平均人力</w:t>
            </w:r>
          </w:p>
        </w:tc>
        <w:tc>
          <w:tcPr>
            <w:tcW w:w="2268" w:type="dxa"/>
            <w:vAlign w:val="center"/>
          </w:tcPr>
          <w:p>
            <w:pPr>
              <w:pStyle w:val="13"/>
            </w:pPr>
            <w:r>
              <w:t>≥12人</w:t>
            </w:r>
          </w:p>
        </w:tc>
        <w:tc>
          <w:tcPr>
            <w:tcW w:w="1276" w:type="dxa"/>
            <w:vAlign w:val="center"/>
          </w:tcPr>
          <w:p>
            <w:pPr>
              <w:pStyle w:val="13"/>
            </w:pPr>
            <w:r>
              <w:t>石家庄市委巡察统一部署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发现问题数量</w:t>
            </w:r>
          </w:p>
        </w:tc>
        <w:tc>
          <w:tcPr>
            <w:tcW w:w="5386" w:type="dxa"/>
            <w:vAlign w:val="center"/>
          </w:tcPr>
          <w:p>
            <w:pPr>
              <w:pStyle w:val="13"/>
            </w:pPr>
            <w:r>
              <w:t>发现问题数量</w:t>
            </w:r>
          </w:p>
        </w:tc>
        <w:tc>
          <w:tcPr>
            <w:tcW w:w="2268" w:type="dxa"/>
            <w:vAlign w:val="center"/>
          </w:tcPr>
          <w:p>
            <w:pPr>
              <w:pStyle w:val="13"/>
            </w:pPr>
            <w:r>
              <w:t>≥40个</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任务完成时间</w:t>
            </w:r>
          </w:p>
        </w:tc>
        <w:tc>
          <w:tcPr>
            <w:tcW w:w="5386" w:type="dxa"/>
            <w:vAlign w:val="center"/>
          </w:tcPr>
          <w:p>
            <w:pPr>
              <w:pStyle w:val="13"/>
            </w:pPr>
            <w:r>
              <w:t>任务完成时间</w:t>
            </w:r>
          </w:p>
        </w:tc>
        <w:tc>
          <w:tcPr>
            <w:tcW w:w="2268" w:type="dxa"/>
            <w:vAlign w:val="center"/>
          </w:tcPr>
          <w:p>
            <w:pPr>
              <w:pStyle w:val="13"/>
            </w:pPr>
            <w:r>
              <w:t>≤2月</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巡察费用</w:t>
            </w:r>
          </w:p>
        </w:tc>
        <w:tc>
          <w:tcPr>
            <w:tcW w:w="5386" w:type="dxa"/>
            <w:vAlign w:val="center"/>
          </w:tcPr>
          <w:p>
            <w:pPr>
              <w:pStyle w:val="13"/>
            </w:pPr>
            <w:r>
              <w:t>日巡察费用</w:t>
            </w:r>
          </w:p>
        </w:tc>
        <w:tc>
          <w:tcPr>
            <w:tcW w:w="2268" w:type="dxa"/>
            <w:vAlign w:val="center"/>
          </w:tcPr>
          <w:p>
            <w:pPr>
              <w:pStyle w:val="13"/>
            </w:pPr>
            <w:r>
              <w:t>≤400元</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可持续影响力</w:t>
            </w:r>
          </w:p>
        </w:tc>
        <w:tc>
          <w:tcPr>
            <w:tcW w:w="5386" w:type="dxa"/>
            <w:vAlign w:val="center"/>
          </w:tcPr>
          <w:p>
            <w:pPr>
              <w:pStyle w:val="13"/>
            </w:pPr>
            <w:r>
              <w:t>可持续影响时间</w:t>
            </w:r>
          </w:p>
        </w:tc>
        <w:tc>
          <w:tcPr>
            <w:tcW w:w="2268" w:type="dxa"/>
            <w:vAlign w:val="center"/>
          </w:tcPr>
          <w:p>
            <w:pPr>
              <w:pStyle w:val="13"/>
            </w:pPr>
            <w:r>
              <w:t>≥1年</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持续提高</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rPr>
          <w:rFonts w:ascii="方正小标宋_GBK" w:hAnsi="方正小标宋_GBK" w:eastAsia="方正小标宋_GBK" w:cs="方正小标宋_GBK"/>
          <w:color w:val="000000"/>
          <w:sz w:val="36"/>
        </w:rPr>
      </w:pPr>
    </w:p>
    <w:p>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222中国共产党石家庄市鹿泉区纪律检查委员会</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72.28</w:t>
            </w:r>
          </w:p>
        </w:tc>
        <w:tc>
          <w:tcPr>
            <w:tcW w:w="964" w:type="dxa"/>
            <w:vAlign w:val="center"/>
          </w:tcPr>
          <w:p>
            <w:pPr>
              <w:pStyle w:val="16"/>
            </w:pPr>
            <w:r>
              <w:t>72.28</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72.28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中国共产党石家庄市鹿泉区纪律检查委员会本级小计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72.28</w:t>
            </w:r>
          </w:p>
        </w:tc>
        <w:tc>
          <w:tcPr>
            <w:tcW w:w="964" w:type="dxa"/>
            <w:vAlign w:val="center"/>
          </w:tcPr>
          <w:p>
            <w:pPr>
              <w:pStyle w:val="16"/>
            </w:pPr>
            <w:r>
              <w:t>72.28</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72.28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2024办案一体化工作平台建设</w:t>
            </w:r>
          </w:p>
        </w:tc>
        <w:tc>
          <w:tcPr>
            <w:tcW w:w="964" w:type="dxa"/>
            <w:vAlign w:val="center"/>
          </w:tcPr>
          <w:p>
            <w:pPr>
              <w:pStyle w:val="12"/>
            </w:pPr>
            <w:r>
              <w:t>30.00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10</w:t>
            </w:r>
          </w:p>
        </w:tc>
        <w:tc>
          <w:tcPr>
            <w:tcW w:w="850" w:type="dxa"/>
            <w:vAlign w:val="center"/>
          </w:tcPr>
          <w:p>
            <w:pPr>
              <w:pStyle w:val="12"/>
            </w:pPr>
            <w:r>
              <w:t>0.79</w:t>
            </w:r>
          </w:p>
        </w:tc>
        <w:tc>
          <w:tcPr>
            <w:tcW w:w="964" w:type="dxa"/>
            <w:vAlign w:val="center"/>
          </w:tcPr>
          <w:p>
            <w:pPr>
              <w:pStyle w:val="12"/>
            </w:pPr>
            <w:r>
              <w:t>7.90</w:t>
            </w:r>
          </w:p>
        </w:tc>
        <w:tc>
          <w:tcPr>
            <w:tcW w:w="964" w:type="dxa"/>
            <w:vAlign w:val="center"/>
          </w:tcPr>
          <w:p>
            <w:pPr>
              <w:pStyle w:val="12"/>
            </w:pPr>
            <w:r>
              <w:t>7.90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2024办案一体化工作平台建设</w:t>
            </w:r>
          </w:p>
        </w:tc>
        <w:tc>
          <w:tcPr>
            <w:tcW w:w="964" w:type="dxa"/>
            <w:vAlign w:val="center"/>
          </w:tcPr>
          <w:p>
            <w:pPr>
              <w:pStyle w:val="12"/>
            </w:pPr>
            <w:r>
              <w:t>30.00</w:t>
            </w:r>
          </w:p>
        </w:tc>
        <w:tc>
          <w:tcPr>
            <w:tcW w:w="1134" w:type="dxa"/>
            <w:vAlign w:val="center"/>
          </w:tcPr>
          <w:p>
            <w:pPr>
              <w:pStyle w:val="13"/>
            </w:pPr>
            <w:r>
              <w:t>交换设备</w:t>
            </w:r>
          </w:p>
        </w:tc>
        <w:tc>
          <w:tcPr>
            <w:tcW w:w="1134" w:type="dxa"/>
            <w:vAlign w:val="center"/>
          </w:tcPr>
          <w:p>
            <w:pPr>
              <w:pStyle w:val="13"/>
            </w:pPr>
            <w:r>
              <w:t>A02010202</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1.20</w:t>
            </w:r>
          </w:p>
        </w:tc>
        <w:tc>
          <w:tcPr>
            <w:tcW w:w="964" w:type="dxa"/>
            <w:vAlign w:val="center"/>
          </w:tcPr>
          <w:p>
            <w:pPr>
              <w:pStyle w:val="12"/>
            </w:pPr>
            <w:r>
              <w:t>1.20</w:t>
            </w:r>
          </w:p>
        </w:tc>
        <w:tc>
          <w:tcPr>
            <w:tcW w:w="964" w:type="dxa"/>
            <w:vAlign w:val="center"/>
          </w:tcPr>
          <w:p>
            <w:pPr>
              <w:pStyle w:val="12"/>
            </w:pPr>
            <w:r>
              <w:t>1.20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2024办案一体化工作平台建设</w:t>
            </w:r>
          </w:p>
        </w:tc>
        <w:tc>
          <w:tcPr>
            <w:tcW w:w="964" w:type="dxa"/>
            <w:vAlign w:val="center"/>
          </w:tcPr>
          <w:p>
            <w:pPr>
              <w:pStyle w:val="12"/>
            </w:pPr>
            <w:r>
              <w:t>30.00</w:t>
            </w:r>
          </w:p>
        </w:tc>
        <w:tc>
          <w:tcPr>
            <w:tcW w:w="1134" w:type="dxa"/>
            <w:vAlign w:val="center"/>
          </w:tcPr>
          <w:p>
            <w:pPr>
              <w:pStyle w:val="13"/>
            </w:pPr>
            <w:r>
              <w:t>信息化设备零部件</w:t>
            </w:r>
          </w:p>
        </w:tc>
        <w:tc>
          <w:tcPr>
            <w:tcW w:w="1134" w:type="dxa"/>
            <w:vAlign w:val="center"/>
          </w:tcPr>
          <w:p>
            <w:pPr>
              <w:pStyle w:val="13"/>
            </w:pPr>
            <w:r>
              <w:t>A02010700</w:t>
            </w:r>
          </w:p>
        </w:tc>
        <w:tc>
          <w:tcPr>
            <w:tcW w:w="709" w:type="dxa"/>
            <w:vAlign w:val="center"/>
          </w:tcPr>
          <w:p>
            <w:pPr>
              <w:pStyle w:val="14"/>
            </w:pPr>
            <w:r>
              <w:t>套</w:t>
            </w:r>
          </w:p>
        </w:tc>
        <w:tc>
          <w:tcPr>
            <w:tcW w:w="850" w:type="dxa"/>
            <w:vAlign w:val="center"/>
          </w:tcPr>
          <w:p>
            <w:pPr>
              <w:pStyle w:val="12"/>
            </w:pPr>
            <w:r>
              <w:t>10</w:t>
            </w:r>
          </w:p>
        </w:tc>
        <w:tc>
          <w:tcPr>
            <w:tcW w:w="850" w:type="dxa"/>
            <w:vAlign w:val="center"/>
          </w:tcPr>
          <w:p>
            <w:pPr>
              <w:pStyle w:val="12"/>
            </w:pPr>
            <w:r>
              <w:t>1.08</w:t>
            </w:r>
          </w:p>
        </w:tc>
        <w:tc>
          <w:tcPr>
            <w:tcW w:w="964" w:type="dxa"/>
            <w:vAlign w:val="center"/>
          </w:tcPr>
          <w:p>
            <w:pPr>
              <w:pStyle w:val="12"/>
            </w:pPr>
            <w:r>
              <w:t>10.80</w:t>
            </w:r>
          </w:p>
        </w:tc>
        <w:tc>
          <w:tcPr>
            <w:tcW w:w="964" w:type="dxa"/>
            <w:vAlign w:val="center"/>
          </w:tcPr>
          <w:p>
            <w:pPr>
              <w:pStyle w:val="12"/>
            </w:pPr>
            <w:r>
              <w:t>10.80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2024办案一体化工作平台建设</w:t>
            </w:r>
          </w:p>
        </w:tc>
        <w:tc>
          <w:tcPr>
            <w:tcW w:w="964" w:type="dxa"/>
            <w:vAlign w:val="center"/>
          </w:tcPr>
          <w:p>
            <w:pPr>
              <w:pStyle w:val="12"/>
            </w:pPr>
            <w:r>
              <w:t>30.00</w:t>
            </w:r>
          </w:p>
        </w:tc>
        <w:tc>
          <w:tcPr>
            <w:tcW w:w="1134" w:type="dxa"/>
            <w:vAlign w:val="center"/>
          </w:tcPr>
          <w:p>
            <w:pPr>
              <w:pStyle w:val="13"/>
            </w:pPr>
            <w:r>
              <w:t>A4 彩色打印机</w:t>
            </w:r>
          </w:p>
        </w:tc>
        <w:tc>
          <w:tcPr>
            <w:tcW w:w="1134" w:type="dxa"/>
            <w:vAlign w:val="center"/>
          </w:tcPr>
          <w:p>
            <w:pPr>
              <w:pStyle w:val="13"/>
            </w:pPr>
            <w:r>
              <w:t>A02021004</w:t>
            </w:r>
          </w:p>
        </w:tc>
        <w:tc>
          <w:tcPr>
            <w:tcW w:w="709" w:type="dxa"/>
            <w:vAlign w:val="center"/>
          </w:tcPr>
          <w:p>
            <w:pPr>
              <w:pStyle w:val="14"/>
            </w:pPr>
            <w:r>
              <w:t>台</w:t>
            </w:r>
          </w:p>
        </w:tc>
        <w:tc>
          <w:tcPr>
            <w:tcW w:w="850" w:type="dxa"/>
            <w:vAlign w:val="center"/>
          </w:tcPr>
          <w:p>
            <w:pPr>
              <w:pStyle w:val="12"/>
            </w:pPr>
            <w:r>
              <w:t>10</w:t>
            </w:r>
          </w:p>
        </w:tc>
        <w:tc>
          <w:tcPr>
            <w:tcW w:w="850" w:type="dxa"/>
            <w:vAlign w:val="center"/>
          </w:tcPr>
          <w:p>
            <w:pPr>
              <w:pStyle w:val="12"/>
            </w:pPr>
            <w:r>
              <w:t>0.65</w:t>
            </w:r>
          </w:p>
        </w:tc>
        <w:tc>
          <w:tcPr>
            <w:tcW w:w="964" w:type="dxa"/>
            <w:vAlign w:val="center"/>
          </w:tcPr>
          <w:p>
            <w:pPr>
              <w:pStyle w:val="12"/>
            </w:pPr>
            <w:r>
              <w:t>6.50</w:t>
            </w:r>
          </w:p>
        </w:tc>
        <w:tc>
          <w:tcPr>
            <w:tcW w:w="964" w:type="dxa"/>
            <w:vAlign w:val="center"/>
          </w:tcPr>
          <w:p>
            <w:pPr>
              <w:pStyle w:val="12"/>
            </w:pPr>
            <w:r>
              <w:t>6.50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2024办案一体化工作平台建设</w:t>
            </w:r>
          </w:p>
        </w:tc>
        <w:tc>
          <w:tcPr>
            <w:tcW w:w="964" w:type="dxa"/>
            <w:vAlign w:val="center"/>
          </w:tcPr>
          <w:p>
            <w:pPr>
              <w:pStyle w:val="12"/>
            </w:pPr>
            <w:r>
              <w:t>30.00</w:t>
            </w:r>
          </w:p>
        </w:tc>
        <w:tc>
          <w:tcPr>
            <w:tcW w:w="1134" w:type="dxa"/>
            <w:vAlign w:val="center"/>
          </w:tcPr>
          <w:p>
            <w:pPr>
              <w:pStyle w:val="13"/>
            </w:pPr>
            <w:r>
              <w:t>扫描仪</w:t>
            </w:r>
          </w:p>
        </w:tc>
        <w:tc>
          <w:tcPr>
            <w:tcW w:w="1134" w:type="dxa"/>
            <w:vAlign w:val="center"/>
          </w:tcPr>
          <w:p>
            <w:pPr>
              <w:pStyle w:val="13"/>
            </w:pPr>
            <w:r>
              <w:t>A02021118</w:t>
            </w:r>
          </w:p>
        </w:tc>
        <w:tc>
          <w:tcPr>
            <w:tcW w:w="709" w:type="dxa"/>
            <w:vAlign w:val="center"/>
          </w:tcPr>
          <w:p>
            <w:pPr>
              <w:pStyle w:val="14"/>
            </w:pPr>
            <w:r>
              <w:t>台</w:t>
            </w:r>
          </w:p>
        </w:tc>
        <w:tc>
          <w:tcPr>
            <w:tcW w:w="850" w:type="dxa"/>
            <w:vAlign w:val="center"/>
          </w:tcPr>
          <w:p>
            <w:pPr>
              <w:pStyle w:val="12"/>
            </w:pPr>
            <w:r>
              <w:t>6</w:t>
            </w:r>
          </w:p>
        </w:tc>
        <w:tc>
          <w:tcPr>
            <w:tcW w:w="850" w:type="dxa"/>
            <w:vAlign w:val="center"/>
          </w:tcPr>
          <w:p>
            <w:pPr>
              <w:pStyle w:val="12"/>
            </w:pPr>
            <w:r>
              <w:t>0.60</w:t>
            </w:r>
          </w:p>
        </w:tc>
        <w:tc>
          <w:tcPr>
            <w:tcW w:w="964" w:type="dxa"/>
            <w:vAlign w:val="center"/>
          </w:tcPr>
          <w:p>
            <w:pPr>
              <w:pStyle w:val="12"/>
            </w:pPr>
            <w:r>
              <w:t>3.60</w:t>
            </w:r>
          </w:p>
        </w:tc>
        <w:tc>
          <w:tcPr>
            <w:tcW w:w="964" w:type="dxa"/>
            <w:vAlign w:val="center"/>
          </w:tcPr>
          <w:p>
            <w:pPr>
              <w:pStyle w:val="12"/>
            </w:pPr>
            <w:r>
              <w:t>3.60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2024纪检监察业务费</w:t>
            </w:r>
          </w:p>
        </w:tc>
        <w:tc>
          <w:tcPr>
            <w:tcW w:w="964" w:type="dxa"/>
            <w:vAlign w:val="center"/>
          </w:tcPr>
          <w:p>
            <w:pPr>
              <w:pStyle w:val="12"/>
            </w:pPr>
            <w:r>
              <w:t>200.00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20</w:t>
            </w:r>
          </w:p>
        </w:tc>
        <w:tc>
          <w:tcPr>
            <w:tcW w:w="850" w:type="dxa"/>
            <w:vAlign w:val="center"/>
          </w:tcPr>
          <w:p>
            <w:pPr>
              <w:pStyle w:val="12"/>
            </w:pPr>
            <w:r>
              <w:t>0.50</w:t>
            </w:r>
          </w:p>
        </w:tc>
        <w:tc>
          <w:tcPr>
            <w:tcW w:w="964" w:type="dxa"/>
            <w:vAlign w:val="center"/>
          </w:tcPr>
          <w:p>
            <w:pPr>
              <w:pStyle w:val="12"/>
            </w:pPr>
            <w:r>
              <w:t>10.00</w:t>
            </w:r>
          </w:p>
        </w:tc>
        <w:tc>
          <w:tcPr>
            <w:tcW w:w="964" w:type="dxa"/>
            <w:vAlign w:val="center"/>
          </w:tcPr>
          <w:p>
            <w:pPr>
              <w:pStyle w:val="12"/>
            </w:pPr>
            <w:r>
              <w:t>10.00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2024纪检监察业务费</w:t>
            </w:r>
          </w:p>
        </w:tc>
        <w:tc>
          <w:tcPr>
            <w:tcW w:w="964" w:type="dxa"/>
            <w:vAlign w:val="center"/>
          </w:tcPr>
          <w:p>
            <w:pPr>
              <w:pStyle w:val="12"/>
            </w:pPr>
            <w:r>
              <w:t>200.00</w:t>
            </w:r>
          </w:p>
        </w:tc>
        <w:tc>
          <w:tcPr>
            <w:tcW w:w="1134" w:type="dxa"/>
            <w:vAlign w:val="center"/>
          </w:tcPr>
          <w:p>
            <w:pPr>
              <w:pStyle w:val="13"/>
            </w:pPr>
            <w:r>
              <w:t>便携式计算机</w:t>
            </w:r>
          </w:p>
        </w:tc>
        <w:tc>
          <w:tcPr>
            <w:tcW w:w="1134" w:type="dxa"/>
            <w:vAlign w:val="center"/>
          </w:tcPr>
          <w:p>
            <w:pPr>
              <w:pStyle w:val="13"/>
            </w:pPr>
            <w:r>
              <w:t>A02010108</w:t>
            </w:r>
          </w:p>
        </w:tc>
        <w:tc>
          <w:tcPr>
            <w:tcW w:w="709" w:type="dxa"/>
            <w:vAlign w:val="center"/>
          </w:tcPr>
          <w:p>
            <w:pPr>
              <w:pStyle w:val="14"/>
            </w:pPr>
            <w:r>
              <w:t>台</w:t>
            </w:r>
          </w:p>
        </w:tc>
        <w:tc>
          <w:tcPr>
            <w:tcW w:w="850" w:type="dxa"/>
            <w:vAlign w:val="center"/>
          </w:tcPr>
          <w:p>
            <w:pPr>
              <w:pStyle w:val="12"/>
            </w:pPr>
            <w:r>
              <w:t>20</w:t>
            </w:r>
          </w:p>
        </w:tc>
        <w:tc>
          <w:tcPr>
            <w:tcW w:w="850" w:type="dxa"/>
            <w:vAlign w:val="center"/>
          </w:tcPr>
          <w:p>
            <w:pPr>
              <w:pStyle w:val="12"/>
            </w:pPr>
            <w:r>
              <w:t>0.60</w:t>
            </w:r>
          </w:p>
        </w:tc>
        <w:tc>
          <w:tcPr>
            <w:tcW w:w="964" w:type="dxa"/>
            <w:vAlign w:val="center"/>
          </w:tcPr>
          <w:p>
            <w:pPr>
              <w:pStyle w:val="12"/>
            </w:pPr>
            <w:r>
              <w:t>12.00</w:t>
            </w:r>
          </w:p>
        </w:tc>
        <w:tc>
          <w:tcPr>
            <w:tcW w:w="964" w:type="dxa"/>
            <w:vAlign w:val="center"/>
          </w:tcPr>
          <w:p>
            <w:pPr>
              <w:pStyle w:val="12"/>
            </w:pPr>
            <w:r>
              <w:t>12.00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2024纪检监察业务费</w:t>
            </w:r>
          </w:p>
        </w:tc>
        <w:tc>
          <w:tcPr>
            <w:tcW w:w="964" w:type="dxa"/>
            <w:vAlign w:val="center"/>
          </w:tcPr>
          <w:p>
            <w:pPr>
              <w:pStyle w:val="12"/>
            </w:pPr>
            <w:r>
              <w:t>200.00</w:t>
            </w:r>
          </w:p>
        </w:tc>
        <w:tc>
          <w:tcPr>
            <w:tcW w:w="1134" w:type="dxa"/>
            <w:vAlign w:val="center"/>
          </w:tcPr>
          <w:p>
            <w:pPr>
              <w:pStyle w:val="13"/>
            </w:pPr>
            <w:r>
              <w:t>数字照相机</w:t>
            </w:r>
          </w:p>
        </w:tc>
        <w:tc>
          <w:tcPr>
            <w:tcW w:w="1134" w:type="dxa"/>
            <w:vAlign w:val="center"/>
          </w:tcPr>
          <w:p>
            <w:pPr>
              <w:pStyle w:val="13"/>
            </w:pPr>
            <w:r>
              <w:t>A02020501</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0.30</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2024纪检监察业务费</w:t>
            </w:r>
          </w:p>
        </w:tc>
        <w:tc>
          <w:tcPr>
            <w:tcW w:w="964" w:type="dxa"/>
            <w:vAlign w:val="center"/>
          </w:tcPr>
          <w:p>
            <w:pPr>
              <w:pStyle w:val="12"/>
            </w:pPr>
            <w:r>
              <w:t>200.00</w:t>
            </w:r>
          </w:p>
        </w:tc>
        <w:tc>
          <w:tcPr>
            <w:tcW w:w="1134" w:type="dxa"/>
            <w:vAlign w:val="center"/>
          </w:tcPr>
          <w:p>
            <w:pPr>
              <w:pStyle w:val="13"/>
            </w:pPr>
            <w:r>
              <w:t>静态视频照相机</w:t>
            </w:r>
          </w:p>
        </w:tc>
        <w:tc>
          <w:tcPr>
            <w:tcW w:w="1134" w:type="dxa"/>
            <w:vAlign w:val="center"/>
          </w:tcPr>
          <w:p>
            <w:pPr>
              <w:pStyle w:val="13"/>
            </w:pPr>
            <w:r>
              <w:t>A02020503</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1.00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2024纪检监察业务费</w:t>
            </w:r>
          </w:p>
        </w:tc>
        <w:tc>
          <w:tcPr>
            <w:tcW w:w="964" w:type="dxa"/>
            <w:vAlign w:val="center"/>
          </w:tcPr>
          <w:p>
            <w:pPr>
              <w:pStyle w:val="12"/>
            </w:pPr>
            <w:r>
              <w:t>200.00</w:t>
            </w:r>
          </w:p>
        </w:tc>
        <w:tc>
          <w:tcPr>
            <w:tcW w:w="1134" w:type="dxa"/>
            <w:vAlign w:val="center"/>
          </w:tcPr>
          <w:p>
            <w:pPr>
              <w:pStyle w:val="13"/>
            </w:pPr>
            <w:r>
              <w:t>A4 黑白打印机</w:t>
            </w:r>
          </w:p>
        </w:tc>
        <w:tc>
          <w:tcPr>
            <w:tcW w:w="1134" w:type="dxa"/>
            <w:vAlign w:val="center"/>
          </w:tcPr>
          <w:p>
            <w:pPr>
              <w:pStyle w:val="13"/>
            </w:pPr>
            <w:r>
              <w:t>A02021003</w:t>
            </w:r>
          </w:p>
        </w:tc>
        <w:tc>
          <w:tcPr>
            <w:tcW w:w="709" w:type="dxa"/>
            <w:vAlign w:val="center"/>
          </w:tcPr>
          <w:p>
            <w:pPr>
              <w:pStyle w:val="14"/>
            </w:pPr>
            <w:r>
              <w:t>台</w:t>
            </w:r>
          </w:p>
        </w:tc>
        <w:tc>
          <w:tcPr>
            <w:tcW w:w="850" w:type="dxa"/>
            <w:vAlign w:val="center"/>
          </w:tcPr>
          <w:p>
            <w:pPr>
              <w:pStyle w:val="12"/>
            </w:pPr>
            <w:r>
              <w:t>20</w:t>
            </w:r>
          </w:p>
        </w:tc>
        <w:tc>
          <w:tcPr>
            <w:tcW w:w="850" w:type="dxa"/>
            <w:vAlign w:val="center"/>
          </w:tcPr>
          <w:p>
            <w:pPr>
              <w:pStyle w:val="12"/>
            </w:pPr>
            <w:r>
              <w:t>0.30</w:t>
            </w:r>
          </w:p>
        </w:tc>
        <w:tc>
          <w:tcPr>
            <w:tcW w:w="964" w:type="dxa"/>
            <w:vAlign w:val="center"/>
          </w:tcPr>
          <w:p>
            <w:pPr>
              <w:pStyle w:val="12"/>
            </w:pPr>
            <w:r>
              <w:t>6.00</w:t>
            </w:r>
          </w:p>
        </w:tc>
        <w:tc>
          <w:tcPr>
            <w:tcW w:w="964" w:type="dxa"/>
            <w:vAlign w:val="center"/>
          </w:tcPr>
          <w:p>
            <w:pPr>
              <w:pStyle w:val="12"/>
            </w:pPr>
            <w:r>
              <w:t>6.00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2024纪检监察业务费</w:t>
            </w:r>
          </w:p>
        </w:tc>
        <w:tc>
          <w:tcPr>
            <w:tcW w:w="964" w:type="dxa"/>
            <w:vAlign w:val="center"/>
          </w:tcPr>
          <w:p>
            <w:pPr>
              <w:pStyle w:val="12"/>
            </w:pPr>
            <w:r>
              <w:t>200.00</w:t>
            </w:r>
          </w:p>
        </w:tc>
        <w:tc>
          <w:tcPr>
            <w:tcW w:w="1134" w:type="dxa"/>
            <w:vAlign w:val="center"/>
          </w:tcPr>
          <w:p>
            <w:pPr>
              <w:pStyle w:val="13"/>
            </w:pPr>
            <w:r>
              <w:t>碎纸机</w:t>
            </w:r>
          </w:p>
        </w:tc>
        <w:tc>
          <w:tcPr>
            <w:tcW w:w="1134" w:type="dxa"/>
            <w:vAlign w:val="center"/>
          </w:tcPr>
          <w:p>
            <w:pPr>
              <w:pStyle w:val="13"/>
            </w:pPr>
            <w:r>
              <w:t>A02021301</w:t>
            </w:r>
          </w:p>
        </w:tc>
        <w:tc>
          <w:tcPr>
            <w:tcW w:w="709" w:type="dxa"/>
            <w:vAlign w:val="center"/>
          </w:tcPr>
          <w:p>
            <w:pPr>
              <w:pStyle w:val="14"/>
            </w:pPr>
            <w:r>
              <w:t>台</w:t>
            </w:r>
          </w:p>
        </w:tc>
        <w:tc>
          <w:tcPr>
            <w:tcW w:w="850" w:type="dxa"/>
            <w:vAlign w:val="center"/>
          </w:tcPr>
          <w:p>
            <w:pPr>
              <w:pStyle w:val="12"/>
            </w:pPr>
            <w:r>
              <w:t>20</w:t>
            </w:r>
          </w:p>
        </w:tc>
        <w:tc>
          <w:tcPr>
            <w:tcW w:w="850" w:type="dxa"/>
            <w:vAlign w:val="center"/>
          </w:tcPr>
          <w:p>
            <w:pPr>
              <w:pStyle w:val="12"/>
            </w:pPr>
            <w:r>
              <w:t>0.10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2024纪检监察业务费</w:t>
            </w:r>
          </w:p>
        </w:tc>
        <w:tc>
          <w:tcPr>
            <w:tcW w:w="964" w:type="dxa"/>
            <w:vAlign w:val="center"/>
          </w:tcPr>
          <w:p>
            <w:pPr>
              <w:pStyle w:val="12"/>
            </w:pPr>
            <w:r>
              <w:t>200.00</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 xml:space="preserve"> 台</w:t>
            </w:r>
          </w:p>
        </w:tc>
        <w:tc>
          <w:tcPr>
            <w:tcW w:w="850" w:type="dxa"/>
            <w:vAlign w:val="center"/>
          </w:tcPr>
          <w:p>
            <w:pPr>
              <w:pStyle w:val="12"/>
            </w:pPr>
            <w:r>
              <w:t>10</w:t>
            </w:r>
          </w:p>
        </w:tc>
        <w:tc>
          <w:tcPr>
            <w:tcW w:w="850" w:type="dxa"/>
            <w:vAlign w:val="center"/>
          </w:tcPr>
          <w:p>
            <w:pPr>
              <w:pStyle w:val="12"/>
            </w:pPr>
            <w:r>
              <w:t>0.30</w:t>
            </w:r>
          </w:p>
        </w:tc>
        <w:tc>
          <w:tcPr>
            <w:tcW w:w="964" w:type="dxa"/>
            <w:vAlign w:val="center"/>
          </w:tcPr>
          <w:p>
            <w:pPr>
              <w:pStyle w:val="12"/>
            </w:pPr>
            <w:r>
              <w:t>3.00</w:t>
            </w:r>
          </w:p>
        </w:tc>
        <w:tc>
          <w:tcPr>
            <w:tcW w:w="964" w:type="dxa"/>
            <w:vAlign w:val="center"/>
          </w:tcPr>
          <w:p>
            <w:pPr>
              <w:pStyle w:val="12"/>
            </w:pPr>
            <w:r>
              <w:t>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2024纪检监察业务费</w:t>
            </w:r>
          </w:p>
        </w:tc>
        <w:tc>
          <w:tcPr>
            <w:tcW w:w="964" w:type="dxa"/>
            <w:vAlign w:val="center"/>
          </w:tcPr>
          <w:p>
            <w:pPr>
              <w:pStyle w:val="12"/>
            </w:pPr>
            <w:r>
              <w:t>200.00</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套</w:t>
            </w:r>
          </w:p>
        </w:tc>
        <w:tc>
          <w:tcPr>
            <w:tcW w:w="850" w:type="dxa"/>
            <w:vAlign w:val="center"/>
          </w:tcPr>
          <w:p>
            <w:pPr>
              <w:pStyle w:val="12"/>
            </w:pPr>
            <w:r>
              <w:t>15</w:t>
            </w:r>
          </w:p>
        </w:tc>
        <w:tc>
          <w:tcPr>
            <w:tcW w:w="850" w:type="dxa"/>
            <w:vAlign w:val="center"/>
          </w:tcPr>
          <w:p>
            <w:pPr>
              <w:pStyle w:val="12"/>
            </w:pPr>
            <w:r>
              <w:t>0.15</w:t>
            </w:r>
          </w:p>
        </w:tc>
        <w:tc>
          <w:tcPr>
            <w:tcW w:w="964" w:type="dxa"/>
            <w:vAlign w:val="center"/>
          </w:tcPr>
          <w:p>
            <w:pPr>
              <w:pStyle w:val="12"/>
            </w:pPr>
            <w:r>
              <w:t>2.25</w:t>
            </w:r>
          </w:p>
        </w:tc>
        <w:tc>
          <w:tcPr>
            <w:tcW w:w="964" w:type="dxa"/>
            <w:vAlign w:val="center"/>
          </w:tcPr>
          <w:p>
            <w:pPr>
              <w:pStyle w:val="12"/>
            </w:pPr>
            <w:r>
              <w:t>2.25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2024纪检监察业务费</w:t>
            </w:r>
          </w:p>
        </w:tc>
        <w:tc>
          <w:tcPr>
            <w:tcW w:w="964" w:type="dxa"/>
            <w:vAlign w:val="center"/>
          </w:tcPr>
          <w:p>
            <w:pPr>
              <w:pStyle w:val="12"/>
            </w:pPr>
            <w:r>
              <w:t>200.00</w:t>
            </w:r>
          </w:p>
        </w:tc>
        <w:tc>
          <w:tcPr>
            <w:tcW w:w="1134" w:type="dxa"/>
            <w:vAlign w:val="center"/>
          </w:tcPr>
          <w:p>
            <w:pPr>
              <w:pStyle w:val="13"/>
            </w:pPr>
            <w:r>
              <w:t>办公椅</w:t>
            </w:r>
          </w:p>
        </w:tc>
        <w:tc>
          <w:tcPr>
            <w:tcW w:w="1134" w:type="dxa"/>
            <w:vAlign w:val="center"/>
          </w:tcPr>
          <w:p>
            <w:pPr>
              <w:pStyle w:val="13"/>
            </w:pPr>
            <w:r>
              <w:t>A05010301</w:t>
            </w:r>
          </w:p>
        </w:tc>
        <w:tc>
          <w:tcPr>
            <w:tcW w:w="709" w:type="dxa"/>
            <w:vAlign w:val="center"/>
          </w:tcPr>
          <w:p>
            <w:pPr>
              <w:pStyle w:val="14"/>
            </w:pPr>
            <w:r>
              <w:t>件</w:t>
            </w:r>
          </w:p>
        </w:tc>
        <w:tc>
          <w:tcPr>
            <w:tcW w:w="850" w:type="dxa"/>
            <w:vAlign w:val="center"/>
          </w:tcPr>
          <w:p>
            <w:pPr>
              <w:pStyle w:val="12"/>
            </w:pPr>
            <w:r>
              <w:t>15</w:t>
            </w:r>
          </w:p>
        </w:tc>
        <w:tc>
          <w:tcPr>
            <w:tcW w:w="850" w:type="dxa"/>
            <w:vAlign w:val="center"/>
          </w:tcPr>
          <w:p>
            <w:pPr>
              <w:pStyle w:val="12"/>
            </w:pPr>
            <w:r>
              <w:t>0.04</w:t>
            </w:r>
          </w:p>
        </w:tc>
        <w:tc>
          <w:tcPr>
            <w:tcW w:w="964" w:type="dxa"/>
            <w:vAlign w:val="center"/>
          </w:tcPr>
          <w:p>
            <w:pPr>
              <w:pStyle w:val="12"/>
            </w:pPr>
            <w:r>
              <w:t>0.53</w:t>
            </w:r>
          </w:p>
        </w:tc>
        <w:tc>
          <w:tcPr>
            <w:tcW w:w="964" w:type="dxa"/>
            <w:vAlign w:val="center"/>
          </w:tcPr>
          <w:p>
            <w:pPr>
              <w:pStyle w:val="12"/>
            </w:pPr>
            <w:r>
              <w:t>0.53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2024纪检监察业务费</w:t>
            </w:r>
          </w:p>
        </w:tc>
        <w:tc>
          <w:tcPr>
            <w:tcW w:w="964" w:type="dxa"/>
            <w:vAlign w:val="center"/>
          </w:tcPr>
          <w:p>
            <w:pPr>
              <w:pStyle w:val="12"/>
            </w:pPr>
            <w:r>
              <w:t>200.00</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个</w:t>
            </w:r>
          </w:p>
        </w:tc>
        <w:tc>
          <w:tcPr>
            <w:tcW w:w="850" w:type="dxa"/>
            <w:vAlign w:val="center"/>
          </w:tcPr>
          <w:p>
            <w:pPr>
              <w:pStyle w:val="12"/>
            </w:pPr>
            <w:r>
              <w:t>40</w:t>
            </w:r>
          </w:p>
        </w:tc>
        <w:tc>
          <w:tcPr>
            <w:tcW w:w="850" w:type="dxa"/>
            <w:vAlign w:val="center"/>
          </w:tcPr>
          <w:p>
            <w:pPr>
              <w:pStyle w:val="12"/>
            </w:pPr>
            <w:r>
              <w:t>0.08</w:t>
            </w:r>
          </w:p>
        </w:tc>
        <w:tc>
          <w:tcPr>
            <w:tcW w:w="964" w:type="dxa"/>
            <w:vAlign w:val="center"/>
          </w:tcPr>
          <w:p>
            <w:pPr>
              <w:pStyle w:val="12"/>
            </w:pPr>
            <w:r>
              <w:t>3.20</w:t>
            </w:r>
          </w:p>
        </w:tc>
        <w:tc>
          <w:tcPr>
            <w:tcW w:w="964" w:type="dxa"/>
            <w:vAlign w:val="center"/>
          </w:tcPr>
          <w:p>
            <w:pPr>
              <w:pStyle w:val="12"/>
            </w:pPr>
            <w:r>
              <w:t>3.20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2024纪检监察业务费</w:t>
            </w:r>
          </w:p>
        </w:tc>
        <w:tc>
          <w:tcPr>
            <w:tcW w:w="964" w:type="dxa"/>
            <w:vAlign w:val="center"/>
          </w:tcPr>
          <w:p>
            <w:pPr>
              <w:pStyle w:val="12"/>
            </w:pPr>
            <w:r>
              <w:t>200.00</w:t>
            </w:r>
          </w:p>
        </w:tc>
        <w:tc>
          <w:tcPr>
            <w:tcW w:w="1134" w:type="dxa"/>
            <w:vAlign w:val="center"/>
          </w:tcPr>
          <w:p>
            <w:pPr>
              <w:pStyle w:val="13"/>
            </w:pPr>
            <w:r>
              <w:t>保密柜</w:t>
            </w:r>
          </w:p>
        </w:tc>
        <w:tc>
          <w:tcPr>
            <w:tcW w:w="1134" w:type="dxa"/>
            <w:vAlign w:val="center"/>
          </w:tcPr>
          <w:p>
            <w:pPr>
              <w:pStyle w:val="13"/>
            </w:pPr>
            <w:r>
              <w:t>A05010504</w:t>
            </w:r>
          </w:p>
        </w:tc>
        <w:tc>
          <w:tcPr>
            <w:tcW w:w="709" w:type="dxa"/>
            <w:vAlign w:val="center"/>
          </w:tcPr>
          <w:p>
            <w:pPr>
              <w:pStyle w:val="14"/>
            </w:pPr>
            <w:r>
              <w:t>个</w:t>
            </w:r>
          </w:p>
        </w:tc>
        <w:tc>
          <w:tcPr>
            <w:tcW w:w="850" w:type="dxa"/>
            <w:vAlign w:val="center"/>
          </w:tcPr>
          <w:p>
            <w:pPr>
              <w:pStyle w:val="12"/>
            </w:pPr>
            <w:r>
              <w:t>20</w:t>
            </w:r>
          </w:p>
        </w:tc>
        <w:tc>
          <w:tcPr>
            <w:tcW w:w="850" w:type="dxa"/>
            <w:vAlign w:val="center"/>
          </w:tcPr>
          <w:p>
            <w:pPr>
              <w:pStyle w:val="12"/>
            </w:pPr>
            <w:r>
              <w:t>0.10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rPr>
          <w:rFonts w:eastAsiaTheme="minorEastAsia"/>
          <w:color w:val="000000"/>
          <w:sz w:val="28"/>
          <w:lang w:eastAsia="zh-CN"/>
        </w:rPr>
      </w:pPr>
      <w:r>
        <w:rPr>
          <w:rFonts w:eastAsia="方正仿宋_GBK"/>
          <w:color w:val="000000"/>
          <w:sz w:val="28"/>
        </w:rPr>
        <w:t>中国共产党石家庄市鹿泉区纪律检查委员会（含所属单位）上年末固定资产金额为517.47万元（详见下表）。本年度拟购置固定资产总额为</w:t>
      </w:r>
      <w:r>
        <w:rPr>
          <w:rFonts w:hint="eastAsia" w:eastAsiaTheme="minorEastAsia"/>
          <w:color w:val="000000"/>
          <w:sz w:val="28"/>
          <w:lang w:eastAsia="zh-CN"/>
        </w:rPr>
        <w:t>72.28</w:t>
      </w:r>
      <w:r>
        <w:rPr>
          <w:rFonts w:eastAsia="方正仿宋_GBK"/>
          <w:color w:val="000000"/>
          <w:sz w:val="28"/>
        </w:rPr>
        <w:t>万元，已按要求列入政府采购预算，详见政府采购预算表。</w:t>
      </w:r>
    </w:p>
    <w:p>
      <w:pPr>
        <w:spacing w:line="500" w:lineRule="exact"/>
        <w:ind w:firstLine="560"/>
        <w:rPr>
          <w:rFonts w:eastAsiaTheme="minorEastAsia"/>
          <w:color w:val="000000"/>
          <w:sz w:val="28"/>
          <w:lang w:eastAsia="zh-CN"/>
        </w:rPr>
      </w:pPr>
    </w:p>
    <w:p>
      <w:pPr>
        <w:spacing w:line="500" w:lineRule="exact"/>
        <w:ind w:firstLine="560"/>
        <w:rPr>
          <w:rFonts w:eastAsiaTheme="minorEastAsia"/>
          <w:color w:val="000000"/>
          <w:sz w:val="28"/>
          <w:lang w:eastAsia="zh-CN"/>
        </w:rPr>
      </w:pPr>
    </w:p>
    <w:p>
      <w:pPr>
        <w:spacing w:line="500" w:lineRule="exact"/>
        <w:ind w:firstLine="560"/>
        <w:rPr>
          <w:rFonts w:eastAsiaTheme="minorEastAsia"/>
          <w:lang w:eastAsia="zh-CN"/>
        </w:rPr>
      </w:pPr>
    </w:p>
    <w:p>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222中国共产党石家庄市鹿泉区纪律检查委员会</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517.47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10</w:t>
            </w:r>
          </w:p>
        </w:tc>
        <w:tc>
          <w:tcPr>
            <w:tcW w:w="2835" w:type="dxa"/>
            <w:vAlign w:val="center"/>
          </w:tcPr>
          <w:p>
            <w:pPr>
              <w:pStyle w:val="12"/>
            </w:pPr>
            <w:r>
              <w:t>152.51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1089</w:t>
            </w:r>
          </w:p>
        </w:tc>
        <w:tc>
          <w:tcPr>
            <w:tcW w:w="2835" w:type="dxa"/>
            <w:vAlign w:val="center"/>
          </w:tcPr>
          <w:p>
            <w:pPr>
              <w:pStyle w:val="12"/>
            </w:pPr>
            <w:r>
              <w:t>364.96</w:t>
            </w:r>
          </w:p>
        </w:tc>
      </w:tr>
    </w:tbl>
    <w:p>
      <w:pPr>
        <w:ind w:firstLine="640"/>
      </w:pPr>
      <w:r>
        <w:rPr>
          <w:rFonts w:eastAsia="方正仿宋_GBK"/>
          <w:color w:val="000000"/>
          <w:sz w:val="32"/>
        </w:rPr>
        <w:t xml:space="preserve"> </w:t>
      </w: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黑体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方正书宋_GBK">
    <w:altName w:val="宋体"/>
    <w:panose1 w:val="00000000000000000000"/>
    <w:charset w:val="86"/>
    <w:family w:val="roman"/>
    <w:pitch w:val="default"/>
    <w:sig w:usb0="00000000" w:usb1="00000000" w:usb2="00000000" w:usb3="00000000" w:csb0="00000000"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32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EA24E4"/>
    <w:rsid w:val="00012040"/>
    <w:rsid w:val="000165D1"/>
    <w:rsid w:val="000A6343"/>
    <w:rsid w:val="000E08D8"/>
    <w:rsid w:val="000F3C4B"/>
    <w:rsid w:val="00130DD5"/>
    <w:rsid w:val="001461E7"/>
    <w:rsid w:val="001853DC"/>
    <w:rsid w:val="001F07D5"/>
    <w:rsid w:val="00234023"/>
    <w:rsid w:val="002A16BB"/>
    <w:rsid w:val="003332F0"/>
    <w:rsid w:val="003500EF"/>
    <w:rsid w:val="00464C87"/>
    <w:rsid w:val="004D3A04"/>
    <w:rsid w:val="005D77EA"/>
    <w:rsid w:val="00614CF2"/>
    <w:rsid w:val="006711D2"/>
    <w:rsid w:val="00703F9E"/>
    <w:rsid w:val="00717239"/>
    <w:rsid w:val="00773EC7"/>
    <w:rsid w:val="00780B73"/>
    <w:rsid w:val="007F65BE"/>
    <w:rsid w:val="007F6A05"/>
    <w:rsid w:val="00893CCC"/>
    <w:rsid w:val="008A27EF"/>
    <w:rsid w:val="008A59A5"/>
    <w:rsid w:val="009729D9"/>
    <w:rsid w:val="009C6660"/>
    <w:rsid w:val="00A458F6"/>
    <w:rsid w:val="00A83D17"/>
    <w:rsid w:val="00B02211"/>
    <w:rsid w:val="00C144FF"/>
    <w:rsid w:val="00C86FBF"/>
    <w:rsid w:val="00CC5B63"/>
    <w:rsid w:val="00CD6921"/>
    <w:rsid w:val="00D82ADC"/>
    <w:rsid w:val="00E20C07"/>
    <w:rsid w:val="00E23739"/>
    <w:rsid w:val="00E4495C"/>
    <w:rsid w:val="00EA24E4"/>
    <w:rsid w:val="00EC0A7C"/>
    <w:rsid w:val="02A80F4E"/>
    <w:rsid w:val="070D0856"/>
    <w:rsid w:val="115E3321"/>
    <w:rsid w:val="11D54345"/>
    <w:rsid w:val="14977E3B"/>
    <w:rsid w:val="14F978C9"/>
    <w:rsid w:val="16EC6ACE"/>
    <w:rsid w:val="1B221821"/>
    <w:rsid w:val="2ADC148D"/>
    <w:rsid w:val="32920FE6"/>
    <w:rsid w:val="39753EFE"/>
    <w:rsid w:val="3E453BD4"/>
    <w:rsid w:val="40F340A2"/>
    <w:rsid w:val="41B34E53"/>
    <w:rsid w:val="42215F97"/>
    <w:rsid w:val="45C64128"/>
    <w:rsid w:val="4CA31C10"/>
    <w:rsid w:val="4CFC17C2"/>
    <w:rsid w:val="4D946053"/>
    <w:rsid w:val="4FA65EB4"/>
    <w:rsid w:val="511A10CC"/>
    <w:rsid w:val="5BBB7BCA"/>
    <w:rsid w:val="67765776"/>
    <w:rsid w:val="690A367C"/>
    <w:rsid w:val="6B110A05"/>
    <w:rsid w:val="6F6E0618"/>
    <w:rsid w:val="6F6F1FB6"/>
    <w:rsid w:val="6FB25A54"/>
    <w:rsid w:val="71593104"/>
    <w:rsid w:val="719F4119"/>
    <w:rsid w:val="73720204"/>
    <w:rsid w:val="759D11A5"/>
    <w:rsid w:val="78670175"/>
    <w:rsid w:val="78E465D9"/>
    <w:rsid w:val="7924435C"/>
    <w:rsid w:val="7E717D1A"/>
    <w:rsid w:val="7F606E9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Body Text Indent"/>
    <w:basedOn w:val="1"/>
    <w:link w:val="29"/>
    <w:semiHidden/>
    <w:unhideWhenUsed/>
    <w:qFormat/>
    <w:uiPriority w:val="99"/>
    <w:pPr>
      <w:spacing w:after="120"/>
      <w:ind w:left="420" w:leftChars="200"/>
    </w:pPr>
  </w:style>
  <w:style w:type="paragraph" w:styleId="3">
    <w:name w:val="Body Text First Indent 2"/>
    <w:basedOn w:val="2"/>
    <w:next w:val="1"/>
    <w:link w:val="30"/>
    <w:qFormat/>
    <w:uiPriority w:val="0"/>
    <w:pPr>
      <w:widowControl w:val="0"/>
      <w:spacing w:after="0" w:line="360" w:lineRule="auto"/>
      <w:ind w:left="0" w:leftChars="0" w:firstLine="420" w:firstLineChars="200"/>
      <w:jc w:val="both"/>
      <w:textAlignment w:val="baseline"/>
    </w:pPr>
    <w:rPr>
      <w:rFonts w:hint="eastAsia" w:eastAsia="宋体"/>
      <w:kern w:val="2"/>
      <w:lang w:eastAsia="zh-CN"/>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7">
    <w:name w:val="Strong"/>
    <w:qFormat/>
    <w:uiPriority w:val="0"/>
    <w:rPr>
      <w:b/>
    </w:r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basedOn w:val="1"/>
    <w:qFormat/>
    <w:uiPriority w:val="0"/>
    <w:pPr>
      <w:jc w:val="right"/>
    </w:pPr>
    <w:rPr>
      <w:rFonts w:ascii="方正书宋_GBK" w:hAnsi="方正书宋_GBK" w:eastAsia="方正书宋_GBK" w:cs="方正书宋_GBK"/>
    </w:rPr>
  </w:style>
  <w:style w:type="paragraph" w:customStyle="1" w:styleId="26">
    <w:name w:val="TOC 2"/>
    <w:basedOn w:val="1"/>
    <w:qFormat/>
    <w:uiPriority w:val="0"/>
    <w:pPr>
      <w:ind w:left="240"/>
    </w:pPr>
  </w:style>
  <w:style w:type="paragraph" w:customStyle="1" w:styleId="27">
    <w:name w:val="TOC 3"/>
    <w:basedOn w:val="1"/>
    <w:qFormat/>
    <w:uiPriority w:val="0"/>
    <w:pPr>
      <w:ind w:left="480"/>
    </w:pPr>
  </w:style>
  <w:style w:type="paragraph" w:customStyle="1" w:styleId="28">
    <w:name w:val="TOC 1"/>
    <w:basedOn w:val="1"/>
    <w:qFormat/>
    <w:uiPriority w:val="0"/>
    <w:pPr>
      <w:spacing w:before="120"/>
      <w:ind w:firstLine="560"/>
    </w:pPr>
    <w:rPr>
      <w:rFonts w:eastAsia="方正仿宋_GBK"/>
      <w:color w:val="000000"/>
      <w:sz w:val="28"/>
    </w:rPr>
  </w:style>
  <w:style w:type="character" w:customStyle="1" w:styleId="29">
    <w:name w:val="正文文本缩进 Char"/>
    <w:basedOn w:val="6"/>
    <w:link w:val="2"/>
    <w:semiHidden/>
    <w:qFormat/>
    <w:uiPriority w:val="99"/>
    <w:rPr>
      <w:rFonts w:eastAsia="Times New Roman"/>
      <w:sz w:val="24"/>
      <w:szCs w:val="24"/>
      <w:lang w:eastAsia="uk-UA"/>
    </w:rPr>
  </w:style>
  <w:style w:type="character" w:customStyle="1" w:styleId="30">
    <w:name w:val="正文首行缩进 2 Char"/>
    <w:basedOn w:val="29"/>
    <w:link w:val="3"/>
    <w:qFormat/>
    <w:uiPriority w:val="0"/>
    <w:rPr>
      <w:rFonts w:eastAsia="宋体"/>
      <w:kern w:val="2"/>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6" Type="http://schemas.openxmlformats.org/officeDocument/2006/relationships/fontTable" Target="fontTable.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2024-02-23T17:11:52Z</dcterms:created>
  <dcterms:modified xsi:type="dcterms:W3CDTF">2024-02-23T09:11:52Z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2024-02-23T17:11:54Z</dcterms:created>
  <dcterms:modified xsi:type="dcterms:W3CDTF">2024-02-23T09:11:54Z</dcterms:modified>
</cp:coreProperties>
</file>

<file path=customXml/item15.xml><?xml version="1.0" encoding="utf-8"?>
<b:Sources xmlns:b="http://schemas.openxmlformats.org/officeDocument/2006/bibliography" xmlns="http://schemas.openxmlformats.org/officeDocument/2006/bibliography" SelectedStyle="" StyleName=""/>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2024-02-23T17:11:51Z</dcterms:created>
  <dcterms:modified xsi:type="dcterms:W3CDTF">2024-02-23T09:11:51Z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2024-02-23T17:11:52Z</dcterms:created>
  <dcterms:modified xsi:type="dcterms:W3CDTF">2024-02-23T09:11:52Z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2024-02-23T17:11:53Z</dcterms:created>
  <dcterms:modified xsi:type="dcterms:W3CDTF">2024-02-23T09:11:53Z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2024-02-23T17:11:53Z</dcterms:created>
  <dcterms:modified xsi:type="dcterms:W3CDTF">2024-02-23T09:11:53Z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2024-02-23T17:11:55Z</dcterms:created>
  <dcterms:modified xsi:type="dcterms:W3CDTF">2024-02-23T09:11:55Z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2024-02-23T17:11:56Z</dcterms:created>
  <dcterms:modified xsi:type="dcterms:W3CDTF">2024-02-23T09:11:56Z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2024-02-23T17:11:54Z</dcterms:created>
  <dcterms:modified xsi:type="dcterms:W3CDTF">2024-02-23T09:11:54Z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41554E11-695A-4AE4-BAD6-307BBAF6A082}">
  <ds:schemaRefs/>
</ds:datastoreItem>
</file>

<file path=customXml/itemProps11.xml><?xml version="1.0" encoding="utf-8"?>
<ds:datastoreItem xmlns:ds="http://schemas.openxmlformats.org/officeDocument/2006/customXml" ds:itemID="{2DDCEF69-B020-4823-8589-545FAB62721A}">
  <ds:schemaRefs/>
</ds:datastoreItem>
</file>

<file path=customXml/itemProps12.xml><?xml version="1.0" encoding="utf-8"?>
<ds:datastoreItem xmlns:ds="http://schemas.openxmlformats.org/officeDocument/2006/customXml" ds:itemID="{02BA1312-7DDB-495A-85A4-071B0B26F390}">
  <ds:schemaRefs/>
</ds:datastoreItem>
</file>

<file path=customXml/itemProps13.xml><?xml version="1.0" encoding="utf-8"?>
<ds:datastoreItem xmlns:ds="http://schemas.openxmlformats.org/officeDocument/2006/customXml" ds:itemID="{BD543393-31A3-4659-BABE-0D5E26F616A7}">
  <ds:schemaRefs/>
</ds:datastoreItem>
</file>

<file path=customXml/itemProps14.xml><?xml version="1.0" encoding="utf-8"?>
<ds:datastoreItem xmlns:ds="http://schemas.openxmlformats.org/officeDocument/2006/customXml" ds:itemID="{463C0415-7BF3-4502-BBEE-3B3FA037823B}">
  <ds:schemaRefs/>
</ds:datastoreItem>
</file>

<file path=customXml/itemProps15.xml><?xml version="1.0" encoding="utf-8"?>
<ds:datastoreItem xmlns:ds="http://schemas.openxmlformats.org/officeDocument/2006/customXml" ds:itemID="{E4B17A65-F2F3-4552-8CB9-10143FAA0A81}">
  <ds:schemaRefs/>
</ds:datastoreItem>
</file>

<file path=customXml/itemProps16.xml><?xml version="1.0" encoding="utf-8"?>
<ds:datastoreItem xmlns:ds="http://schemas.openxmlformats.org/officeDocument/2006/customXml" ds:itemID="{C7881D4D-CF56-4218-8838-8DEF395DB2B9}">
  <ds:schemaRefs/>
</ds:datastoreItem>
</file>

<file path=customXml/itemProps17.xml><?xml version="1.0" encoding="utf-8"?>
<ds:datastoreItem xmlns:ds="http://schemas.openxmlformats.org/officeDocument/2006/customXml" ds:itemID="{E3A854C5-DA97-4C06-B4AA-36B9B2839D25}">
  <ds:schemaRefs/>
</ds:datastoreItem>
</file>

<file path=customXml/itemProps18.xml><?xml version="1.0" encoding="utf-8"?>
<ds:datastoreItem xmlns:ds="http://schemas.openxmlformats.org/officeDocument/2006/customXml" ds:itemID="{9586C6E7-9C89-42E2-9487-B907AF6C7A65}">
  <ds:schemaRefs/>
</ds:datastoreItem>
</file>

<file path=customXml/itemProps19.xml><?xml version="1.0" encoding="utf-8"?>
<ds:datastoreItem xmlns:ds="http://schemas.openxmlformats.org/officeDocument/2006/customXml" ds:itemID="{0165447B-5B8C-4EF3-B21B-49B9B31CCC67}">
  <ds:schemaRefs/>
</ds:datastoreItem>
</file>

<file path=customXml/itemProps2.xml><?xml version="1.0" encoding="utf-8"?>
<ds:datastoreItem xmlns:ds="http://schemas.openxmlformats.org/officeDocument/2006/customXml" ds:itemID="{A98CA332-1298-4EF7-B022-D4F1CD7DD824}">
  <ds:schemaRefs/>
</ds:datastoreItem>
</file>

<file path=customXml/itemProps20.xml><?xml version="1.0" encoding="utf-8"?>
<ds:datastoreItem xmlns:ds="http://schemas.openxmlformats.org/officeDocument/2006/customXml" ds:itemID="{07A84B32-5D38-44D1-80A4-2A34CA51EC81}">
  <ds:schemaRefs/>
</ds:datastoreItem>
</file>

<file path=customXml/itemProps3.xml><?xml version="1.0" encoding="utf-8"?>
<ds:datastoreItem xmlns:ds="http://schemas.openxmlformats.org/officeDocument/2006/customXml" ds:itemID="{25CCE5C6-3AA1-480D-9540-5BBFC3746922}">
  <ds:schemaRefs/>
</ds:datastoreItem>
</file>

<file path=customXml/itemProps4.xml><?xml version="1.0" encoding="utf-8"?>
<ds:datastoreItem xmlns:ds="http://schemas.openxmlformats.org/officeDocument/2006/customXml" ds:itemID="{7DAB5534-1A59-4A27-930E-3D53F8FA38CC}">
  <ds:schemaRefs/>
</ds:datastoreItem>
</file>

<file path=customXml/itemProps5.xml><?xml version="1.0" encoding="utf-8"?>
<ds:datastoreItem xmlns:ds="http://schemas.openxmlformats.org/officeDocument/2006/customXml" ds:itemID="{24C15D6F-7B85-41E9-BC3D-63705060D2BF}">
  <ds:schemaRefs/>
</ds:datastoreItem>
</file>

<file path=customXml/itemProps6.xml><?xml version="1.0" encoding="utf-8"?>
<ds:datastoreItem xmlns:ds="http://schemas.openxmlformats.org/officeDocument/2006/customXml" ds:itemID="{C3D057F9-D622-4869-9FF3-1CF3E84EE701}">
  <ds:schemaRefs/>
</ds:datastoreItem>
</file>

<file path=customXml/itemProps7.xml><?xml version="1.0" encoding="utf-8"?>
<ds:datastoreItem xmlns:ds="http://schemas.openxmlformats.org/officeDocument/2006/customXml" ds:itemID="{ED09A2E5-24BA-44AA-B0B4-B6A2D2740645}">
  <ds:schemaRefs/>
</ds:datastoreItem>
</file>

<file path=customXml/itemProps8.xml><?xml version="1.0" encoding="utf-8"?>
<ds:datastoreItem xmlns:ds="http://schemas.openxmlformats.org/officeDocument/2006/customXml" ds:itemID="{9D8656D4-21CD-4B3A-BED7-2DBF33E0F22B}">
  <ds:schemaRefs/>
</ds:datastoreItem>
</file>

<file path=customXml/itemProps9.xml><?xml version="1.0" encoding="utf-8"?>
<ds:datastoreItem xmlns:ds="http://schemas.openxmlformats.org/officeDocument/2006/customXml" ds:itemID="{96590635-769A-4DD3-8302-77116D5190D7}">
  <ds:schemaRefs/>
</ds:datastoreItem>
</file>

<file path=docProps/app.xml><?xml version="1.0" encoding="utf-8"?>
<Properties xmlns="http://schemas.openxmlformats.org/officeDocument/2006/extended-properties" xmlns:vt="http://schemas.openxmlformats.org/officeDocument/2006/docPropsVTypes">
  <Template>Normal</Template>
  <Pages>36</Pages>
  <Words>2805</Words>
  <Characters>15989</Characters>
  <Lines>133</Lines>
  <Paragraphs>37</Paragraphs>
  <TotalTime>0</TotalTime>
  <ScaleCrop>false</ScaleCrop>
  <LinksUpToDate>false</LinksUpToDate>
  <CharactersWithSpaces>18757</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2024-02-23T09:22:00Z</dcterms:created>
  <dc:creator>Administrator</dc:creator>
  <cp:lastModifiedBy>Administrator</cp:lastModifiedBy>
  <dcterms:modified xsi:type="dcterms:W3CDTF">2024-03-06T08:56:39Z</dcterms:modified>
  <cp:revision>31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