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Times New Roman"/>
          <w:sz w:val="32"/>
          <w:szCs w:val="32"/>
        </w:rPr>
      </w:pPr>
    </w:p>
    <w:p>
      <w:pPr>
        <w:spacing w:line="360" w:lineRule="auto"/>
        <w:jc w:val="center"/>
        <w:rPr>
          <w:rFonts w:ascii="宋体" w:cs="Times New Roman"/>
          <w:b/>
          <w:bCs/>
          <w:sz w:val="36"/>
          <w:szCs w:val="36"/>
        </w:rPr>
      </w:pPr>
      <w:r>
        <w:rPr>
          <w:rFonts w:hint="eastAsia" w:ascii="宋体" w:cs="宋体"/>
          <w:b/>
          <w:bCs/>
          <w:sz w:val="36"/>
          <w:szCs w:val="36"/>
        </w:rPr>
        <w:t>石家庄鹿泉区省级粮食储备库整体置换外迁项目</w:t>
      </w:r>
    </w:p>
    <w:p>
      <w:pPr>
        <w:spacing w:line="360" w:lineRule="auto"/>
        <w:jc w:val="center"/>
        <w:rPr>
          <w:rFonts w:ascii="宋体" w:cs="Times New Roman"/>
          <w:b/>
          <w:bCs/>
          <w:sz w:val="36"/>
          <w:szCs w:val="36"/>
        </w:rPr>
      </w:pPr>
      <w:r>
        <w:rPr>
          <w:rFonts w:hint="eastAsia" w:ascii="宋体" w:cs="宋体"/>
          <w:b/>
          <w:bCs/>
          <w:sz w:val="36"/>
          <w:szCs w:val="36"/>
        </w:rPr>
        <w:t>绩效评价报告</w:t>
      </w:r>
    </w:p>
    <w:p>
      <w:pPr>
        <w:spacing w:line="360" w:lineRule="auto"/>
        <w:jc w:val="center"/>
        <w:rPr>
          <w:rFonts w:ascii="华文楷体" w:eastAsia="华文楷体" w:cs="Times New Roman"/>
          <w:sz w:val="32"/>
          <w:szCs w:val="32"/>
        </w:rPr>
      </w:pPr>
    </w:p>
    <w:p>
      <w:pPr>
        <w:adjustRightInd w:val="0"/>
        <w:snapToGrid w:val="0"/>
        <w:spacing w:line="360" w:lineRule="auto"/>
        <w:ind w:firstLine="640" w:firstLineChars="200"/>
        <w:rPr>
          <w:rFonts w:ascii="仿宋_GB2312" w:eastAsia="仿宋_GB2312" w:cs="Times New Roman"/>
          <w:sz w:val="32"/>
          <w:szCs w:val="32"/>
        </w:rPr>
      </w:pPr>
      <w:r>
        <w:rPr>
          <w:rFonts w:hint="eastAsia" w:ascii="仿宋_GB2312" w:eastAsia="仿宋_GB2312" w:cs="仿宋_GB2312"/>
          <w:sz w:val="32"/>
          <w:szCs w:val="32"/>
        </w:rPr>
        <w:t>根据《石家庄市鹿泉区区级部门预算绩效管理办法》（鹿财字</w:t>
      </w:r>
      <w:r>
        <w:rPr>
          <w:rFonts w:ascii="仿宋_GB2312" w:eastAsia="仿宋_GB2312" w:cs="仿宋_GB2312"/>
          <w:sz w:val="32"/>
          <w:szCs w:val="32"/>
        </w:rPr>
        <w:t>[2019]65</w:t>
      </w:r>
      <w:r>
        <w:rPr>
          <w:rFonts w:hint="eastAsia" w:ascii="仿宋_GB2312" w:eastAsia="仿宋_GB2312" w:cs="仿宋_GB2312"/>
          <w:sz w:val="32"/>
          <w:szCs w:val="32"/>
        </w:rPr>
        <w:t>号），遵循“科学性、规范性、客观性和公正性”的原则，对</w:t>
      </w:r>
      <w:r>
        <w:rPr>
          <w:rFonts w:hint="eastAsia" w:ascii="宋体" w:cs="宋体"/>
          <w:b/>
          <w:bCs/>
          <w:sz w:val="36"/>
          <w:szCs w:val="36"/>
        </w:rPr>
        <w:t>储备库整体置换外迁项目</w:t>
      </w:r>
      <w:r>
        <w:rPr>
          <w:rFonts w:hint="eastAsia" w:ascii="仿宋_GB2312" w:eastAsia="仿宋_GB2312" w:cs="仿宋_GB2312"/>
          <w:sz w:val="32"/>
          <w:szCs w:val="32"/>
        </w:rPr>
        <w:t>项目实施了绩效评价，形成本评价报告。</w:t>
      </w:r>
    </w:p>
    <w:p>
      <w:pPr>
        <w:adjustRightInd w:val="0"/>
        <w:snapToGrid w:val="0"/>
        <w:spacing w:line="360" w:lineRule="auto"/>
        <w:rPr>
          <w:rFonts w:ascii="黑体" w:eastAsia="黑体" w:cs="Times New Roman"/>
          <w:b/>
          <w:bCs/>
          <w:sz w:val="32"/>
          <w:szCs w:val="32"/>
        </w:rPr>
      </w:pPr>
      <w:r>
        <w:rPr>
          <w:rFonts w:ascii="黑体" w:eastAsia="黑体" w:cs="黑体"/>
          <w:sz w:val="32"/>
          <w:szCs w:val="32"/>
        </w:rPr>
        <w:t xml:space="preserve">    </w:t>
      </w:r>
      <w:r>
        <w:rPr>
          <w:rFonts w:hint="eastAsia" w:ascii="黑体" w:eastAsia="黑体" w:cs="黑体"/>
          <w:sz w:val="32"/>
          <w:szCs w:val="32"/>
        </w:rPr>
        <w:t>一、项目基本情况</w:t>
      </w:r>
    </w:p>
    <w:p>
      <w:pPr>
        <w:adjustRightInd w:val="0"/>
        <w:snapToGrid w:val="0"/>
        <w:spacing w:line="360" w:lineRule="auto"/>
        <w:ind w:firstLine="640" w:firstLineChars="200"/>
        <w:rPr>
          <w:rFonts w:ascii="楷体_GB2312" w:hAnsi="楷体_GB2312" w:eastAsia="楷体_GB2312" w:cs="Times New Roman"/>
          <w:sz w:val="32"/>
          <w:szCs w:val="32"/>
        </w:rPr>
      </w:pPr>
      <w:r>
        <w:rPr>
          <w:rFonts w:hint="eastAsia" w:ascii="楷体_GB2312" w:hAnsi="楷体_GB2312" w:eastAsia="楷体_GB2312" w:cs="楷体_GB2312"/>
          <w:sz w:val="32"/>
          <w:szCs w:val="32"/>
        </w:rPr>
        <w:t>（一）项目概况</w:t>
      </w:r>
    </w:p>
    <w:p>
      <w:pPr>
        <w:rPr>
          <w:rFonts w:ascii="宋体" w:cs="Times New Roman"/>
          <w:b/>
          <w:bCs/>
          <w:sz w:val="32"/>
          <w:szCs w:val="32"/>
        </w:rPr>
      </w:pPr>
      <w:r>
        <w:rPr>
          <w:rFonts w:ascii="仿宋_GB2312" w:eastAsia="仿宋_GB2312" w:cs="仿宋_GB2312"/>
          <w:sz w:val="32"/>
          <w:szCs w:val="32"/>
        </w:rPr>
        <w:t xml:space="preserve"> </w:t>
      </w:r>
      <w:r>
        <w:rPr>
          <w:b/>
          <w:bCs/>
          <w:sz w:val="36"/>
          <w:szCs w:val="36"/>
        </w:rPr>
        <w:t xml:space="preserve">     1</w:t>
      </w:r>
      <w:r>
        <w:rPr>
          <w:rFonts w:hint="eastAsia" w:cs="宋体"/>
          <w:b/>
          <w:bCs/>
          <w:sz w:val="36"/>
          <w:szCs w:val="36"/>
        </w:rPr>
        <w:t>项目实施单位及项目立项等基本情况</w:t>
      </w:r>
    </w:p>
    <w:p>
      <w:pPr>
        <w:ind w:firstLine="640" w:firstLineChars="200"/>
        <w:rPr>
          <w:rFonts w:ascii="仿宋_GB2312" w:eastAsia="仿宋_GB2312" w:cs="Times New Roman"/>
          <w:sz w:val="32"/>
          <w:szCs w:val="32"/>
        </w:rPr>
      </w:pPr>
      <w:r>
        <w:rPr>
          <w:rFonts w:hint="eastAsia" w:ascii="仿宋_GB2312" w:eastAsia="仿宋_GB2312" w:cs="仿宋_GB2312"/>
          <w:sz w:val="32"/>
          <w:szCs w:val="32"/>
        </w:rPr>
        <w:t>石家庄鹿泉区省级粮食储备库始建于</w:t>
      </w:r>
      <w:r>
        <w:rPr>
          <w:rFonts w:ascii="仿宋_GB2312" w:eastAsia="仿宋_GB2312" w:cs="仿宋_GB2312"/>
          <w:sz w:val="32"/>
          <w:szCs w:val="32"/>
        </w:rPr>
        <w:t>1953</w:t>
      </w:r>
      <w:r>
        <w:rPr>
          <w:rFonts w:hint="eastAsia" w:ascii="仿宋_GB2312" w:eastAsia="仿宋_GB2312" w:cs="仿宋_GB2312"/>
          <w:sz w:val="32"/>
          <w:szCs w:val="32"/>
        </w:rPr>
        <w:t>年，性质为国有独资公司，是区内唯一一家国有粮食收储企业。目前存储着中央、省、市及地方四级储备粮，主要存储品种有小麦、玉米等，是全市范围内为数不多的承储四级储备粮的企业。各级储备粮存储于鹿泉，极大保障了我区在特殊条件下的粮食供给，对省会的基础民生需求和市场平衡起到了基础作用。</w:t>
      </w:r>
    </w:p>
    <w:p>
      <w:pPr>
        <w:ind w:firstLine="640" w:firstLineChars="200"/>
        <w:rPr>
          <w:rFonts w:ascii="仿宋_GB2312" w:eastAsia="仿宋_GB2312" w:cs="Times New Roman"/>
          <w:sz w:val="32"/>
          <w:szCs w:val="32"/>
        </w:rPr>
      </w:pPr>
      <w:r>
        <w:rPr>
          <w:rFonts w:hint="eastAsia" w:ascii="仿宋_GB2312" w:eastAsia="仿宋_GB2312" w:cs="仿宋_GB2312"/>
          <w:sz w:val="32"/>
          <w:szCs w:val="32"/>
        </w:rPr>
        <w:t>本项目根据区政府常务会通过，在完善相关手续后于</w:t>
      </w:r>
      <w:r>
        <w:rPr>
          <w:rFonts w:ascii="仿宋_GB2312" w:eastAsia="仿宋_GB2312" w:cs="仿宋_GB2312"/>
          <w:sz w:val="32"/>
          <w:szCs w:val="32"/>
        </w:rPr>
        <w:t>2015</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29</w:t>
      </w:r>
      <w:r>
        <w:rPr>
          <w:rFonts w:hint="eastAsia" w:ascii="仿宋_GB2312" w:eastAsia="仿宋_GB2312" w:cs="仿宋_GB2312"/>
          <w:sz w:val="32"/>
          <w:szCs w:val="32"/>
        </w:rPr>
        <w:t>日进行了固定资产项目备案。证号：鹿发改投资备字【</w:t>
      </w:r>
      <w:r>
        <w:rPr>
          <w:rFonts w:ascii="仿宋_GB2312" w:eastAsia="仿宋_GB2312" w:cs="仿宋_GB2312"/>
          <w:sz w:val="32"/>
          <w:szCs w:val="32"/>
        </w:rPr>
        <w:t>2015</w:t>
      </w:r>
      <w:r>
        <w:rPr>
          <w:rFonts w:hint="eastAsia" w:ascii="仿宋_GB2312" w:eastAsia="仿宋_GB2312" w:cs="仿宋_GB2312"/>
          <w:sz w:val="32"/>
          <w:szCs w:val="32"/>
        </w:rPr>
        <w:t>】</w:t>
      </w:r>
      <w:r>
        <w:rPr>
          <w:rFonts w:ascii="仿宋_GB2312" w:eastAsia="仿宋_GB2312" w:cs="仿宋_GB2312"/>
          <w:sz w:val="32"/>
          <w:szCs w:val="32"/>
        </w:rPr>
        <w:t>25</w:t>
      </w:r>
      <w:r>
        <w:rPr>
          <w:rFonts w:hint="eastAsia" w:ascii="仿宋_GB2312" w:eastAsia="仿宋_GB2312" w:cs="仿宋_GB2312"/>
          <w:sz w:val="32"/>
          <w:szCs w:val="32"/>
        </w:rPr>
        <w:t>号。</w:t>
      </w:r>
    </w:p>
    <w:p>
      <w:pPr>
        <w:ind w:firstLine="531" w:firstLineChars="147"/>
        <w:rPr>
          <w:rFonts w:ascii="宋体" w:cs="Times New Roman"/>
          <w:b/>
          <w:bCs/>
          <w:sz w:val="36"/>
          <w:szCs w:val="36"/>
        </w:rPr>
      </w:pPr>
      <w:r>
        <w:rPr>
          <w:rFonts w:ascii="宋体" w:hAnsi="宋体" w:cs="宋体"/>
          <w:b/>
          <w:bCs/>
          <w:sz w:val="36"/>
          <w:szCs w:val="36"/>
        </w:rPr>
        <w:t>2</w:t>
      </w:r>
      <w:r>
        <w:rPr>
          <w:rFonts w:hint="eastAsia" w:ascii="宋体" w:hAnsi="宋体" w:cs="宋体"/>
          <w:b/>
          <w:bCs/>
          <w:sz w:val="36"/>
          <w:szCs w:val="36"/>
        </w:rPr>
        <w:t>、项目主要实施内容和范围</w:t>
      </w:r>
    </w:p>
    <w:p>
      <w:pPr>
        <w:spacing w:line="360" w:lineRule="auto"/>
        <w:ind w:firstLine="640" w:firstLineChars="200"/>
        <w:jc w:val="left"/>
        <w:rPr>
          <w:rFonts w:ascii="仿宋_GB2312" w:hAnsi="宋体" w:eastAsia="仿宋_GB2312" w:cs="Times New Roman"/>
          <w:sz w:val="32"/>
          <w:szCs w:val="32"/>
        </w:rPr>
      </w:pPr>
      <w:r>
        <w:rPr>
          <w:rFonts w:hint="eastAsia" w:ascii="仿宋_GB2312" w:hAnsi="宋体" w:eastAsia="仿宋_GB2312" w:cs="仿宋_GB2312"/>
          <w:sz w:val="32"/>
          <w:szCs w:val="32"/>
        </w:rPr>
        <w:t>项目选址位于鹿泉区黄壁庄镇，规划占地</w:t>
      </w:r>
      <w:r>
        <w:rPr>
          <w:rFonts w:ascii="仿宋_GB2312" w:hAnsi="宋体" w:eastAsia="仿宋_GB2312" w:cs="仿宋_GB2312"/>
          <w:sz w:val="32"/>
          <w:szCs w:val="32"/>
        </w:rPr>
        <w:t>82299.8</w:t>
      </w:r>
      <w:r>
        <w:rPr>
          <w:rFonts w:hint="eastAsia" w:ascii="仿宋_GB2312" w:hAnsi="宋体" w:eastAsia="仿宋_GB2312" w:cs="仿宋_GB2312"/>
          <w:sz w:val="32"/>
          <w:szCs w:val="32"/>
        </w:rPr>
        <w:t>平方米。建设内容为</w:t>
      </w:r>
      <w:r>
        <w:rPr>
          <w:rFonts w:ascii="仿宋_GB2312" w:hAnsi="宋体" w:eastAsia="仿宋_GB2312" w:cs="仿宋_GB2312"/>
          <w:sz w:val="32"/>
          <w:szCs w:val="32"/>
        </w:rPr>
        <w:t>10</w:t>
      </w:r>
      <w:r>
        <w:rPr>
          <w:rFonts w:hint="eastAsia" w:ascii="仿宋_GB2312" w:hAnsi="宋体" w:eastAsia="仿宋_GB2312" w:cs="仿宋_GB2312"/>
          <w:sz w:val="32"/>
          <w:szCs w:val="32"/>
        </w:rPr>
        <w:t>栋标准房式仓以及磅房、食堂、质检、化验等相关设施，总仓容达</w:t>
      </w:r>
      <w:r>
        <w:rPr>
          <w:rFonts w:ascii="仿宋_GB2312" w:hAnsi="宋体" w:eastAsia="仿宋_GB2312" w:cs="仿宋_GB2312"/>
          <w:sz w:val="32"/>
          <w:szCs w:val="32"/>
        </w:rPr>
        <w:t>11</w:t>
      </w:r>
      <w:r>
        <w:rPr>
          <w:rFonts w:hint="eastAsia" w:ascii="仿宋_GB2312" w:hAnsi="宋体" w:eastAsia="仿宋_GB2312" w:cs="仿宋_GB2312"/>
          <w:sz w:val="32"/>
          <w:szCs w:val="32"/>
        </w:rPr>
        <w:t>万吨。于</w:t>
      </w:r>
      <w:r>
        <w:rPr>
          <w:rFonts w:ascii="仿宋_GB2312" w:hAnsi="宋体" w:eastAsia="仿宋_GB2312" w:cs="仿宋_GB2312"/>
          <w:sz w:val="32"/>
          <w:szCs w:val="32"/>
        </w:rPr>
        <w:t>2016</w:t>
      </w:r>
      <w:r>
        <w:rPr>
          <w:rFonts w:hint="eastAsia" w:ascii="仿宋_GB2312" w:hAnsi="宋体" w:eastAsia="仿宋_GB2312" w:cs="仿宋_GB2312"/>
          <w:sz w:val="32"/>
          <w:szCs w:val="32"/>
        </w:rPr>
        <w:t>年</w:t>
      </w:r>
      <w:r>
        <w:rPr>
          <w:rFonts w:ascii="仿宋_GB2312" w:hAnsi="宋体" w:eastAsia="仿宋_GB2312" w:cs="仿宋_GB2312"/>
          <w:sz w:val="32"/>
          <w:szCs w:val="32"/>
        </w:rPr>
        <w:t>6</w:t>
      </w:r>
      <w:r>
        <w:rPr>
          <w:rFonts w:hint="eastAsia" w:ascii="仿宋_GB2312" w:hAnsi="宋体" w:eastAsia="仿宋_GB2312" w:cs="仿宋_GB2312"/>
          <w:sz w:val="32"/>
          <w:szCs w:val="32"/>
        </w:rPr>
        <w:t>月开始建设，</w:t>
      </w:r>
      <w:r>
        <w:rPr>
          <w:rFonts w:ascii="仿宋_GB2312" w:hAnsi="宋体" w:eastAsia="仿宋_GB2312" w:cs="仿宋_GB2312"/>
          <w:sz w:val="32"/>
          <w:szCs w:val="32"/>
        </w:rPr>
        <w:t>2018</w:t>
      </w:r>
      <w:r>
        <w:rPr>
          <w:rFonts w:hint="eastAsia" w:ascii="仿宋_GB2312" w:hAnsi="宋体" w:eastAsia="仿宋_GB2312" w:cs="仿宋_GB2312"/>
          <w:sz w:val="32"/>
          <w:szCs w:val="32"/>
        </w:rPr>
        <w:t>年</w:t>
      </w:r>
      <w:r>
        <w:rPr>
          <w:rFonts w:ascii="仿宋_GB2312" w:hAnsi="宋体" w:eastAsia="仿宋_GB2312" w:cs="仿宋_GB2312"/>
          <w:sz w:val="32"/>
          <w:szCs w:val="32"/>
        </w:rPr>
        <w:t>10</w:t>
      </w:r>
      <w:r>
        <w:rPr>
          <w:rFonts w:hint="eastAsia" w:ascii="仿宋_GB2312" w:hAnsi="宋体" w:eastAsia="仿宋_GB2312" w:cs="仿宋_GB2312"/>
          <w:sz w:val="32"/>
          <w:szCs w:val="32"/>
        </w:rPr>
        <w:t>月竣工；项目建成后，可调动周边农民的种粮积极性，促进周边富余人员的再就业，有效提高我区在粮食行业的市场竞争力，极大提高储粮环境，确保各级储备粮安全。</w:t>
      </w:r>
    </w:p>
    <w:p>
      <w:pPr>
        <w:spacing w:line="360" w:lineRule="auto"/>
        <w:ind w:firstLine="354" w:firstLineChars="98"/>
        <w:jc w:val="left"/>
        <w:rPr>
          <w:rFonts w:ascii="宋体" w:cs="Times New Roman"/>
          <w:b/>
          <w:bCs/>
          <w:sz w:val="36"/>
          <w:szCs w:val="36"/>
        </w:rPr>
      </w:pPr>
      <w:r>
        <w:rPr>
          <w:rFonts w:ascii="宋体" w:hAnsi="宋体" w:cs="宋体"/>
          <w:b/>
          <w:bCs/>
          <w:sz w:val="36"/>
          <w:szCs w:val="36"/>
        </w:rPr>
        <w:t>3</w:t>
      </w:r>
      <w:r>
        <w:rPr>
          <w:rFonts w:hint="eastAsia" w:ascii="宋体" w:hAnsi="宋体" w:cs="宋体"/>
          <w:b/>
          <w:bCs/>
          <w:sz w:val="36"/>
          <w:szCs w:val="36"/>
        </w:rPr>
        <w:t>、项目资金投入情况</w:t>
      </w:r>
    </w:p>
    <w:p>
      <w:pPr>
        <w:spacing w:line="360" w:lineRule="auto"/>
        <w:ind w:firstLine="354" w:firstLineChars="98"/>
        <w:jc w:val="left"/>
        <w:rPr>
          <w:rFonts w:ascii="宋体" w:cs="Times New Roman"/>
          <w:b/>
          <w:bCs/>
          <w:sz w:val="36"/>
          <w:szCs w:val="36"/>
        </w:rPr>
      </w:pPr>
      <w:r>
        <w:rPr>
          <w:rFonts w:ascii="宋体" w:hAnsi="宋体" w:cs="宋体"/>
          <w:b/>
          <w:bCs/>
          <w:sz w:val="36"/>
          <w:szCs w:val="36"/>
        </w:rPr>
        <w:t xml:space="preserve">    </w:t>
      </w:r>
      <w:r>
        <w:rPr>
          <w:rFonts w:hint="eastAsia" w:ascii="宋体" w:hAnsi="宋体" w:cs="宋体"/>
          <w:b/>
          <w:bCs/>
          <w:sz w:val="36"/>
          <w:szCs w:val="36"/>
        </w:rPr>
        <w:t>自项目开工以来，截</w:t>
      </w:r>
      <w:r>
        <w:rPr>
          <w:rFonts w:hint="eastAsia" w:ascii="宋体" w:hAnsi="宋体" w:cs="宋体"/>
          <w:b/>
          <w:bCs/>
          <w:sz w:val="36"/>
          <w:szCs w:val="36"/>
          <w:lang w:eastAsia="zh-CN"/>
        </w:rPr>
        <w:t>至</w:t>
      </w:r>
      <w:bookmarkStart w:id="0" w:name="_GoBack"/>
      <w:bookmarkEnd w:id="0"/>
      <w:r>
        <w:rPr>
          <w:rFonts w:ascii="宋体" w:hAnsi="宋体" w:cs="宋体"/>
          <w:b/>
          <w:bCs/>
          <w:sz w:val="36"/>
          <w:szCs w:val="36"/>
        </w:rPr>
        <w:t>2018</w:t>
      </w:r>
      <w:r>
        <w:rPr>
          <w:rFonts w:hint="eastAsia" w:ascii="宋体" w:hAnsi="宋体" w:cs="宋体"/>
          <w:b/>
          <w:bCs/>
          <w:sz w:val="36"/>
          <w:szCs w:val="36"/>
        </w:rPr>
        <w:t>年底区财政累计安排</w:t>
      </w:r>
      <w:r>
        <w:rPr>
          <w:rFonts w:hint="eastAsia" w:ascii="宋体" w:cs="宋体"/>
          <w:b/>
          <w:bCs/>
          <w:sz w:val="36"/>
          <w:szCs w:val="36"/>
        </w:rPr>
        <w:t>整体置换外迁资金</w:t>
      </w:r>
      <w:r>
        <w:rPr>
          <w:rFonts w:ascii="宋体" w:cs="宋体"/>
          <w:b/>
          <w:bCs/>
          <w:sz w:val="36"/>
          <w:szCs w:val="36"/>
        </w:rPr>
        <w:t>11037</w:t>
      </w:r>
      <w:r>
        <w:rPr>
          <w:rFonts w:hint="eastAsia" w:ascii="宋体" w:cs="宋体"/>
          <w:b/>
          <w:bCs/>
          <w:sz w:val="36"/>
          <w:szCs w:val="36"/>
        </w:rPr>
        <w:t>万元用于新库区建设。</w:t>
      </w:r>
      <w:r>
        <w:rPr>
          <w:rFonts w:hint="eastAsia" w:ascii="宋体" w:hAnsi="宋体" w:cs="宋体"/>
          <w:b/>
          <w:bCs/>
          <w:sz w:val="36"/>
          <w:szCs w:val="36"/>
        </w:rPr>
        <w:t>根据财力情况，区财政</w:t>
      </w:r>
      <w:r>
        <w:rPr>
          <w:rFonts w:ascii="宋体" w:hAnsi="宋体" w:cs="宋体"/>
          <w:b/>
          <w:bCs/>
          <w:sz w:val="36"/>
          <w:szCs w:val="36"/>
        </w:rPr>
        <w:t>2019</w:t>
      </w:r>
      <w:r>
        <w:rPr>
          <w:rFonts w:hint="eastAsia" w:ascii="宋体" w:hAnsi="宋体" w:cs="宋体"/>
          <w:b/>
          <w:bCs/>
          <w:sz w:val="36"/>
          <w:szCs w:val="36"/>
        </w:rPr>
        <w:t>年安排</w:t>
      </w:r>
      <w:r>
        <w:rPr>
          <w:rFonts w:ascii="宋体" w:hAnsi="宋体" w:cs="宋体"/>
          <w:b/>
          <w:bCs/>
          <w:sz w:val="36"/>
          <w:szCs w:val="36"/>
        </w:rPr>
        <w:t>2945</w:t>
      </w:r>
      <w:r>
        <w:rPr>
          <w:rFonts w:hint="eastAsia" w:ascii="宋体" w:hAnsi="宋体" w:cs="宋体"/>
          <w:b/>
          <w:bCs/>
          <w:sz w:val="36"/>
          <w:szCs w:val="36"/>
        </w:rPr>
        <w:t>万元</w:t>
      </w:r>
      <w:r>
        <w:rPr>
          <w:rFonts w:hint="eastAsia" w:ascii="宋体" w:cs="宋体"/>
          <w:b/>
          <w:bCs/>
          <w:sz w:val="36"/>
          <w:szCs w:val="36"/>
        </w:rPr>
        <w:t>整体置换外迁资金，资金已全部到位，并已全部用于储备库（新建）项目。</w:t>
      </w:r>
    </w:p>
    <w:p>
      <w:pPr>
        <w:adjustRightInd w:val="0"/>
        <w:snapToGrid w:val="0"/>
        <w:spacing w:line="360" w:lineRule="auto"/>
        <w:ind w:firstLine="640" w:firstLineChars="200"/>
        <w:rPr>
          <w:rFonts w:ascii="楷体_GB2312" w:hAnsi="楷体_GB2312" w:eastAsia="楷体_GB2312" w:cs="Times New Roman"/>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cs="Times New Roman"/>
          <w:sz w:val="32"/>
          <w:szCs w:val="32"/>
        </w:rPr>
      </w:pPr>
      <w:r>
        <w:rPr>
          <w:rFonts w:ascii="仿宋_GB2312" w:eastAsia="仿宋_GB2312" w:cs="仿宋_GB2312"/>
          <w:sz w:val="32"/>
          <w:szCs w:val="32"/>
        </w:rPr>
        <w:t xml:space="preserve">      </w:t>
      </w:r>
      <w:r>
        <w:rPr>
          <w:rFonts w:hint="eastAsia" w:ascii="仿宋_GB2312" w:eastAsia="仿宋_GB2312" w:cs="仿宋_GB2312"/>
          <w:sz w:val="32"/>
          <w:szCs w:val="32"/>
        </w:rPr>
        <w:t>确保储备库（新建）项目按期竣工并投入使用，争取企业经济效益和社会效益最大化。</w:t>
      </w:r>
    </w:p>
    <w:p>
      <w:pPr>
        <w:adjustRightInd w:val="0"/>
        <w:snapToGrid w:val="0"/>
        <w:spacing w:line="360" w:lineRule="auto"/>
        <w:ind w:firstLine="642" w:firstLineChars="200"/>
        <w:rPr>
          <w:rFonts w:ascii="仿宋_GB2312" w:eastAsia="仿宋_GB2312" w:cs="Times New Roman"/>
          <w:sz w:val="32"/>
          <w:szCs w:val="32"/>
        </w:rPr>
      </w:pPr>
      <w:r>
        <w:rPr>
          <w:rFonts w:hint="eastAsia" w:ascii="黑体" w:hAnsi="黑体" w:eastAsia="黑体" w:cs="黑体"/>
          <w:b/>
          <w:bCs/>
          <w:sz w:val="32"/>
          <w:szCs w:val="32"/>
        </w:rPr>
        <w:t>二、绩效评价工作情况</w:t>
      </w:r>
    </w:p>
    <w:p>
      <w:pPr>
        <w:ind w:firstLine="624" w:firstLineChars="195"/>
        <w:rPr>
          <w:rFonts w:ascii="仿宋_GB2312" w:hAnsi="仿宋_GB2312" w:eastAsia="仿宋_GB2312" w:cs="Times New Roman"/>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、产出指标：本项目共新建</w:t>
      </w:r>
      <w:r>
        <w:rPr>
          <w:rFonts w:ascii="仿宋_GB2312" w:hAnsi="仿宋_GB2312" w:eastAsia="仿宋_GB2312" w:cs="仿宋_GB2312"/>
          <w:sz w:val="32"/>
          <w:szCs w:val="32"/>
        </w:rPr>
        <w:t>22</w:t>
      </w:r>
      <w:r>
        <w:rPr>
          <w:rFonts w:hint="eastAsia" w:ascii="仿宋_GB2312" w:hAnsi="仿宋_GB2312" w:eastAsia="仿宋_GB2312" w:cs="仿宋_GB2312"/>
          <w:sz w:val="32"/>
          <w:szCs w:val="32"/>
        </w:rPr>
        <w:t>个仓号，竣工后，仓储设施的安全储粮环境将进一步得到改善，仓库完好率达到</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，仓容比原库容提高了</w:t>
      </w:r>
      <w:r>
        <w:rPr>
          <w:rFonts w:ascii="仿宋_GB2312" w:hAnsi="仿宋_GB2312" w:eastAsia="仿宋_GB2312" w:cs="仿宋_GB2312"/>
          <w:sz w:val="32"/>
          <w:szCs w:val="32"/>
        </w:rPr>
        <w:t>300%</w:t>
      </w:r>
      <w:r>
        <w:rPr>
          <w:rFonts w:hint="eastAsia" w:ascii="仿宋_GB2312" w:hAnsi="仿宋_GB2312" w:eastAsia="仿宋_GB2312" w:cs="仿宋_GB2312"/>
          <w:sz w:val="32"/>
          <w:szCs w:val="32"/>
        </w:rPr>
        <w:t>。</w:t>
      </w:r>
    </w:p>
    <w:p>
      <w:pPr>
        <w:ind w:firstLine="624" w:firstLineChars="195"/>
        <w:rPr>
          <w:rFonts w:ascii="仿宋_GB2312" w:hAnsi="仿宋_GB2312" w:eastAsia="仿宋_GB2312" w:cs="Times New Roman"/>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经济效益指标：该项目竣工后，改善了我库仓储条件，进而实现降低储粮成本，以仓储实现效益。主要表现在：库内储粮环境基本达到准低温储粮，减少了因粮堆高温而产生的生虫坏粮事故，每年能节约熏蒸费、人工费近</w:t>
      </w:r>
      <w:r>
        <w:rPr>
          <w:rFonts w:ascii="仿宋_GB2312" w:hAnsi="仿宋_GB2312" w:eastAsia="仿宋_GB2312" w:cs="仿宋_GB2312"/>
          <w:sz w:val="32"/>
          <w:szCs w:val="32"/>
        </w:rPr>
        <w:t>20000</w:t>
      </w:r>
      <w:r>
        <w:rPr>
          <w:rFonts w:hint="eastAsia" w:ascii="仿宋_GB2312" w:hAnsi="仿宋_GB2312" w:eastAsia="仿宋_GB2312" w:cs="仿宋_GB2312"/>
          <w:sz w:val="32"/>
          <w:szCs w:val="32"/>
        </w:rPr>
        <w:t>元；避免了坏粮亏库现象；同时提高了仓库的有效利用率，可增加有效仓容近</w:t>
      </w:r>
      <w:r>
        <w:rPr>
          <w:rFonts w:ascii="仿宋_GB2312" w:hAnsi="仿宋_GB2312" w:eastAsia="仿宋_GB2312" w:cs="仿宋_GB2312"/>
          <w:sz w:val="32"/>
          <w:szCs w:val="32"/>
        </w:rPr>
        <w:t>11</w:t>
      </w:r>
      <w:r>
        <w:rPr>
          <w:rFonts w:hint="eastAsia" w:ascii="仿宋_GB2312" w:hAnsi="仿宋_GB2312" w:eastAsia="仿宋_GB2312" w:cs="仿宋_GB2312"/>
          <w:sz w:val="32"/>
          <w:szCs w:val="32"/>
        </w:rPr>
        <w:t>万吨，经济效益明显。</w:t>
      </w:r>
    </w:p>
    <w:p>
      <w:pPr>
        <w:pStyle w:val="2"/>
        <w:ind w:firstLine="640" w:firstLineChars="200"/>
        <w:rPr>
          <w:rFonts w:ascii="仿宋_GB2312" w:hAnsi="仿宋_GB2312" w:eastAsia="仿宋_GB2312" w:cs="Times New Roman"/>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社会效益指标：作为我区唯一一家国有粮食收储企业，连续多年按照国家政策收购余粮。随着中央惠农政策力度的加大，农民种粮积极性大增，连续多年丰产，种粮农民切实得到了实惠。项目投入使用后，杜绝了长此以往的各种安全储粮隐患，保证了仓房的长期使用，具有较大的可持续性。仓房条件的有效改善，将使收购量进一步提升，活跃了区域内粮食市场，在一定程度上调动了农民的种粮积极性，更大的享受惠民政策。</w:t>
      </w:r>
    </w:p>
    <w:p>
      <w:pPr>
        <w:ind w:firstLine="624" w:firstLineChars="195"/>
        <w:rPr>
          <w:rFonts w:ascii="仿宋_GB2312" w:hAnsi="仿宋_GB2312" w:eastAsia="仿宋_GB2312" w:cs="Times New Roman"/>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环境效益指标：本项目为新建项目，项目初期就进行了环境评价报告，对“三废”有明确的处理方法，不会对周边产生新的污染源，不会破坏自然环境。在整个施工过程中产生的少量废弃物物经过适当的措施均能达到有关排放标准。总体上对环境是没有任何影响。</w:t>
      </w:r>
    </w:p>
    <w:p>
      <w:pPr>
        <w:ind w:firstLine="640" w:firstLineChars="200"/>
        <w:rPr>
          <w:rFonts w:ascii="仿宋_GB2312" w:eastAsia="仿宋_GB2312" w:cs="Times New Roman"/>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可持续影响指标：本项目建设符合国家、省市相关政策。项目竣工后，极大的改善了存储条件，确保了国粮的安全。提高了储备数量，稳固了国家宏观调控能力。调动了广大农民种粮积极性，充分发挥了粮食主渠道作用，国家惠农政策落到实处。</w:t>
      </w:r>
    </w:p>
    <w:p>
      <w:pPr>
        <w:adjustRightInd w:val="0"/>
        <w:snapToGrid w:val="0"/>
        <w:spacing w:line="360" w:lineRule="auto"/>
        <w:ind w:firstLine="3220" w:firstLineChars="1150"/>
        <w:rPr>
          <w:rFonts w:ascii="黑体" w:hAnsi="黑体" w:eastAsia="黑体" w:cs="Times New Roman"/>
          <w:sz w:val="28"/>
          <w:szCs w:val="28"/>
        </w:rPr>
      </w:pPr>
      <w:r>
        <w:rPr>
          <w:rFonts w:hint="eastAsia" w:ascii="黑体" w:hAnsi="黑体" w:eastAsia="黑体" w:cs="黑体"/>
          <w:sz w:val="28"/>
          <w:szCs w:val="28"/>
        </w:rPr>
        <w:t>石家庄鹿泉区省级粮食储备库</w:t>
      </w:r>
    </w:p>
    <w:p>
      <w:pPr>
        <w:adjustRightInd w:val="0"/>
        <w:snapToGrid w:val="0"/>
        <w:spacing w:line="360" w:lineRule="auto"/>
        <w:ind w:firstLine="3500" w:firstLineChars="1250"/>
        <w:rPr>
          <w:rFonts w:ascii="黑体" w:hAnsi="黑体" w:eastAsia="黑体" w:cs="Times New Roman"/>
          <w:sz w:val="28"/>
          <w:szCs w:val="28"/>
        </w:rPr>
      </w:pPr>
      <w:r>
        <w:rPr>
          <w:rFonts w:ascii="黑体" w:hAnsi="黑体" w:eastAsia="黑体" w:cs="黑体"/>
          <w:sz w:val="28"/>
          <w:szCs w:val="28"/>
        </w:rPr>
        <w:t>2020</w:t>
      </w:r>
      <w:r>
        <w:rPr>
          <w:rFonts w:hint="eastAsia" w:ascii="黑体" w:hAnsi="黑体" w:eastAsia="黑体" w:cs="黑体"/>
          <w:sz w:val="28"/>
          <w:szCs w:val="28"/>
        </w:rPr>
        <w:t>年</w:t>
      </w:r>
      <w:r>
        <w:rPr>
          <w:rFonts w:ascii="黑体" w:hAnsi="黑体" w:eastAsia="黑体" w:cs="黑体"/>
          <w:sz w:val="28"/>
          <w:szCs w:val="28"/>
        </w:rPr>
        <w:t>1</w:t>
      </w:r>
      <w:r>
        <w:rPr>
          <w:rFonts w:hint="eastAsia" w:ascii="黑体" w:hAnsi="黑体" w:eastAsia="黑体" w:cs="黑体"/>
          <w:sz w:val="28"/>
          <w:szCs w:val="28"/>
        </w:rPr>
        <w:t>月</w:t>
      </w:r>
      <w:r>
        <w:rPr>
          <w:rFonts w:ascii="黑体" w:hAnsi="黑体" w:eastAsia="黑体" w:cs="黑体"/>
          <w:sz w:val="28"/>
          <w:szCs w:val="28"/>
        </w:rPr>
        <w:t>6</w:t>
      </w:r>
      <w:r>
        <w:rPr>
          <w:rFonts w:hint="eastAsia" w:ascii="黑体" w:hAnsi="黑体" w:eastAsia="黑体" w:cs="黑体"/>
          <w:sz w:val="28"/>
          <w:szCs w:val="28"/>
        </w:rPr>
        <w:t>日</w:t>
      </w:r>
    </w:p>
    <w:p>
      <w:pPr>
        <w:adjustRightInd w:val="0"/>
        <w:spacing w:line="360" w:lineRule="auto"/>
        <w:ind w:firstLine="640" w:firstLineChars="200"/>
        <w:rPr>
          <w:rFonts w:ascii="仿宋_GB2312" w:hAnsi="宋体" w:eastAsia="仿宋_GB2312" w:cs="Times New Roman"/>
          <w:sz w:val="32"/>
          <w:szCs w:val="32"/>
        </w:rPr>
      </w:pPr>
      <w:r>
        <w:rPr>
          <w:rFonts w:ascii="仿宋_GB2312" w:eastAsia="仿宋_GB2312" w:cs="仿宋_GB2312"/>
          <w:sz w:val="32"/>
          <w:szCs w:val="32"/>
        </w:rPr>
        <w:t xml:space="preserve">  </w:t>
      </w:r>
    </w:p>
    <w:p>
      <w:pPr>
        <w:adjustRightInd w:val="0"/>
        <w:spacing w:line="360" w:lineRule="auto"/>
        <w:ind w:firstLine="640" w:firstLineChars="200"/>
        <w:rPr>
          <w:rFonts w:ascii="仿宋_GB2312" w:hAnsi="宋体" w:eastAsia="仿宋_GB2312" w:cs="Times New Roman"/>
          <w:sz w:val="32"/>
          <w:szCs w:val="32"/>
        </w:rPr>
      </w:pPr>
    </w:p>
    <w:sectPr>
      <w:headerReference r:id="rId3" w:type="first"/>
      <w:footerReference r:id="rId5" w:type="first"/>
      <w:footerReference r:id="rId4" w:type="default"/>
      <w:pgSz w:w="11906" w:h="16838"/>
      <w:pgMar w:top="1191" w:right="1644" w:bottom="567"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Courier New">
    <w:altName w:val="DejaVu Sans"/>
    <w:panose1 w:val="02070309020205020404"/>
    <w:charset w:val="00"/>
    <w:family w:val="modern"/>
    <w:pitch w:val="default"/>
    <w:sig w:usb0="00000000" w:usb1="00000000" w:usb2="00000009" w:usb3="00000000" w:csb0="0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2952AA"/>
    <w:rsid w:val="002F333D"/>
    <w:rsid w:val="003233F5"/>
    <w:rsid w:val="003C5CDB"/>
    <w:rsid w:val="003F1071"/>
    <w:rsid w:val="004022D6"/>
    <w:rsid w:val="00457C1D"/>
    <w:rsid w:val="00696E44"/>
    <w:rsid w:val="006C4F0A"/>
    <w:rsid w:val="0070630F"/>
    <w:rsid w:val="007B7D69"/>
    <w:rsid w:val="007D2724"/>
    <w:rsid w:val="007E05BD"/>
    <w:rsid w:val="007F0F87"/>
    <w:rsid w:val="008D6950"/>
    <w:rsid w:val="008E3FC1"/>
    <w:rsid w:val="00913A5E"/>
    <w:rsid w:val="0094720F"/>
    <w:rsid w:val="00A817D3"/>
    <w:rsid w:val="00B674D9"/>
    <w:rsid w:val="00B8433A"/>
    <w:rsid w:val="00B94DEC"/>
    <w:rsid w:val="00C42766"/>
    <w:rsid w:val="00CB7C1E"/>
    <w:rsid w:val="00CD34D8"/>
    <w:rsid w:val="00DC471A"/>
    <w:rsid w:val="00E013B0"/>
    <w:rsid w:val="2A2941B7"/>
    <w:rsid w:val="BF3FF28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1"/>
    <w:qFormat/>
    <w:uiPriority w:val="99"/>
    <w:rPr>
      <w:rFonts w:ascii="宋体" w:hAnsi="Courier New" w:cs="宋体"/>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cs="Times New Roman"/>
      <w:sz w:val="18"/>
      <w:szCs w:val="18"/>
    </w:rPr>
  </w:style>
  <w:style w:type="character" w:styleId="7">
    <w:name w:val="page number"/>
    <w:basedOn w:val="6"/>
    <w:qFormat/>
    <w:uiPriority w:val="99"/>
  </w:style>
  <w:style w:type="character" w:customStyle="1" w:styleId="8">
    <w:name w:val="Footer Char"/>
    <w:basedOn w:val="6"/>
    <w:link w:val="3"/>
    <w:semiHidden/>
    <w:qFormat/>
    <w:locked/>
    <w:uiPriority w:val="99"/>
    <w:rPr>
      <w:sz w:val="18"/>
      <w:szCs w:val="18"/>
    </w:rPr>
  </w:style>
  <w:style w:type="character" w:customStyle="1" w:styleId="9">
    <w:name w:val="Header Char"/>
    <w:basedOn w:val="6"/>
    <w:link w:val="4"/>
    <w:semiHidden/>
    <w:qFormat/>
    <w:locked/>
    <w:uiPriority w:val="99"/>
    <w:rPr>
      <w:sz w:val="18"/>
      <w:szCs w:val="18"/>
    </w:rPr>
  </w:style>
  <w:style w:type="paragraph" w:customStyle="1" w:styleId="10">
    <w:name w:val="默认段落字体 Para Char Char Char Char Char Char Char"/>
    <w:basedOn w:val="1"/>
    <w:qFormat/>
    <w:uiPriority w:val="99"/>
  </w:style>
  <w:style w:type="character" w:customStyle="1" w:styleId="11">
    <w:name w:val="Plain Text Char"/>
    <w:basedOn w:val="6"/>
    <w:link w:val="2"/>
    <w:semiHidden/>
    <w:qFormat/>
    <w:locked/>
    <w:uiPriority w:val="99"/>
    <w:rPr>
      <w:rFonts w:ascii="宋体" w:hAnsi="Courier New" w:cs="宋体"/>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Pages>
  <Words>213</Words>
  <Characters>1215</Characters>
  <Lines>0</Lines>
  <Paragraphs>0</Paragraphs>
  <TotalTime>172</TotalTime>
  <ScaleCrop>false</ScaleCrop>
  <LinksUpToDate>false</LinksUpToDate>
  <CharactersWithSpaces>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cp:lastPrinted>2020-01-06T16:22:00Z</cp:lastPrinted>
  <dcterms:modified xsi:type="dcterms:W3CDTF">2024-11-26T16:01:40Z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1D36140155F2F1B96480456751DD83F8_42</vt:lpwstr>
  </property>
</Properties>
</file>