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right="0" w:rightChars="0"/>
        <w:jc w:val="both"/>
        <w:textAlignment w:val="auto"/>
        <w:outlineLvl w:val="9"/>
        <w:rPr>
          <w:rFonts w:hint="eastAsia" w:ascii="黑体" w:hAnsi="黑体" w:eastAsia="黑体" w:cs="黑体"/>
          <w:b w:val="0"/>
          <w:bCs w:val="0"/>
          <w:sz w:val="32"/>
          <w:szCs w:val="32"/>
          <w:lang w:val="en-US" w:eastAsia="zh-CN"/>
        </w:rPr>
      </w:pPr>
    </w:p>
    <w:p>
      <w:pPr>
        <w:spacing w:line="360" w:lineRule="auto"/>
        <w:ind w:left="0" w:leftChars="0" w:right="0" w:rightChars="0" w:firstLine="0" w:firstLineChars="0"/>
        <w:jc w:val="center"/>
        <w:rPr>
          <w:rFonts w:hint="eastAsia" w:ascii="仿宋" w:hAnsi="仿宋" w:eastAsia="仿宋" w:cs="仿宋"/>
          <w:sz w:val="32"/>
          <w:szCs w:val="32"/>
          <w:lang w:eastAsia="zh-CN"/>
        </w:rPr>
      </w:pPr>
      <w:r>
        <w:rPr>
          <w:rFonts w:hint="eastAsia" w:ascii="宋体"/>
          <w:b/>
          <w:bCs/>
          <w:sz w:val="36"/>
          <w:szCs w:val="32"/>
          <w:lang w:eastAsia="zh-CN"/>
        </w:rPr>
        <w:t>粮食监督检查经费项目</w:t>
      </w:r>
      <w:r>
        <w:rPr>
          <w:rFonts w:hint="eastAsia" w:ascii="宋体"/>
          <w:b/>
          <w:bCs/>
          <w:sz w:val="36"/>
          <w:szCs w:val="32"/>
        </w:rPr>
        <w:t>绩效评价报告</w:t>
      </w:r>
    </w:p>
    <w:p>
      <w:pPr>
        <w:spacing w:line="360" w:lineRule="auto"/>
        <w:ind w:left="0" w:leftChars="0" w:right="0" w:rightChars="0" w:firstLine="0" w:firstLineChars="0"/>
        <w:jc w:val="center"/>
        <w:rPr>
          <w:rFonts w:hint="eastAsia" w:ascii="仿宋" w:hAnsi="仿宋" w:eastAsia="仿宋" w:cs="仿宋"/>
          <w:sz w:val="32"/>
          <w:szCs w:val="32"/>
          <w:lang w:eastAsia="zh-CN"/>
        </w:rPr>
      </w:pPr>
    </w:p>
    <w:p>
      <w:pPr>
        <w:spacing w:line="360" w:lineRule="auto"/>
        <w:ind w:left="0" w:leftChars="0" w:right="0" w:rightChars="0" w:firstLine="0" w:firstLineChars="0"/>
        <w:jc w:val="center"/>
        <w:rPr>
          <w:rFonts w:hint="eastAsia" w:ascii="华文楷体" w:eastAsia="华文楷体"/>
          <w:sz w:val="32"/>
          <w:szCs w:val="32"/>
          <w:lang w:eastAsia="zh-CN"/>
        </w:rPr>
      </w:pPr>
    </w:p>
    <w:p>
      <w:pPr>
        <w:adjustRightInd w:val="0"/>
        <w:snapToGrid w:val="0"/>
        <w:spacing w:line="360" w:lineRule="auto"/>
        <w:ind w:firstLine="640" w:firstLineChars="200"/>
        <w:rPr>
          <w:rFonts w:hint="eastAsia" w:ascii="仿宋_GB2312" w:eastAsia="仿宋_GB2312"/>
          <w:sz w:val="32"/>
          <w:szCs w:val="32"/>
        </w:rPr>
      </w:pPr>
      <w:r>
        <w:rPr>
          <w:rFonts w:hint="eastAsia" w:ascii="仿宋_GB2312" w:eastAsia="仿宋_GB2312"/>
          <w:sz w:val="32"/>
          <w:szCs w:val="32"/>
        </w:rPr>
        <w:t>根据《</w:t>
      </w:r>
      <w:r>
        <w:rPr>
          <w:rFonts w:hint="eastAsia" w:ascii="仿宋_GB2312" w:eastAsia="仿宋_GB2312"/>
          <w:sz w:val="32"/>
          <w:szCs w:val="32"/>
          <w:lang w:eastAsia="zh-CN"/>
        </w:rPr>
        <w:t>石家庄市鹿泉区区级部门预算绩效管理办法</w:t>
      </w:r>
      <w:r>
        <w:rPr>
          <w:rFonts w:hint="eastAsia" w:ascii="仿宋_GB2312" w:eastAsia="仿宋_GB2312"/>
          <w:sz w:val="32"/>
          <w:szCs w:val="32"/>
        </w:rPr>
        <w:t>》</w:t>
      </w:r>
      <w:r>
        <w:rPr>
          <w:rFonts w:hint="eastAsia" w:ascii="仿宋_GB2312" w:eastAsia="仿宋_GB2312"/>
          <w:sz w:val="32"/>
          <w:szCs w:val="32"/>
          <w:lang w:eastAsia="zh-CN"/>
        </w:rPr>
        <w:t>（鹿</w:t>
      </w:r>
      <w:r>
        <w:rPr>
          <w:rFonts w:hint="eastAsia" w:ascii="仿宋_GB2312" w:eastAsia="仿宋_GB2312"/>
          <w:sz w:val="32"/>
          <w:szCs w:val="32"/>
          <w:lang w:val="en-US" w:eastAsia="zh-CN"/>
        </w:rPr>
        <w:t>财字[2019]65号）</w:t>
      </w:r>
      <w:r>
        <w:rPr>
          <w:rFonts w:hint="eastAsia" w:ascii="仿宋_GB2312" w:eastAsia="仿宋_GB2312"/>
          <w:sz w:val="32"/>
          <w:szCs w:val="32"/>
        </w:rPr>
        <w:t>，遵循“科学性、规范性、客观性和公正性”的原则，对</w:t>
      </w:r>
      <w:r>
        <w:rPr>
          <w:rFonts w:hint="eastAsia" w:ascii="仿宋_GB2312" w:eastAsia="仿宋_GB2312"/>
          <w:sz w:val="32"/>
          <w:szCs w:val="32"/>
          <w:lang w:eastAsia="zh-CN"/>
        </w:rPr>
        <w:t>粮食监督检查经费项目</w:t>
      </w:r>
      <w:r>
        <w:rPr>
          <w:rFonts w:hint="eastAsia" w:ascii="仿宋_GB2312" w:eastAsia="仿宋_GB2312"/>
          <w:sz w:val="32"/>
          <w:szCs w:val="32"/>
        </w:rPr>
        <w:t>实施了</w:t>
      </w:r>
      <w:r>
        <w:rPr>
          <w:rFonts w:hint="eastAsia" w:ascii="仿宋_GB2312" w:eastAsia="仿宋_GB2312"/>
          <w:sz w:val="32"/>
          <w:szCs w:val="32"/>
          <w:lang w:eastAsia="zh-CN"/>
        </w:rPr>
        <w:t>绩效</w:t>
      </w:r>
      <w:r>
        <w:rPr>
          <w:rFonts w:hint="eastAsia" w:ascii="仿宋_GB2312" w:eastAsia="仿宋_GB2312"/>
          <w:sz w:val="32"/>
          <w:szCs w:val="32"/>
        </w:rPr>
        <w:t>评价，形成本评价报告。</w:t>
      </w:r>
    </w:p>
    <w:p>
      <w:pPr>
        <w:adjustRightInd w:val="0"/>
        <w:snapToGrid w:val="0"/>
        <w:spacing w:line="360" w:lineRule="auto"/>
        <w:rPr>
          <w:rFonts w:hint="eastAsia" w:ascii="黑体" w:eastAsia="黑体"/>
          <w:b/>
          <w:bCs/>
          <w:sz w:val="32"/>
          <w:szCs w:val="36"/>
        </w:rPr>
      </w:pPr>
      <w:r>
        <w:rPr>
          <w:rFonts w:hint="eastAsia" w:ascii="黑体" w:eastAsia="黑体"/>
          <w:sz w:val="32"/>
          <w:szCs w:val="32"/>
          <w:lang w:val="en-US" w:eastAsia="zh-CN"/>
        </w:rPr>
        <w:t xml:space="preserve">    </w:t>
      </w:r>
      <w:r>
        <w:rPr>
          <w:rFonts w:hint="eastAsia" w:ascii="黑体" w:eastAsia="黑体"/>
          <w:b w:val="0"/>
          <w:bCs w:val="0"/>
          <w:sz w:val="32"/>
          <w:szCs w:val="32"/>
        </w:rPr>
        <w:t>一、</w:t>
      </w:r>
      <w:r>
        <w:rPr>
          <w:rFonts w:hint="eastAsia" w:ascii="黑体" w:eastAsia="黑体"/>
          <w:b w:val="0"/>
          <w:bCs w:val="0"/>
          <w:sz w:val="32"/>
          <w:szCs w:val="32"/>
          <w:lang w:eastAsia="zh-CN"/>
        </w:rPr>
        <w:t>项目</w:t>
      </w:r>
      <w:r>
        <w:rPr>
          <w:rFonts w:hint="eastAsia" w:ascii="黑体" w:eastAsia="黑体"/>
          <w:b w:val="0"/>
          <w:bCs w:val="0"/>
          <w:sz w:val="32"/>
          <w:szCs w:val="36"/>
        </w:rPr>
        <w:t>基本情况</w:t>
      </w:r>
    </w:p>
    <w:p>
      <w:pPr>
        <w:numPr>
          <w:ilvl w:val="0"/>
          <w:numId w:val="1"/>
        </w:numPr>
        <w:adjustRightInd w:val="0"/>
        <w:snapToGrid w:val="0"/>
        <w:spacing w:line="360" w:lineRule="auto"/>
        <w:ind w:firstLine="640" w:firstLineChars="200"/>
        <w:rPr>
          <w:rFonts w:hint="eastAsia" w:ascii="楷体_GB2312" w:hAnsi="楷体_GB2312" w:eastAsia="楷体_GB2312" w:cs="楷体_GB2312"/>
          <w:b w:val="0"/>
          <w:bCs w:val="0"/>
          <w:sz w:val="32"/>
          <w:szCs w:val="32"/>
        </w:rPr>
      </w:pPr>
      <w:r>
        <w:rPr>
          <w:rFonts w:hint="eastAsia" w:ascii="楷体_GB2312" w:hAnsi="楷体_GB2312" w:eastAsia="楷体_GB2312" w:cs="楷体_GB2312"/>
          <w:b w:val="0"/>
          <w:bCs w:val="0"/>
          <w:sz w:val="32"/>
          <w:szCs w:val="32"/>
        </w:rPr>
        <w:t>项目概况</w:t>
      </w:r>
    </w:p>
    <w:p>
      <w:pPr>
        <w:numPr>
          <w:ilvl w:val="0"/>
          <w:numId w:val="2"/>
        </w:numPr>
        <w:rPr>
          <w:rFonts w:hint="eastAsia" w:ascii="黑体" w:hAnsi="黑体" w:eastAsia="黑体" w:cs="黑体"/>
          <w:b/>
          <w:bCs/>
          <w:sz w:val="32"/>
          <w:szCs w:val="32"/>
          <w:lang w:eastAsia="zh-CN"/>
        </w:rPr>
      </w:pPr>
      <w:r>
        <w:rPr>
          <w:rFonts w:hint="eastAsia" w:ascii="仿宋" w:hAnsi="仿宋" w:eastAsia="仿宋" w:cs="仿宋"/>
          <w:sz w:val="30"/>
          <w:szCs w:val="30"/>
          <w:lang w:val="en-US" w:eastAsia="zh-CN"/>
        </w:rPr>
        <w:t>根据《国务院办公厅关于开展全国政策性粮食库存数量和质量大清查的通知》（国办发【2018】61号）文件精神，“地方事权粮食库存数量和质量清查工作经费有地方财政承担”，鉴于此，按照我区实际情况经测算需2019年政策性粮食库存数量和质量大清查工作经费10万元。</w:t>
      </w:r>
      <w:bookmarkStart w:id="0" w:name="_GoBack"/>
      <w:bookmarkEnd w:id="0"/>
    </w:p>
    <w:p>
      <w:pPr>
        <w:adjustRightInd w:val="0"/>
        <w:snapToGrid w:val="0"/>
        <w:spacing w:line="360" w:lineRule="auto"/>
        <w:ind w:firstLine="643" w:firstLineChars="200"/>
        <w:rPr>
          <w:rFonts w:hint="eastAsia" w:ascii="楷体_GB2312" w:hAnsi="楷体_GB2312" w:eastAsia="楷体_GB2312" w:cs="楷体_GB2312"/>
          <w:b w:val="0"/>
          <w:bCs w:val="0"/>
          <w:sz w:val="32"/>
          <w:szCs w:val="32"/>
          <w:lang w:val="en-US" w:eastAsia="zh-CN"/>
        </w:rPr>
      </w:pPr>
      <w:r>
        <w:rPr>
          <w:rFonts w:hint="eastAsia" w:ascii="黑体" w:hAnsi="黑体" w:eastAsia="黑体" w:cs="黑体"/>
          <w:b/>
          <w:bCs/>
          <w:sz w:val="32"/>
          <w:szCs w:val="32"/>
          <w:lang w:eastAsia="zh-CN"/>
        </w:rPr>
        <w:t>二、绩效评价工作情况</w:t>
      </w:r>
    </w:p>
    <w:p>
      <w:pPr>
        <w:ind w:left="0" w:leftChars="0" w:right="0" w:rightChars="0" w:firstLine="600" w:firstLineChars="200"/>
        <w:jc w:val="both"/>
        <w:rPr>
          <w:rFonts w:hint="eastAsia" w:ascii="楷体_GB2312" w:hAnsi="楷体_GB2312" w:eastAsia="楷体_GB2312" w:cs="楷体_GB2312"/>
          <w:b w:val="0"/>
          <w:bCs w:val="0"/>
          <w:sz w:val="32"/>
          <w:szCs w:val="32"/>
          <w:lang w:val="en-US" w:eastAsia="zh-CN"/>
        </w:rPr>
      </w:pPr>
      <w:r>
        <w:rPr>
          <w:rFonts w:hint="eastAsia" w:ascii="仿宋" w:hAnsi="仿宋" w:eastAsia="仿宋" w:cs="仿宋"/>
          <w:sz w:val="30"/>
          <w:szCs w:val="30"/>
          <w:lang w:eastAsia="zh-CN"/>
        </w:rPr>
        <w:t>单位组织人员对</w:t>
      </w:r>
      <w:r>
        <w:rPr>
          <w:rFonts w:hint="eastAsia" w:ascii="仿宋" w:hAnsi="仿宋" w:eastAsia="仿宋" w:cs="仿宋"/>
          <w:sz w:val="30"/>
          <w:szCs w:val="30"/>
        </w:rPr>
        <w:t>粮食品质、质量、卫生情况</w:t>
      </w:r>
      <w:r>
        <w:rPr>
          <w:rFonts w:hint="eastAsia" w:ascii="仿宋" w:hAnsi="仿宋" w:eastAsia="仿宋" w:cs="仿宋"/>
          <w:sz w:val="30"/>
          <w:szCs w:val="30"/>
          <w:lang w:eastAsia="zh-CN"/>
        </w:rPr>
        <w:t>入户</w:t>
      </w:r>
      <w:r>
        <w:rPr>
          <w:rFonts w:hint="eastAsia" w:ascii="仿宋" w:hAnsi="仿宋" w:eastAsia="仿宋" w:cs="仿宋"/>
          <w:sz w:val="30"/>
          <w:szCs w:val="30"/>
        </w:rPr>
        <w:t>抽样调查</w:t>
      </w:r>
      <w:r>
        <w:rPr>
          <w:rFonts w:hint="eastAsia" w:ascii="仿宋" w:hAnsi="仿宋" w:eastAsia="仿宋" w:cs="仿宋"/>
          <w:sz w:val="30"/>
          <w:szCs w:val="30"/>
          <w:lang w:eastAsia="zh-CN"/>
        </w:rPr>
        <w:t>。</w:t>
      </w:r>
      <w:r>
        <w:rPr>
          <w:rFonts w:hint="eastAsia" w:ascii="仿宋_GB2312" w:eastAsia="仿宋_GB2312"/>
          <w:b/>
          <w:bCs/>
          <w:sz w:val="32"/>
          <w:szCs w:val="32"/>
          <w:lang w:val="en-US" w:eastAsia="zh-CN"/>
        </w:rPr>
        <w:t xml:space="preserve">   </w:t>
      </w:r>
    </w:p>
    <w:p>
      <w:pPr>
        <w:ind w:left="0" w:leftChars="0" w:right="0" w:rightChars="0" w:firstLine="0" w:firstLineChars="0"/>
        <w:jc w:val="both"/>
        <w:rPr>
          <w:rFonts w:hint="eastAsia" w:ascii="仿宋" w:hAnsi="仿宋" w:eastAsia="仿宋" w:cs="仿宋"/>
          <w:b w:val="0"/>
          <w:bCs w:val="0"/>
          <w:sz w:val="32"/>
          <w:szCs w:val="32"/>
          <w:lang w:val="en-US" w:eastAsia="zh-CN"/>
        </w:rPr>
      </w:pPr>
      <w:r>
        <w:rPr>
          <w:rFonts w:hint="eastAsia" w:ascii="仿宋" w:hAnsi="仿宋" w:eastAsia="仿宋" w:cs="仿宋"/>
          <w:b w:val="0"/>
          <w:bCs w:val="0"/>
          <w:sz w:val="32"/>
          <w:szCs w:val="32"/>
          <w:lang w:val="en-US" w:eastAsia="zh-CN"/>
        </w:rPr>
        <w:t>维护号粮食市场秩序，确保粮食市场稳定，保障群众合法权益。</w:t>
      </w:r>
    </w:p>
    <w:p>
      <w:pPr>
        <w:numPr>
          <w:ilvl w:val="0"/>
          <w:numId w:val="0"/>
        </w:numPr>
        <w:ind w:leftChars="0" w:right="0" w:rightChars="0"/>
        <w:jc w:val="both"/>
        <w:rPr>
          <w:rFonts w:hint="eastAsia" w:ascii="楷体_GB2312" w:hAnsi="楷体_GB2312" w:eastAsia="楷体_GB2312" w:cs="楷体_GB2312"/>
          <w:b w:val="0"/>
          <w:bCs w:val="0"/>
          <w:sz w:val="32"/>
          <w:szCs w:val="32"/>
          <w:lang w:val="en-US" w:eastAsia="zh-CN"/>
        </w:rPr>
      </w:pPr>
      <w:r>
        <w:rPr>
          <w:rFonts w:hint="eastAsia" w:ascii="楷体_GB2312" w:hAnsi="楷体_GB2312" w:eastAsia="楷体_GB2312" w:cs="楷体_GB2312"/>
          <w:b/>
          <w:bCs/>
          <w:sz w:val="32"/>
          <w:szCs w:val="32"/>
          <w:lang w:val="en-US" w:eastAsia="zh-CN"/>
        </w:rPr>
        <w:t xml:space="preserve">   </w:t>
      </w:r>
      <w:r>
        <w:rPr>
          <w:rFonts w:hint="eastAsia" w:ascii="楷体_GB2312" w:hAnsi="楷体_GB2312" w:eastAsia="楷体_GB2312" w:cs="楷体_GB2312"/>
          <w:b w:val="0"/>
          <w:bCs w:val="0"/>
          <w:sz w:val="32"/>
          <w:szCs w:val="32"/>
          <w:lang w:val="en-US" w:eastAsia="zh-CN"/>
        </w:rPr>
        <w:t>（三）建立绩效评价指标体系</w:t>
      </w:r>
    </w:p>
    <w:p>
      <w:pPr>
        <w:numPr>
          <w:ilvl w:val="0"/>
          <w:numId w:val="0"/>
        </w:numPr>
        <w:ind w:right="0" w:rightChars="0" w:firstLine="600" w:firstLineChars="200"/>
        <w:jc w:val="both"/>
        <w:rPr>
          <w:rFonts w:hint="eastAsia" w:ascii="仿宋" w:hAnsi="仿宋" w:eastAsia="仿宋" w:cs="仿宋"/>
          <w:b w:val="0"/>
          <w:bCs w:val="0"/>
          <w:sz w:val="30"/>
          <w:szCs w:val="30"/>
          <w:lang w:val="en-US" w:eastAsia="zh-CN"/>
        </w:rPr>
      </w:pPr>
      <w:r>
        <w:rPr>
          <w:rFonts w:hint="eastAsia" w:ascii="仿宋" w:hAnsi="仿宋" w:eastAsia="仿宋" w:cs="仿宋"/>
          <w:b w:val="0"/>
          <w:bCs w:val="0"/>
          <w:sz w:val="30"/>
          <w:szCs w:val="30"/>
          <w:lang w:val="en-US" w:eastAsia="zh-CN"/>
        </w:rPr>
        <w:t>根据河北省粮食流通管理规定工作计划，组织执法行动次数3次，储备物资完好率，储备的粮，棉，油等物资符合储备标准的数量占全部储备物资量的比率100%.</w:t>
      </w:r>
    </w:p>
    <w:p>
      <w:pPr>
        <w:rPr>
          <w:rFonts w:hint="eastAsia" w:ascii="黑体" w:hAnsi="黑体" w:eastAsia="黑体" w:cs="黑体"/>
          <w:b/>
          <w:bCs/>
          <w:sz w:val="32"/>
          <w:szCs w:val="32"/>
          <w:lang w:eastAsia="zh-CN"/>
        </w:rPr>
      </w:pPr>
      <w:r>
        <w:rPr>
          <w:rFonts w:hint="eastAsia" w:ascii="仿宋_GB2312" w:eastAsia="仿宋_GB2312"/>
          <w:b/>
          <w:bCs/>
          <w:sz w:val="32"/>
          <w:szCs w:val="32"/>
          <w:lang w:val="en-US" w:eastAsia="zh-CN"/>
        </w:rPr>
        <w:t xml:space="preserve">    </w:t>
      </w:r>
      <w:r>
        <w:rPr>
          <w:rFonts w:hint="eastAsia" w:ascii="黑体" w:hAnsi="黑体" w:eastAsia="黑体" w:cs="黑体"/>
          <w:b w:val="0"/>
          <w:bCs w:val="0"/>
          <w:sz w:val="32"/>
          <w:szCs w:val="32"/>
          <w:lang w:val="en-US" w:eastAsia="zh-CN"/>
        </w:rPr>
        <w:t>三、</w:t>
      </w:r>
      <w:r>
        <w:rPr>
          <w:rFonts w:hint="eastAsia" w:ascii="黑体" w:hAnsi="黑体" w:eastAsia="黑体" w:cs="黑体"/>
          <w:b w:val="0"/>
          <w:bCs w:val="0"/>
          <w:sz w:val="32"/>
          <w:szCs w:val="32"/>
          <w:lang w:eastAsia="zh-CN"/>
        </w:rPr>
        <w:t>项目执行及绩效实现情况</w:t>
      </w:r>
    </w:p>
    <w:p>
      <w:pPr>
        <w:rPr>
          <w:rFonts w:hint="eastAsia" w:ascii="楷体_GB2312" w:hAnsi="楷体_GB2312" w:eastAsia="楷体_GB2312" w:cs="楷体_GB2312"/>
          <w:b w:val="0"/>
          <w:bCs w:val="0"/>
          <w:sz w:val="32"/>
          <w:szCs w:val="32"/>
          <w:lang w:val="en-US" w:eastAsia="zh-CN"/>
        </w:rPr>
      </w:pPr>
      <w:r>
        <w:rPr>
          <w:rFonts w:hint="eastAsia" w:ascii="楷体_GB2312" w:hAnsi="楷体_GB2312" w:eastAsia="楷体_GB2312" w:cs="楷体_GB2312"/>
          <w:b w:val="0"/>
          <w:bCs w:val="0"/>
          <w:sz w:val="32"/>
          <w:szCs w:val="32"/>
          <w:lang w:val="en-US" w:eastAsia="zh-CN"/>
        </w:rPr>
        <w:t xml:space="preserve">   （一）项目投入</w:t>
      </w:r>
    </w:p>
    <w:p>
      <w:pPr>
        <w:spacing w:beforeLines="0" w:afterLines="0"/>
        <w:ind w:firstLine="640"/>
        <w:rPr>
          <w:rFonts w:hint="eastAsia" w:ascii="楷体_GB2312" w:hAnsi="楷体_GB2312" w:eastAsia="楷体_GB2312" w:cs="楷体_GB2312"/>
          <w:b w:val="0"/>
          <w:bCs w:val="0"/>
          <w:sz w:val="32"/>
          <w:szCs w:val="32"/>
          <w:lang w:val="en-US" w:eastAsia="zh-CN"/>
        </w:rPr>
      </w:pPr>
      <w:r>
        <w:rPr>
          <w:rFonts w:hint="eastAsia" w:ascii="仿宋" w:hAnsi="仿宋" w:eastAsia="仿宋" w:cs="仿宋"/>
          <w:sz w:val="30"/>
          <w:szCs w:val="30"/>
        </w:rPr>
        <w:t>为了维护经营者、消费者的合法权益，维护粮食流通秩序，确保粮食流通监督检查工作顺利开展，粮食监督检查经费10万元。其中，监督检查车辆运行费用25000元；社会固定调查户120户，每月每户10元，每年14400元；印刷行政处罚文书、表格、培训资料及调查费30000元； 粮食品质、质量、卫生情况抽样调查费20000元；监督检查业务费10600元。</w:t>
      </w:r>
    </w:p>
    <w:p>
      <w:pPr>
        <w:rPr>
          <w:rFonts w:hint="eastAsia" w:ascii="楷体_GB2312" w:hAnsi="楷体_GB2312" w:eastAsia="楷体_GB2312" w:cs="楷体_GB2312"/>
          <w:b w:val="0"/>
          <w:bCs w:val="0"/>
          <w:sz w:val="32"/>
          <w:szCs w:val="32"/>
          <w:lang w:val="en-US" w:eastAsia="zh-CN"/>
        </w:rPr>
      </w:pPr>
      <w:r>
        <w:rPr>
          <w:rFonts w:hint="eastAsia" w:ascii="仿宋_GB2312" w:eastAsia="仿宋_GB2312"/>
          <w:b w:val="0"/>
          <w:bCs w:val="0"/>
          <w:sz w:val="32"/>
          <w:szCs w:val="32"/>
          <w:lang w:val="en-US" w:eastAsia="zh-CN"/>
        </w:rPr>
        <w:t xml:space="preserve">   </w:t>
      </w:r>
      <w:r>
        <w:rPr>
          <w:rFonts w:hint="eastAsia" w:ascii="楷体_GB2312" w:hAnsi="楷体_GB2312" w:eastAsia="楷体_GB2312" w:cs="楷体_GB2312"/>
          <w:b w:val="0"/>
          <w:bCs w:val="0"/>
          <w:sz w:val="32"/>
          <w:szCs w:val="32"/>
          <w:lang w:val="en-US" w:eastAsia="zh-CN"/>
        </w:rPr>
        <w:t>（二）项目实施过程</w:t>
      </w:r>
    </w:p>
    <w:p>
      <w:pPr>
        <w:numPr>
          <w:ilvl w:val="0"/>
          <w:numId w:val="3"/>
        </w:numPr>
        <w:ind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业务管理情况分析。</w:t>
      </w:r>
    </w:p>
    <w:p>
      <w:pPr>
        <w:numPr>
          <w:ilvl w:val="0"/>
          <w:numId w:val="0"/>
        </w:numPr>
        <w:rPr>
          <w:rFonts w:hint="eastAsia" w:ascii="仿宋_GB2312" w:eastAsia="仿宋_GB2312"/>
          <w:b w:val="0"/>
          <w:bCs w:val="0"/>
          <w:sz w:val="32"/>
          <w:szCs w:val="32"/>
          <w:lang w:val="en-US" w:eastAsia="zh-CN"/>
        </w:rPr>
      </w:pPr>
      <w:r>
        <w:rPr>
          <w:rFonts w:hint="eastAsia" w:ascii="仿宋" w:hAnsi="仿宋" w:eastAsia="仿宋" w:cs="仿宋"/>
          <w:sz w:val="30"/>
          <w:szCs w:val="30"/>
        </w:rPr>
        <w:t>为认真做好粮食执法、统计工作，确保国家宏观调控政策的实施和我区粮食市场的稳定和人民的安居。为了维护经营者、消费者的合法权益，维护粮食流通秩序，确保粮食流通监督检查工作顺利开展</w:t>
      </w:r>
    </w:p>
    <w:p>
      <w:pPr>
        <w:spacing w:line="580" w:lineRule="exact"/>
        <w:ind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2.财务管理。</w:t>
      </w:r>
      <w:r>
        <w:rPr>
          <w:rFonts w:hint="eastAsia" w:ascii="仿宋_GB2312" w:hAnsi="宋体" w:eastAsia="仿宋_GB2312"/>
          <w:sz w:val="32"/>
          <w:szCs w:val="32"/>
        </w:rPr>
        <w:t>资金的拨付本着专款专用的原则，严格执行项目资金批准的使用计划和项目批复资料，不准擅自调项、扩项、缩项，更不准拆借、挪用、挤占和随意扣压；资金拨付动向，按不一样专项资金的要求执行，不准任意改变；特殊状况，务必请示。严格专项资金初审、审核、审核制度，不准缺项和越程序办理手续，各类专项资金审批程序，以该专项资金审批表所列资料和文件要求为准。</w:t>
      </w:r>
    </w:p>
    <w:p>
      <w:pPr>
        <w:numPr>
          <w:ilvl w:val="0"/>
          <w:numId w:val="0"/>
        </w:numPr>
        <w:rPr>
          <w:rFonts w:hint="eastAsia" w:ascii="楷体_GB2312" w:hAnsi="楷体_GB2312" w:eastAsia="楷体_GB2312" w:cs="楷体_GB2312"/>
          <w:b w:val="0"/>
          <w:bCs w:val="0"/>
          <w:sz w:val="32"/>
          <w:szCs w:val="32"/>
          <w:lang w:val="en-US" w:eastAsia="zh-CN"/>
        </w:rPr>
      </w:pPr>
      <w:r>
        <w:rPr>
          <w:rFonts w:hint="eastAsia" w:ascii="仿宋_GB2312" w:eastAsia="仿宋_GB2312"/>
          <w:b/>
          <w:bCs/>
          <w:sz w:val="32"/>
          <w:szCs w:val="32"/>
          <w:lang w:val="en-US" w:eastAsia="zh-CN"/>
        </w:rPr>
        <w:t xml:space="preserve">   </w:t>
      </w:r>
      <w:r>
        <w:rPr>
          <w:rFonts w:hint="eastAsia" w:ascii="楷体_GB2312" w:hAnsi="楷体_GB2312" w:eastAsia="楷体_GB2312" w:cs="楷体_GB2312"/>
          <w:b w:val="0"/>
          <w:bCs w:val="0"/>
          <w:sz w:val="32"/>
          <w:szCs w:val="32"/>
          <w:lang w:val="en-US" w:eastAsia="zh-CN"/>
        </w:rPr>
        <w:t>（三）项目产出</w:t>
      </w:r>
    </w:p>
    <w:p>
      <w:pPr>
        <w:numPr>
          <w:ilvl w:val="0"/>
          <w:numId w:val="0"/>
        </w:numPr>
        <w:rPr>
          <w:rFonts w:hint="eastAsia" w:ascii="仿宋_GB2312" w:eastAsia="仿宋_GB2312"/>
          <w:b w:val="0"/>
          <w:bCs w:val="0"/>
          <w:sz w:val="32"/>
          <w:szCs w:val="32"/>
          <w:lang w:val="en-US" w:eastAsia="zh-CN"/>
        </w:rPr>
      </w:pPr>
      <w:r>
        <w:rPr>
          <w:rFonts w:hint="eastAsia" w:ascii="楷体_GB2312" w:hAnsi="楷体_GB2312" w:eastAsia="楷体_GB2312" w:cs="楷体_GB2312"/>
          <w:b w:val="0"/>
          <w:bCs w:val="0"/>
          <w:sz w:val="32"/>
          <w:szCs w:val="32"/>
          <w:lang w:val="en-US" w:eastAsia="zh-CN"/>
        </w:rPr>
        <w:t xml:space="preserve">  </w:t>
      </w:r>
      <w:r>
        <w:rPr>
          <w:rFonts w:hint="eastAsia" w:ascii="仿宋" w:hAnsi="仿宋" w:eastAsia="仿宋" w:cs="仿宋"/>
          <w:b w:val="0"/>
          <w:bCs w:val="0"/>
          <w:sz w:val="30"/>
          <w:szCs w:val="30"/>
          <w:lang w:val="en-US" w:eastAsia="zh-CN"/>
        </w:rPr>
        <w:t xml:space="preserve"> 1.粮食监督检查项目经费的完成率100%。2.河北省粮食流通管理规定，监督检查率，对各级储备粮监督检查次数占应查案件量的比率98%。3.数量指标，社会固定调查户数量，粮食监督检查固定调查住户数量120户。资料数量，印刷资料份数5000分。4.固定调查完成率，监督检查，调查时间完成率100%。</w:t>
      </w:r>
      <w:r>
        <w:rPr>
          <w:rFonts w:hint="eastAsia" w:ascii="楷体_GB2312" w:hAnsi="楷体_GB2312" w:eastAsia="楷体_GB2312" w:cs="楷体_GB2312"/>
          <w:b/>
          <w:bCs/>
          <w:sz w:val="32"/>
          <w:szCs w:val="32"/>
          <w:lang w:val="en-US" w:eastAsia="zh-CN"/>
        </w:rPr>
        <w:t xml:space="preserve">   </w:t>
      </w:r>
    </w:p>
    <w:p>
      <w:pPr>
        <w:numPr>
          <w:ilvl w:val="0"/>
          <w:numId w:val="0"/>
        </w:numPr>
        <w:ind w:firstLine="640" w:firstLineChars="200"/>
        <w:rPr>
          <w:rFonts w:hint="eastAsia" w:ascii="黑体" w:hAnsi="黑体" w:eastAsia="黑体"/>
          <w:b w:val="0"/>
          <w:bCs w:val="0"/>
          <w:sz w:val="32"/>
          <w:szCs w:val="32"/>
          <w:lang w:val="en-US" w:eastAsia="zh-CN"/>
        </w:rPr>
      </w:pPr>
      <w:r>
        <w:rPr>
          <w:rFonts w:hint="eastAsia" w:ascii="黑体" w:hAnsi="黑体" w:eastAsia="黑体"/>
          <w:b w:val="0"/>
          <w:bCs w:val="0"/>
          <w:sz w:val="32"/>
          <w:szCs w:val="32"/>
          <w:lang w:val="en-US" w:eastAsia="zh-CN"/>
        </w:rPr>
        <w:t>四、项目综合评价结论和评价等级</w:t>
      </w:r>
    </w:p>
    <w:p>
      <w:pPr>
        <w:numPr>
          <w:ilvl w:val="0"/>
          <w:numId w:val="0"/>
        </w:numPr>
        <w:rPr>
          <w:rFonts w:hint="eastAsia" w:ascii="楷体_GB2312" w:hAnsi="楷体_GB2312" w:eastAsia="楷体_GB2312"/>
          <w:b w:val="0"/>
          <w:bCs w:val="0"/>
          <w:sz w:val="32"/>
          <w:szCs w:val="32"/>
          <w:lang w:val="en-US" w:eastAsia="zh-CN"/>
        </w:rPr>
      </w:pPr>
      <w:r>
        <w:rPr>
          <w:rFonts w:hint="eastAsia" w:ascii="仿宋_GB2312" w:eastAsia="仿宋_GB2312"/>
          <w:b w:val="0"/>
          <w:bCs w:val="0"/>
          <w:sz w:val="32"/>
          <w:szCs w:val="32"/>
          <w:lang w:val="en-US" w:eastAsia="zh-CN"/>
        </w:rPr>
        <w:t>根据粮食监督检查项目执行情况和项目绩效情况，给出总得分85分。</w:t>
      </w:r>
    </w:p>
    <w:p>
      <w:pPr>
        <w:numPr>
          <w:ilvl w:val="0"/>
          <w:numId w:val="0"/>
        </w:numPr>
        <w:adjustRightInd w:val="0"/>
        <w:snapToGrid w:val="0"/>
        <w:spacing w:line="360" w:lineRule="auto"/>
        <w:rPr>
          <w:rFonts w:hint="eastAsia" w:ascii="黑体" w:eastAsia="黑体"/>
          <w:b w:val="0"/>
          <w:bCs w:val="0"/>
          <w:sz w:val="32"/>
          <w:szCs w:val="32"/>
        </w:rPr>
      </w:pPr>
      <w:r>
        <w:rPr>
          <w:rFonts w:hint="eastAsia" w:ascii="黑体" w:eastAsia="黑体"/>
          <w:b w:val="0"/>
          <w:bCs w:val="0"/>
          <w:sz w:val="32"/>
          <w:szCs w:val="32"/>
          <w:lang w:eastAsia="zh-CN"/>
        </w:rPr>
        <w:t>五</w:t>
      </w:r>
      <w:r>
        <w:rPr>
          <w:rFonts w:hint="eastAsia" w:ascii="黑体" w:eastAsia="黑体"/>
          <w:b w:val="0"/>
          <w:bCs w:val="0"/>
          <w:sz w:val="32"/>
          <w:szCs w:val="32"/>
          <w:lang w:val="en-US" w:eastAsia="zh-CN"/>
        </w:rPr>
        <w:t xml:space="preserve"> </w:t>
      </w:r>
      <w:r>
        <w:rPr>
          <w:rFonts w:hint="eastAsia" w:ascii="宋体" w:hAnsi="宋体"/>
          <w:sz w:val="24"/>
        </w:rPr>
        <w:t>、</w:t>
      </w:r>
      <w:r>
        <w:rPr>
          <w:rFonts w:hint="eastAsia" w:ascii="黑体" w:eastAsia="黑体"/>
          <w:b w:val="0"/>
          <w:bCs w:val="0"/>
          <w:sz w:val="32"/>
          <w:szCs w:val="32"/>
        </w:rPr>
        <w:t>评价工作组人员名单及签字</w:t>
      </w:r>
    </w:p>
    <w:p>
      <w:pPr>
        <w:numPr>
          <w:ilvl w:val="0"/>
          <w:numId w:val="0"/>
        </w:numPr>
        <w:adjustRightInd w:val="0"/>
        <w:snapToGrid w:val="0"/>
        <w:spacing w:line="360" w:lineRule="auto"/>
        <w:ind w:firstLine="600" w:firstLineChars="200"/>
        <w:jc w:val="left"/>
        <w:rPr>
          <w:rFonts w:hint="eastAsia" w:ascii="仿宋" w:hAnsi="仿宋" w:eastAsia="仿宋" w:cs="仿宋"/>
          <w:b w:val="0"/>
          <w:bCs w:val="0"/>
          <w:sz w:val="30"/>
          <w:szCs w:val="30"/>
          <w:lang w:val="en-US" w:eastAsia="zh-CN"/>
        </w:rPr>
      </w:pPr>
      <w:r>
        <w:rPr>
          <w:rFonts w:hint="eastAsia" w:ascii="仿宋" w:hAnsi="仿宋" w:eastAsia="仿宋" w:cs="仿宋"/>
          <w:b w:val="0"/>
          <w:bCs w:val="0"/>
          <w:sz w:val="30"/>
          <w:szCs w:val="30"/>
          <w:lang w:val="en-US" w:eastAsia="zh-CN"/>
        </w:rPr>
        <w:t>王贞禄  副局长</w:t>
      </w:r>
    </w:p>
    <w:p>
      <w:pPr>
        <w:numPr>
          <w:ilvl w:val="0"/>
          <w:numId w:val="0"/>
        </w:numPr>
        <w:adjustRightInd w:val="0"/>
        <w:snapToGrid w:val="0"/>
        <w:spacing w:line="360" w:lineRule="auto"/>
        <w:ind w:firstLine="600" w:firstLineChars="200"/>
        <w:jc w:val="left"/>
        <w:rPr>
          <w:rFonts w:hint="eastAsia" w:ascii="仿宋" w:hAnsi="仿宋" w:eastAsia="仿宋" w:cs="仿宋"/>
          <w:b w:val="0"/>
          <w:bCs w:val="0"/>
          <w:sz w:val="30"/>
          <w:szCs w:val="30"/>
          <w:lang w:val="en-US" w:eastAsia="zh-CN"/>
        </w:rPr>
      </w:pPr>
      <w:r>
        <w:rPr>
          <w:rFonts w:hint="eastAsia" w:ascii="仿宋" w:hAnsi="仿宋" w:eastAsia="仿宋" w:cs="仿宋"/>
          <w:b w:val="0"/>
          <w:bCs w:val="0"/>
          <w:sz w:val="30"/>
          <w:szCs w:val="30"/>
          <w:lang w:val="en-US" w:eastAsia="zh-CN"/>
        </w:rPr>
        <w:t>李军彦  科长</w:t>
      </w:r>
    </w:p>
    <w:p>
      <w:pPr>
        <w:numPr>
          <w:ilvl w:val="0"/>
          <w:numId w:val="0"/>
        </w:numPr>
        <w:adjustRightInd w:val="0"/>
        <w:snapToGrid w:val="0"/>
        <w:spacing w:line="360" w:lineRule="auto"/>
        <w:ind w:firstLine="600" w:firstLineChars="200"/>
        <w:jc w:val="left"/>
        <w:rPr>
          <w:rFonts w:hint="eastAsia" w:ascii="黑体" w:eastAsia="黑体"/>
          <w:b w:val="0"/>
          <w:bCs w:val="0"/>
          <w:sz w:val="32"/>
          <w:szCs w:val="32"/>
        </w:rPr>
      </w:pPr>
      <w:r>
        <w:rPr>
          <w:rFonts w:hint="eastAsia" w:ascii="仿宋" w:hAnsi="仿宋" w:eastAsia="仿宋" w:cs="仿宋"/>
          <w:b w:val="0"/>
          <w:bCs w:val="0"/>
          <w:sz w:val="30"/>
          <w:szCs w:val="30"/>
          <w:lang w:val="en-US" w:eastAsia="zh-CN"/>
        </w:rPr>
        <w:t>张宇聪</w:t>
      </w:r>
    </w:p>
    <w:p/>
    <w:sectPr>
      <w:headerReference r:id="rId3" w:type="first"/>
      <w:footerReference r:id="rId6" w:type="first"/>
      <w:footerReference r:id="rId4" w:type="default"/>
      <w:footerReference r:id="rId5" w:type="even"/>
      <w:pgSz w:w="11906" w:h="16838"/>
      <w:pgMar w:top="1361" w:right="1644" w:bottom="1361" w:left="1644" w:header="851" w:footer="992" w:gutter="0"/>
      <w:pgNumType w:fmt="decimal"/>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roman"/>
    <w:pitch w:val="default"/>
    <w:sig w:usb0="E00002FF" w:usb1="400004FF" w:usb2="00000000" w:usb3="00000000" w:csb0="2000019F" w:csb1="00000000"/>
  </w:font>
  <w:font w:name="Calibri">
    <w:panose1 w:val="020F0502020204030204"/>
    <w:charset w:val="00"/>
    <w:family w:val="swiss"/>
    <w:pitch w:val="default"/>
    <w:sig w:usb0="E00002FF" w:usb1="4000ACFF" w:usb2="00000001" w:usb3="00000000" w:csb0="2000019F" w:csb1="00000000"/>
  </w:font>
  <w:font w:name="仿宋_GB2312">
    <w:altName w:val="仿宋"/>
    <w:panose1 w:val="02010609030101010101"/>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楷体">
    <w:panose1 w:val="02010609060101010101"/>
    <w:charset w:val="86"/>
    <w:family w:val="auto"/>
    <w:pitch w:val="default"/>
    <w:sig w:usb0="800002BF" w:usb1="38CF7CFA" w:usb2="00000016" w:usb3="00000000" w:csb0="00040001" w:csb1="00000000"/>
  </w:font>
  <w:font w:name="楷体_GB2312">
    <w:altName w:val="楷体"/>
    <w:panose1 w:val="02010609030101010101"/>
    <w:charset w:val="86"/>
    <w:family w:val="auto"/>
    <w:pitch w:val="default"/>
    <w:sig w:usb0="00000000" w:usb1="00000000" w:usb2="00000000" w:usb3="00000000" w:csb0="00040000" w:csb1="00000000"/>
  </w:font>
  <w:font w:name="华文楷体">
    <w:altName w:val="宋体"/>
    <w:panose1 w:val="02010600040101010101"/>
    <w:charset w:val="86"/>
    <w:family w:val="auto"/>
    <w:pitch w:val="default"/>
    <w:sig w:usb0="00000000" w:usb1="00000000" w:usb2="00000010" w:usb3="00000000" w:csb0="0004009F" w:csb1="00000000"/>
  </w:font>
  <w:font w:name="Calibri Light">
    <w:panose1 w:val="020F0302020204030204"/>
    <w:charset w:val="00"/>
    <w:family w:val="auto"/>
    <w:pitch w:val="default"/>
    <w:sig w:usb0="A00002EF" w:usb1="4000207B" w:usb2="00000000" w:usb3="00000000" w:csb0="2000019F" w:csb1="00000000"/>
  </w:font>
  <w:font w:name="仿宋_GB2312">
    <w:altName w:val="仿宋"/>
    <w:panose1 w:val="00000000000000000000"/>
    <w:charset w:val="00"/>
    <w:family w:val="auto"/>
    <w:pitch w:val="default"/>
    <w:sig w:usb0="00000000" w:usb1="00000000" w:usb2="00000000" w:usb3="00000000" w:csb0="00000000" w:csb1="00000000"/>
  </w:font>
  <w:font w:name="楷体_GB2312">
    <w:altName w:val="楷体"/>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framePr w:wrap="around" w:vAnchor="text" w:hAnchor="margin" w:xAlign="right" w:y="1"/>
      <w:rPr>
        <w:rStyle w:val="6"/>
      </w:rPr>
    </w:pPr>
    <w:r>
      <w:fldChar w:fldCharType="begin"/>
    </w:r>
    <w:r>
      <w:rPr>
        <w:rStyle w:val="6"/>
      </w:rPr>
      <w:instrText xml:space="preserve">PAGE  </w:instrText>
    </w:r>
    <w:r>
      <w:fldChar w:fldCharType="separate"/>
    </w:r>
    <w:r>
      <w:rPr>
        <w:rStyle w:val="6"/>
      </w:rPr>
      <w:t>4</w:t>
    </w:r>
    <w:r>
      <w:fldChar w:fldCharType="end"/>
    </w:r>
  </w:p>
  <w:p>
    <w:pPr>
      <w:pStyle w:val="2"/>
      <w:ind w:right="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5E12AA61"/>
    <w:multiLevelType w:val="singleLevel"/>
    <w:tmpl w:val="5E12AA61"/>
    <w:lvl w:ilvl="0" w:tentative="0">
      <w:start w:val="1"/>
      <w:numFmt w:val="chineseCounting"/>
      <w:suff w:val="nothing"/>
      <w:lvlText w:val="（%1）"/>
      <w:lvlJc w:val="left"/>
    </w:lvl>
  </w:abstractNum>
  <w:abstractNum w:abstractNumId="1">
    <w:nsid w:val="5E12ACB2"/>
    <w:multiLevelType w:val="singleLevel"/>
    <w:tmpl w:val="5E12ACB2"/>
    <w:lvl w:ilvl="0" w:tentative="0">
      <w:start w:val="1"/>
      <w:numFmt w:val="decimal"/>
      <w:suff w:val="nothing"/>
      <w:lvlText w:val="%1."/>
      <w:lvlJc w:val="left"/>
    </w:lvl>
  </w:abstractNum>
  <w:abstractNum w:abstractNumId="2">
    <w:nsid w:val="5E12D35B"/>
    <w:multiLevelType w:val="singleLevel"/>
    <w:tmpl w:val="5E12D35B"/>
    <w:lvl w:ilvl="0" w:tentative="0">
      <w:start w:val="1"/>
      <w:numFmt w:val="decimal"/>
      <w:suff w:val="nothing"/>
      <w:lvlText w:val="%1."/>
      <w:lvlJc w:val="left"/>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2A27"/>
    <w:rsid w:val="05DE5E00"/>
    <w:rsid w:val="0FA52D75"/>
    <w:rsid w:val="13AA24A9"/>
    <w:rsid w:val="1536503D"/>
    <w:rsid w:val="153B0A62"/>
    <w:rsid w:val="1E3A03C8"/>
    <w:rsid w:val="20B50663"/>
    <w:rsid w:val="24DA2BCC"/>
    <w:rsid w:val="26F87DED"/>
    <w:rsid w:val="2A2941B7"/>
    <w:rsid w:val="2DC0716E"/>
    <w:rsid w:val="32D0131D"/>
    <w:rsid w:val="34594B8F"/>
    <w:rsid w:val="425B139F"/>
    <w:rsid w:val="4662130A"/>
    <w:rsid w:val="47A10BF0"/>
    <w:rsid w:val="4804336E"/>
    <w:rsid w:val="4E8C02F8"/>
    <w:rsid w:val="4F766AAC"/>
    <w:rsid w:val="567C536C"/>
    <w:rsid w:val="5E8D446D"/>
    <w:rsid w:val="7EE97E5F"/>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eastAsia="宋体" w:asciiTheme="minorHAnsi" w:hAnsiTheme="minorHAnsi" w:cstheme="minorBidi"/>
      <w:kern w:val="2"/>
      <w:sz w:val="21"/>
      <w:szCs w:val="24"/>
      <w:lang w:val="en-US" w:eastAsia="zh-CN" w:bidi="ar-SA"/>
    </w:rPr>
  </w:style>
  <w:style w:type="character" w:default="1" w:styleId="4">
    <w:name w:val="Default Paragraph Font"/>
    <w:link w:val="5"/>
    <w:semiHidden/>
    <w:qFormat/>
    <w:uiPriority w:val="0"/>
  </w:style>
  <w:style w:type="table" w:default="1" w:styleId="7">
    <w:name w:val="Normal Table"/>
    <w:semiHidden/>
    <w:qFormat/>
    <w:uiPriority w:val="0"/>
    <w:tblPr>
      <w:tblLayout w:type="fixed"/>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szCs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rFonts w:ascii="Times New Roman" w:hAnsi="Times New Roman"/>
      <w:sz w:val="18"/>
    </w:rPr>
  </w:style>
  <w:style w:type="paragraph" w:customStyle="1" w:styleId="5">
    <w:name w:val="默认段落字体 Para Char Char Char Char Char Char Char"/>
    <w:basedOn w:val="1"/>
    <w:link w:val="4"/>
    <w:qFormat/>
    <w:uiPriority w:val="0"/>
  </w:style>
  <w:style w:type="character" w:styleId="6">
    <w:name w:val="page number"/>
    <w:basedOn w:val="4"/>
    <w:qFormat/>
    <w:uiPriority w:val="0"/>
  </w:style>
</w:styles>
</file>

<file path=word/_rels/document.xml.rels><?xml version="1.0" encoding="UTF-8" standalone="yes"?>
<Relationships xmlns="http://schemas.openxmlformats.org/package/2006/relationships"><Relationship Id="rId9" Type="http://schemas.openxmlformats.org/officeDocument/2006/relationships/numbering" Target="numbering.xml"/><Relationship Id="rId8" Type="http://schemas.openxmlformats.org/officeDocument/2006/relationships/customXml" Target="../customXml/item1.xml"/><Relationship Id="rId7" Type="http://schemas.openxmlformats.org/officeDocument/2006/relationships/theme" Target="theme/theme1.xml"/><Relationship Id="rId6" Type="http://schemas.openxmlformats.org/officeDocument/2006/relationships/footer" Target="footer3.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ScaleCrop>false</ScaleCrop>
  <LinksUpToDate>false</LinksUpToDate>
  <CharactersWithSpaces>0</CharactersWithSpaces>
  <Application>WPS Office_10.8.0.6206_F1E327BC-269C-435d-A152-05C5408002CA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2020-01-02T08:14:00Z</dcterms:created>
  <dc:creator>838</dc:creator>
  <cp:lastModifiedBy>Administrator</cp:lastModifiedBy>
  <cp:lastPrinted>2020-01-06T07:39:13Z</cp:lastPrinted>
  <dcterms:modified xsi:type="dcterms:W3CDTF">2020-01-06T07:39:23Z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2052-10.8.0.6206</vt:lpwstr>
  </property>
</Properties>
</file>