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宋体" w:hAnsi="宋体" w:eastAsia="宋体" w:cs="宋体"/>
          <w:b w:val="0"/>
          <w:bCs w:val="0"/>
          <w:sz w:val="36"/>
          <w:szCs w:val="36"/>
          <w:lang w:val="en-US" w:eastAsia="zh-CN"/>
        </w:rPr>
      </w:pPr>
      <w:r>
        <w:rPr>
          <w:rFonts w:hint="eastAsia" w:ascii="宋体" w:hAnsi="宋体" w:eastAsia="宋体" w:cs="宋体"/>
          <w:b w:val="0"/>
          <w:bCs w:val="0"/>
          <w:sz w:val="36"/>
          <w:szCs w:val="36"/>
          <w:lang w:val="en-US" w:eastAsia="zh-CN"/>
        </w:rPr>
        <w:t>石家庄市鹿泉区军粮供应有限责任公司</w:t>
      </w:r>
    </w:p>
    <w:p>
      <w:pPr>
        <w:spacing w:line="360" w:lineRule="auto"/>
        <w:ind w:left="0" w:leftChars="0" w:right="0" w:rightChars="0" w:firstLine="0" w:firstLineChars="0"/>
        <w:jc w:val="center"/>
        <w:rPr>
          <w:rFonts w:hint="eastAsia" w:ascii="宋体" w:hAnsi="宋体" w:eastAsia="宋体" w:cs="宋体"/>
          <w:sz w:val="36"/>
          <w:szCs w:val="36"/>
          <w:lang w:eastAsia="zh-CN"/>
        </w:rPr>
      </w:pPr>
      <w:r>
        <w:rPr>
          <w:rFonts w:hint="eastAsia" w:ascii="宋体" w:hAnsi="宋体" w:eastAsia="宋体" w:cs="宋体"/>
          <w:b w:val="0"/>
          <w:bCs w:val="0"/>
          <w:sz w:val="36"/>
          <w:szCs w:val="36"/>
          <w:lang w:eastAsia="zh-CN"/>
        </w:rPr>
        <w:t>搬迁项目</w:t>
      </w:r>
      <w:r>
        <w:rPr>
          <w:rFonts w:hint="eastAsia" w:ascii="宋体" w:hAnsi="宋体" w:eastAsia="宋体" w:cs="宋体"/>
          <w:b w:val="0"/>
          <w:bCs w:val="0"/>
          <w:sz w:val="36"/>
          <w:szCs w:val="36"/>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00" w:firstLineChars="200"/>
        <w:rPr>
          <w:rFonts w:hint="eastAsia" w:ascii="仿宋_GB2312" w:eastAsia="仿宋_GB2312"/>
          <w:sz w:val="30"/>
          <w:szCs w:val="30"/>
        </w:rPr>
      </w:pPr>
      <w:r>
        <w:rPr>
          <w:rFonts w:hint="eastAsia" w:ascii="仿宋_GB2312" w:eastAsia="仿宋_GB2312"/>
          <w:sz w:val="30"/>
          <w:szCs w:val="30"/>
        </w:rPr>
        <w:t>根据《</w:t>
      </w:r>
      <w:r>
        <w:rPr>
          <w:rFonts w:hint="eastAsia" w:ascii="仿宋_GB2312" w:eastAsia="仿宋_GB2312"/>
          <w:sz w:val="30"/>
          <w:szCs w:val="30"/>
          <w:lang w:eastAsia="zh-CN"/>
        </w:rPr>
        <w:t>石家庄市鹿泉区区级部门预算绩效管理办法</w:t>
      </w:r>
      <w:r>
        <w:rPr>
          <w:rFonts w:hint="eastAsia" w:ascii="仿宋_GB2312" w:eastAsia="仿宋_GB2312"/>
          <w:sz w:val="30"/>
          <w:szCs w:val="30"/>
        </w:rPr>
        <w:t>》</w:t>
      </w:r>
      <w:r>
        <w:rPr>
          <w:rFonts w:hint="eastAsia" w:ascii="仿宋_GB2312" w:eastAsia="仿宋_GB2312"/>
          <w:sz w:val="30"/>
          <w:szCs w:val="30"/>
          <w:lang w:eastAsia="zh-CN"/>
        </w:rPr>
        <w:t>（鹿</w:t>
      </w:r>
      <w:r>
        <w:rPr>
          <w:rFonts w:hint="eastAsia" w:ascii="仿宋_GB2312" w:eastAsia="仿宋_GB2312"/>
          <w:sz w:val="30"/>
          <w:szCs w:val="30"/>
          <w:lang w:val="en-US" w:eastAsia="zh-CN"/>
        </w:rPr>
        <w:t>财字[2019]65号）</w:t>
      </w:r>
      <w:r>
        <w:rPr>
          <w:rFonts w:hint="eastAsia" w:ascii="仿宋_GB2312" w:eastAsia="仿宋_GB2312"/>
          <w:sz w:val="30"/>
          <w:szCs w:val="30"/>
        </w:rPr>
        <w:t>，遵循“科学性、规范性、客观性和公正性”的原则，对</w:t>
      </w:r>
      <w:r>
        <w:rPr>
          <w:rFonts w:hint="eastAsia" w:ascii="仿宋_GB2312" w:eastAsia="仿宋_GB2312"/>
          <w:sz w:val="30"/>
          <w:szCs w:val="30"/>
          <w:lang w:eastAsia="zh-CN"/>
        </w:rPr>
        <w:t>军粮搬迁项目</w:t>
      </w:r>
      <w:r>
        <w:rPr>
          <w:rFonts w:hint="eastAsia" w:ascii="仿宋_GB2312" w:eastAsia="仿宋_GB2312"/>
          <w:sz w:val="30"/>
          <w:szCs w:val="30"/>
        </w:rPr>
        <w:t>实施了</w:t>
      </w:r>
      <w:r>
        <w:rPr>
          <w:rFonts w:hint="eastAsia" w:ascii="仿宋_GB2312" w:eastAsia="仿宋_GB2312"/>
          <w:sz w:val="30"/>
          <w:szCs w:val="30"/>
          <w:lang w:eastAsia="zh-CN"/>
        </w:rPr>
        <w:t>绩效</w:t>
      </w:r>
      <w:r>
        <w:rPr>
          <w:rFonts w:hint="eastAsia" w:ascii="仿宋_GB2312" w:eastAsia="仿宋_GB2312"/>
          <w:sz w:val="30"/>
          <w:szCs w:val="30"/>
        </w:rPr>
        <w:t>评价，形成本评价报告。</w:t>
      </w:r>
    </w:p>
    <w:p>
      <w:pPr>
        <w:adjustRightInd w:val="0"/>
        <w:snapToGrid w:val="0"/>
        <w:spacing w:line="360" w:lineRule="auto"/>
        <w:rPr>
          <w:rFonts w:hint="eastAsia" w:ascii="黑体" w:eastAsia="黑体"/>
          <w:b/>
          <w:bCs/>
          <w:sz w:val="30"/>
          <w:szCs w:val="30"/>
        </w:rPr>
      </w:pPr>
      <w:r>
        <w:rPr>
          <w:rFonts w:hint="eastAsia" w:ascii="黑体" w:eastAsia="黑体"/>
          <w:sz w:val="30"/>
          <w:szCs w:val="30"/>
          <w:lang w:val="en-US" w:eastAsia="zh-CN"/>
        </w:rPr>
        <w:t xml:space="preserve">    </w:t>
      </w:r>
      <w:r>
        <w:rPr>
          <w:rFonts w:hint="eastAsia" w:ascii="黑体" w:eastAsia="黑体"/>
          <w:b w:val="0"/>
          <w:bCs w:val="0"/>
          <w:sz w:val="30"/>
          <w:szCs w:val="30"/>
        </w:rPr>
        <w:t>一、</w:t>
      </w:r>
      <w:r>
        <w:rPr>
          <w:rFonts w:hint="eastAsia" w:ascii="黑体" w:eastAsia="黑体"/>
          <w:b w:val="0"/>
          <w:bCs w:val="0"/>
          <w:sz w:val="30"/>
          <w:szCs w:val="30"/>
          <w:lang w:eastAsia="zh-CN"/>
        </w:rPr>
        <w:t>项目</w:t>
      </w:r>
      <w:r>
        <w:rPr>
          <w:rFonts w:hint="eastAsia" w:ascii="黑体" w:eastAsia="黑体"/>
          <w:b w:val="0"/>
          <w:bCs w:val="0"/>
          <w:sz w:val="30"/>
          <w:szCs w:val="30"/>
        </w:rPr>
        <w:t>基本情况</w:t>
      </w:r>
    </w:p>
    <w:p>
      <w:pPr>
        <w:adjustRightInd w:val="0"/>
        <w:snapToGrid w:val="0"/>
        <w:spacing w:line="360" w:lineRule="auto"/>
        <w:ind w:firstLine="600" w:firstLineChars="200"/>
        <w:rPr>
          <w:rFonts w:hint="eastAsia" w:ascii="楷体_GB2312" w:hAnsi="楷体_GB2312" w:eastAsia="楷体_GB2312" w:cs="楷体_GB2312"/>
          <w:b w:val="0"/>
          <w:bCs w:val="0"/>
          <w:sz w:val="30"/>
          <w:szCs w:val="30"/>
        </w:rPr>
      </w:pPr>
      <w:r>
        <w:rPr>
          <w:rFonts w:hint="eastAsia" w:ascii="楷体_GB2312" w:hAnsi="楷体_GB2312" w:eastAsia="楷体_GB2312" w:cs="楷体_GB2312"/>
          <w:b w:val="0"/>
          <w:bCs w:val="0"/>
          <w:sz w:val="30"/>
          <w:szCs w:val="30"/>
        </w:rPr>
        <w:t>（一）项目概况</w:t>
      </w:r>
    </w:p>
    <w:p>
      <w:pPr>
        <w:adjustRightInd w:val="0"/>
        <w:snapToGrid w:val="0"/>
        <w:spacing w:line="360" w:lineRule="auto"/>
        <w:ind w:firstLine="600" w:firstLineChars="200"/>
        <w:rPr>
          <w:rFonts w:hint="eastAsia" w:ascii="仿宋_GB2312" w:eastAsia="仿宋_GB2312"/>
          <w:sz w:val="30"/>
          <w:szCs w:val="30"/>
          <w:lang w:eastAsia="zh-CN"/>
        </w:rPr>
      </w:pPr>
      <w:r>
        <w:rPr>
          <w:rFonts w:hint="eastAsia" w:ascii="仿宋_GB2312" w:eastAsia="仿宋_GB2312"/>
          <w:sz w:val="30"/>
          <w:szCs w:val="30"/>
          <w:lang w:val="en-US" w:eastAsia="zh-CN"/>
        </w:rPr>
        <w:t xml:space="preserve"> </w:t>
      </w:r>
      <w:r>
        <w:rPr>
          <w:rFonts w:hint="eastAsia" w:ascii="仿宋_GB2312" w:eastAsia="仿宋_GB2312"/>
          <w:sz w:val="30"/>
          <w:szCs w:val="30"/>
        </w:rPr>
        <w:t>1</w:t>
      </w:r>
      <w:r>
        <w:rPr>
          <w:rFonts w:hint="eastAsia" w:ascii="仿宋_GB2312" w:eastAsia="仿宋_GB2312"/>
          <w:sz w:val="30"/>
          <w:szCs w:val="30"/>
          <w:lang w:val="en-US" w:eastAsia="zh-CN"/>
        </w:rPr>
        <w:t>.</w:t>
      </w:r>
      <w:r>
        <w:rPr>
          <w:rFonts w:hint="eastAsia" w:ascii="仿宋_GB2312" w:eastAsia="仿宋_GB2312"/>
          <w:sz w:val="30"/>
          <w:szCs w:val="30"/>
          <w:lang w:eastAsia="zh-CN"/>
        </w:rPr>
        <w:t>项目实施单位及项目立项等基本情况；</w:t>
      </w:r>
    </w:p>
    <w:p>
      <w:pPr>
        <w:adjustRightInd w:val="0"/>
        <w:snapToGrid w:val="0"/>
        <w:spacing w:line="360" w:lineRule="auto"/>
        <w:ind w:firstLine="600" w:firstLineChars="200"/>
        <w:rPr>
          <w:rFonts w:hint="eastAsia" w:ascii="仿宋_GB2312" w:eastAsia="仿宋_GB2312"/>
          <w:sz w:val="30"/>
          <w:szCs w:val="30"/>
          <w:lang w:eastAsia="zh-CN"/>
        </w:rPr>
      </w:pPr>
      <w:r>
        <w:rPr>
          <w:rFonts w:hint="eastAsia" w:ascii="仿宋_GB2312" w:eastAsia="仿宋_GB2312"/>
          <w:sz w:val="30"/>
          <w:szCs w:val="30"/>
          <w:lang w:eastAsia="zh-CN"/>
        </w:rPr>
        <w:t>项目实施单位由鹿泉军粮公司实施，项目立项及规划等手续齐全。</w:t>
      </w:r>
    </w:p>
    <w:p>
      <w:pPr>
        <w:numPr>
          <w:numId w:val="0"/>
        </w:numPr>
        <w:adjustRightInd w:val="0"/>
        <w:snapToGrid w:val="0"/>
        <w:spacing w:line="360" w:lineRule="auto"/>
        <w:ind w:firstLine="600" w:firstLineChars="200"/>
        <w:rPr>
          <w:rFonts w:hint="eastAsia" w:ascii="仿宋_GB2312" w:eastAsia="仿宋_GB2312"/>
          <w:sz w:val="30"/>
          <w:szCs w:val="30"/>
          <w:lang w:val="en-US" w:eastAsia="zh-CN"/>
        </w:rPr>
      </w:pPr>
      <w:bookmarkStart w:id="0" w:name="_GoBack"/>
      <w:bookmarkEnd w:id="0"/>
      <w:r>
        <w:rPr>
          <w:rFonts w:hint="eastAsia" w:ascii="仿宋_GB2312" w:eastAsia="仿宋_GB2312"/>
          <w:sz w:val="30"/>
          <w:szCs w:val="30"/>
          <w:lang w:val="en-US" w:eastAsia="zh-CN"/>
        </w:rPr>
        <w:t>2.项目主要实施内容和范围；</w:t>
      </w:r>
    </w:p>
    <w:p>
      <w:pPr>
        <w:numPr>
          <w:ilvl w:val="0"/>
          <w:numId w:val="0"/>
        </w:numPr>
        <w:adjustRightInd w:val="0"/>
        <w:snapToGrid w:val="0"/>
        <w:spacing w:line="360" w:lineRule="auto"/>
        <w:ind w:firstLine="600" w:firstLineChars="200"/>
        <w:rPr>
          <w:rFonts w:hint="eastAsia" w:ascii="仿宋_GB2312" w:eastAsia="仿宋_GB2312"/>
          <w:sz w:val="30"/>
          <w:szCs w:val="30"/>
          <w:lang w:val="en-US" w:eastAsia="zh-CN"/>
        </w:rPr>
      </w:pPr>
      <w:r>
        <w:rPr>
          <w:rFonts w:hint="eastAsia" w:ascii="仿宋" w:hAnsi="仿宋" w:eastAsia="仿宋" w:cs="仿宋"/>
          <w:sz w:val="30"/>
          <w:szCs w:val="30"/>
          <w:lang w:eastAsia="zh-CN"/>
        </w:rPr>
        <w:t>我鹿泉军粮公司在新库区（原直属三库），投资</w:t>
      </w:r>
      <w:r>
        <w:rPr>
          <w:rFonts w:hint="eastAsia" w:ascii="仿宋" w:hAnsi="仿宋" w:eastAsia="仿宋" w:cs="仿宋"/>
          <w:sz w:val="30"/>
          <w:szCs w:val="30"/>
          <w:lang w:val="en-US" w:eastAsia="zh-CN"/>
        </w:rPr>
        <w:t>446.432万元</w:t>
      </w:r>
      <w:r>
        <w:rPr>
          <w:rFonts w:hint="eastAsia" w:ascii="仿宋" w:hAnsi="仿宋" w:eastAsia="仿宋" w:cs="仿宋"/>
          <w:sz w:val="30"/>
          <w:szCs w:val="30"/>
        </w:rPr>
        <w:t>建设</w:t>
      </w:r>
      <w:r>
        <w:rPr>
          <w:rFonts w:hint="eastAsia" w:ascii="仿宋" w:hAnsi="仿宋" w:eastAsia="仿宋" w:cs="仿宋"/>
          <w:sz w:val="30"/>
          <w:szCs w:val="30"/>
          <w:lang w:eastAsia="zh-CN"/>
        </w:rPr>
        <w:t>低温仓</w:t>
      </w:r>
      <w:r>
        <w:rPr>
          <w:rFonts w:hint="eastAsia" w:ascii="仿宋" w:hAnsi="仿宋" w:eastAsia="仿宋" w:cs="仿宋"/>
          <w:sz w:val="30"/>
          <w:szCs w:val="30"/>
        </w:rPr>
        <w:t>两栋</w:t>
      </w:r>
      <w:r>
        <w:rPr>
          <w:rFonts w:hint="eastAsia" w:ascii="仿宋" w:hAnsi="仿宋" w:eastAsia="仿宋" w:cs="仿宋"/>
          <w:sz w:val="30"/>
          <w:szCs w:val="30"/>
          <w:lang w:eastAsia="zh-CN"/>
        </w:rPr>
        <w:t>，建筑面积</w:t>
      </w:r>
      <w:r>
        <w:rPr>
          <w:rFonts w:hint="eastAsia" w:ascii="仿宋" w:hAnsi="仿宋" w:eastAsia="仿宋" w:cs="仿宋"/>
          <w:sz w:val="30"/>
          <w:szCs w:val="30"/>
          <w:lang w:val="en-US" w:eastAsia="zh-CN"/>
        </w:rPr>
        <w:t>2256平方米</w:t>
      </w:r>
      <w:r>
        <w:rPr>
          <w:rFonts w:hint="eastAsia" w:ascii="仿宋" w:hAnsi="仿宋" w:eastAsia="仿宋" w:cs="仿宋"/>
          <w:sz w:val="30"/>
          <w:szCs w:val="30"/>
        </w:rPr>
        <w:t>，每栋仓房仓容5000吨，共计10000吨</w:t>
      </w:r>
      <w:r>
        <w:rPr>
          <w:rFonts w:hint="eastAsia" w:ascii="仿宋" w:hAnsi="仿宋" w:eastAsia="仿宋" w:cs="仿宋"/>
          <w:sz w:val="30"/>
          <w:szCs w:val="30"/>
          <w:lang w:eastAsia="zh-CN"/>
        </w:rPr>
        <w:t>。</w:t>
      </w:r>
    </w:p>
    <w:p>
      <w:pPr>
        <w:numPr>
          <w:ilvl w:val="0"/>
          <w:numId w:val="0"/>
        </w:numPr>
        <w:adjustRightInd w:val="0"/>
        <w:snapToGrid w:val="0"/>
        <w:spacing w:line="360" w:lineRule="auto"/>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3.项目总投资446.432万元，其中区财政拨付资金379万元，剩余67.432万元为企业自筹支付。</w:t>
      </w:r>
    </w:p>
    <w:p>
      <w:pPr>
        <w:adjustRightInd w:val="0"/>
        <w:snapToGrid w:val="0"/>
        <w:spacing w:line="360" w:lineRule="auto"/>
        <w:ind w:firstLine="600" w:firstLineChars="200"/>
        <w:rPr>
          <w:rFonts w:hint="eastAsia" w:ascii="楷体_GB2312" w:hAnsi="楷体_GB2312" w:eastAsia="楷体_GB2312" w:cs="楷体_GB2312"/>
          <w:b/>
          <w:bCs/>
          <w:sz w:val="30"/>
          <w:szCs w:val="30"/>
        </w:rPr>
      </w:pPr>
      <w:r>
        <w:rPr>
          <w:rFonts w:hint="eastAsia" w:ascii="楷体_GB2312" w:hAnsi="楷体_GB2312" w:eastAsia="楷体_GB2312" w:cs="楷体_GB2312"/>
          <w:b w:val="0"/>
          <w:bCs w:val="0"/>
          <w:sz w:val="30"/>
          <w:szCs w:val="30"/>
        </w:rPr>
        <w:t>（二）项目</w:t>
      </w:r>
      <w:r>
        <w:rPr>
          <w:rFonts w:hint="eastAsia" w:ascii="楷体_GB2312" w:hAnsi="楷体_GB2312" w:eastAsia="楷体_GB2312" w:cs="楷体_GB2312"/>
          <w:b w:val="0"/>
          <w:bCs w:val="0"/>
          <w:sz w:val="30"/>
          <w:szCs w:val="30"/>
          <w:lang w:eastAsia="zh-CN"/>
        </w:rPr>
        <w:t>预期</w:t>
      </w:r>
      <w:r>
        <w:rPr>
          <w:rFonts w:hint="eastAsia" w:ascii="楷体_GB2312" w:hAnsi="楷体_GB2312" w:eastAsia="楷体_GB2312" w:cs="楷体_GB2312"/>
          <w:b w:val="0"/>
          <w:bCs w:val="0"/>
          <w:sz w:val="30"/>
          <w:szCs w:val="30"/>
        </w:rPr>
        <w:t>绩效目标</w:t>
      </w:r>
    </w:p>
    <w:p>
      <w:pPr>
        <w:adjustRightInd w:val="0"/>
        <w:snapToGrid w:val="0"/>
        <w:spacing w:line="360" w:lineRule="auto"/>
        <w:ind w:firstLine="600" w:firstLineChars="200"/>
        <w:rPr>
          <w:rFonts w:hint="eastAsia" w:ascii="仿宋" w:hAnsi="仿宋" w:eastAsia="仿宋" w:cs="仿宋"/>
          <w:sz w:val="30"/>
          <w:szCs w:val="30"/>
          <w:lang w:eastAsia="zh-CN"/>
        </w:rPr>
      </w:pPr>
      <w:r>
        <w:rPr>
          <w:rFonts w:hint="eastAsia" w:ascii="仿宋" w:hAnsi="仿宋" w:eastAsia="仿宋" w:cs="仿宋"/>
          <w:sz w:val="30"/>
          <w:szCs w:val="30"/>
          <w:lang w:eastAsia="zh-CN"/>
        </w:rPr>
        <w:t>通过财政专项资金支持，改善粮食仓储设施条件，实施放心粮油工程建设，推动放心粮油产销体系，推进放心粮油进农村进社区；为驻鹿部队配送军粮，保障军粮供应，满足部队需要；</w:t>
      </w:r>
    </w:p>
    <w:p>
      <w:pPr>
        <w:adjustRightInd w:val="0"/>
        <w:snapToGrid w:val="0"/>
        <w:spacing w:line="360" w:lineRule="auto"/>
        <w:ind w:firstLine="602" w:firstLineChars="200"/>
        <w:rPr>
          <w:rFonts w:hint="eastAsia" w:ascii="黑体" w:hAnsi="黑体" w:eastAsia="黑体" w:cs="黑体"/>
          <w:b/>
          <w:bCs/>
          <w:sz w:val="30"/>
          <w:szCs w:val="30"/>
          <w:lang w:eastAsia="zh-CN"/>
        </w:rPr>
      </w:pPr>
      <w:r>
        <w:rPr>
          <w:rFonts w:hint="eastAsia" w:ascii="黑体" w:hAnsi="黑体" w:eastAsia="黑体" w:cs="黑体"/>
          <w:b/>
          <w:bCs/>
          <w:sz w:val="30"/>
          <w:szCs w:val="30"/>
          <w:lang w:eastAsia="zh-CN"/>
        </w:rPr>
        <w:t>二、绩效评价工作情况</w:t>
      </w:r>
    </w:p>
    <w:p>
      <w:pPr>
        <w:ind w:left="0" w:leftChars="0" w:right="0" w:rightChars="0" w:firstLine="0" w:firstLineChars="0"/>
        <w:jc w:val="both"/>
        <w:rPr>
          <w:rFonts w:hint="eastAsia" w:ascii="楷体_GB2312" w:hAnsi="楷体_GB2312" w:eastAsia="楷体_GB2312" w:cs="楷体_GB2312"/>
          <w:sz w:val="30"/>
          <w:szCs w:val="30"/>
          <w:lang w:val="en-US" w:eastAsia="zh-CN"/>
        </w:rPr>
      </w:pPr>
      <w:r>
        <w:rPr>
          <w:rFonts w:hint="eastAsia" w:ascii="仿宋_GB2312" w:eastAsia="仿宋_GB2312"/>
          <w:sz w:val="30"/>
          <w:szCs w:val="30"/>
          <w:lang w:val="en-US" w:eastAsia="zh-CN"/>
        </w:rPr>
        <w:t xml:space="preserve">   </w:t>
      </w:r>
      <w:r>
        <w:rPr>
          <w:rFonts w:hint="eastAsia" w:ascii="楷体_GB2312" w:hAnsi="楷体_GB2312" w:eastAsia="楷体_GB2312" w:cs="楷体_GB2312"/>
          <w:b w:val="0"/>
          <w:bCs w:val="0"/>
          <w:sz w:val="30"/>
          <w:szCs w:val="30"/>
          <w:lang w:val="en-US" w:eastAsia="zh-CN"/>
        </w:rPr>
        <w:t>（一）绩效评价的组织工作</w:t>
      </w:r>
    </w:p>
    <w:p>
      <w:pPr>
        <w:numPr>
          <w:ilvl w:val="0"/>
          <w:numId w:val="0"/>
        </w:numPr>
        <w:ind w:firstLine="640"/>
        <w:rPr>
          <w:rFonts w:hint="eastAsia" w:ascii="仿宋_GB2312" w:eastAsia="仿宋_GB2312"/>
          <w:sz w:val="30"/>
          <w:szCs w:val="30"/>
          <w:lang w:val="en-US" w:eastAsia="zh-CN"/>
        </w:rPr>
      </w:pPr>
      <w:r>
        <w:rPr>
          <w:rFonts w:hint="eastAsia" w:ascii="仿宋_GB2312" w:eastAsia="仿宋_GB2312"/>
          <w:sz w:val="30"/>
          <w:szCs w:val="30"/>
          <w:lang w:val="en-US" w:eastAsia="zh-CN"/>
        </w:rPr>
        <w:t>我公司成立了搬迁项目绩效评价专项小组：</w:t>
      </w:r>
    </w:p>
    <w:p>
      <w:pPr>
        <w:numPr>
          <w:ilvl w:val="0"/>
          <w:numId w:val="0"/>
        </w:numPr>
        <w:ind w:firstLine="640"/>
        <w:rPr>
          <w:rFonts w:hint="eastAsia" w:ascii="仿宋_GB2312" w:eastAsia="仿宋_GB2312"/>
          <w:sz w:val="30"/>
          <w:szCs w:val="30"/>
          <w:lang w:val="en-US" w:eastAsia="zh-CN"/>
        </w:rPr>
      </w:pPr>
      <w:r>
        <w:rPr>
          <w:rFonts w:hint="eastAsia" w:ascii="仿宋_GB2312" w:eastAsia="仿宋_GB2312"/>
          <w:sz w:val="30"/>
          <w:szCs w:val="30"/>
          <w:lang w:val="en-US" w:eastAsia="zh-CN"/>
        </w:rPr>
        <w:t>组长：高顺霞  成员：赵璋  魏晓峰  张锐。</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0"/>
          <w:szCs w:val="30"/>
          <w:lang w:val="en-US" w:eastAsia="zh-CN"/>
        </w:rPr>
      </w:pPr>
      <w:r>
        <w:rPr>
          <w:rFonts w:hint="eastAsia" w:ascii="楷体_GB2312" w:hAnsi="楷体_GB2312" w:eastAsia="楷体_GB2312" w:cs="楷体_GB2312"/>
          <w:b w:val="0"/>
          <w:bCs w:val="0"/>
          <w:sz w:val="30"/>
          <w:szCs w:val="30"/>
          <w:lang w:val="en-US" w:eastAsia="zh-CN"/>
        </w:rPr>
        <w:t>绩效评价的方法和过程</w:t>
      </w:r>
    </w:p>
    <w:p>
      <w:pPr>
        <w:numPr>
          <w:ilvl w:val="0"/>
          <w:numId w:val="0"/>
        </w:numPr>
        <w:ind w:firstLine="640"/>
        <w:rPr>
          <w:rFonts w:hint="eastAsia" w:ascii="楷体_GB2312" w:hAnsi="楷体_GB2312" w:eastAsia="楷体_GB2312" w:cs="楷体_GB2312"/>
          <w:b w:val="0"/>
          <w:bCs w:val="0"/>
          <w:sz w:val="30"/>
          <w:szCs w:val="30"/>
          <w:lang w:val="en-US" w:eastAsia="zh-CN"/>
        </w:rPr>
      </w:pPr>
      <w:r>
        <w:rPr>
          <w:rFonts w:hint="eastAsia" w:ascii="仿宋_GB2312" w:eastAsia="仿宋_GB2312"/>
          <w:sz w:val="30"/>
          <w:szCs w:val="30"/>
          <w:lang w:val="en-US" w:eastAsia="zh-CN"/>
        </w:rPr>
        <w:t>通过对项目施工单位以及监理单位和公司基建部门所有项目的相关资料进行查看评价。</w:t>
      </w:r>
    </w:p>
    <w:p>
      <w:pPr>
        <w:numPr>
          <w:ilvl w:val="0"/>
          <w:numId w:val="0"/>
        </w:numPr>
        <w:ind w:leftChars="0" w:right="0" w:rightChars="0"/>
        <w:jc w:val="both"/>
        <w:rPr>
          <w:rFonts w:hint="eastAsia" w:ascii="仿宋_GB2312" w:eastAsia="仿宋_GB2312"/>
          <w:b w:val="0"/>
          <w:bCs w:val="0"/>
          <w:sz w:val="30"/>
          <w:szCs w:val="30"/>
          <w:lang w:val="en-US" w:eastAsia="zh-CN"/>
        </w:rPr>
      </w:pPr>
      <w:r>
        <w:rPr>
          <w:rFonts w:hint="eastAsia" w:ascii="楷体_GB2312" w:hAnsi="楷体_GB2312" w:eastAsia="楷体_GB2312" w:cs="楷体_GB2312"/>
          <w:b/>
          <w:bCs/>
          <w:sz w:val="30"/>
          <w:szCs w:val="30"/>
          <w:lang w:val="en-US" w:eastAsia="zh-CN"/>
        </w:rPr>
        <w:t xml:space="preserve">   </w:t>
      </w:r>
      <w:r>
        <w:rPr>
          <w:rFonts w:hint="eastAsia" w:ascii="楷体_GB2312" w:hAnsi="楷体_GB2312" w:eastAsia="楷体_GB2312" w:cs="楷体_GB2312"/>
          <w:b w:val="0"/>
          <w:bCs w:val="0"/>
          <w:sz w:val="30"/>
          <w:szCs w:val="30"/>
          <w:lang w:val="en-US" w:eastAsia="zh-CN"/>
        </w:rPr>
        <w:t>（三）建立绩效评价指标体系</w:t>
      </w:r>
    </w:p>
    <w:p>
      <w:pPr>
        <w:ind w:firstLine="600" w:firstLineChars="200"/>
        <w:jc w:val="both"/>
        <w:rPr>
          <w:rFonts w:hint="eastAsia" w:ascii="仿宋_GB2312" w:eastAsia="仿宋_GB2312"/>
          <w:sz w:val="30"/>
          <w:szCs w:val="30"/>
          <w:lang w:val="en-US" w:eastAsia="zh-CN"/>
        </w:rPr>
      </w:pPr>
      <w:r>
        <w:rPr>
          <w:rFonts w:hint="eastAsia" w:ascii="仿宋_GB2312" w:eastAsia="仿宋_GB2312"/>
          <w:b w:val="0"/>
          <w:bCs w:val="0"/>
          <w:sz w:val="30"/>
          <w:szCs w:val="30"/>
          <w:lang w:val="en-US" w:eastAsia="zh-CN"/>
        </w:rPr>
        <w:t>在开展预算绩效评价工作时，针对搬迁项目的特点，对本项目的粮油储备量、仓房使用情况、仓房维护保养情况、设备配套情况、资金使用情况进行了绩效评价。</w:t>
      </w:r>
    </w:p>
    <w:p>
      <w:pPr>
        <w:rPr>
          <w:rFonts w:hint="eastAsia" w:ascii="黑体" w:hAnsi="黑体" w:eastAsia="黑体" w:cs="黑体"/>
          <w:b/>
          <w:bCs/>
          <w:sz w:val="30"/>
          <w:szCs w:val="30"/>
          <w:lang w:eastAsia="zh-CN"/>
        </w:rPr>
      </w:pPr>
      <w:r>
        <w:rPr>
          <w:rFonts w:hint="eastAsia" w:ascii="仿宋_GB2312" w:eastAsia="仿宋_GB2312"/>
          <w:b/>
          <w:bCs/>
          <w:sz w:val="30"/>
          <w:szCs w:val="30"/>
          <w:lang w:val="en-US" w:eastAsia="zh-CN"/>
        </w:rPr>
        <w:t xml:space="preserve">    </w:t>
      </w:r>
      <w:r>
        <w:rPr>
          <w:rFonts w:hint="eastAsia" w:ascii="黑体" w:hAnsi="黑体" w:eastAsia="黑体" w:cs="黑体"/>
          <w:b w:val="0"/>
          <w:bCs w:val="0"/>
          <w:sz w:val="30"/>
          <w:szCs w:val="30"/>
          <w:lang w:val="en-US" w:eastAsia="zh-CN"/>
        </w:rPr>
        <w:t>三、</w:t>
      </w:r>
      <w:r>
        <w:rPr>
          <w:rFonts w:hint="eastAsia" w:ascii="黑体" w:hAnsi="黑体" w:eastAsia="黑体" w:cs="黑体"/>
          <w:b w:val="0"/>
          <w:bCs w:val="0"/>
          <w:sz w:val="30"/>
          <w:szCs w:val="30"/>
          <w:lang w:eastAsia="zh-CN"/>
        </w:rPr>
        <w:t>项目执行及绩效实现情况</w:t>
      </w:r>
    </w:p>
    <w:p>
      <w:pPr>
        <w:rPr>
          <w:rFonts w:hint="eastAsia" w:ascii="楷体_GB2312" w:hAnsi="楷体_GB2312" w:eastAsia="楷体_GB2312" w:cs="楷体_GB2312"/>
          <w:b w:val="0"/>
          <w:bCs w:val="0"/>
          <w:sz w:val="30"/>
          <w:szCs w:val="30"/>
          <w:lang w:val="en-US" w:eastAsia="zh-CN"/>
        </w:rPr>
      </w:pPr>
      <w:r>
        <w:rPr>
          <w:rFonts w:hint="eastAsia" w:ascii="楷体_GB2312" w:hAnsi="楷体_GB2312" w:eastAsia="楷体_GB2312" w:cs="楷体_GB2312"/>
          <w:b w:val="0"/>
          <w:bCs w:val="0"/>
          <w:sz w:val="30"/>
          <w:szCs w:val="30"/>
          <w:lang w:val="en-US" w:eastAsia="zh-CN"/>
        </w:rPr>
        <w:t xml:space="preserve">   （一）项目投入</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1.本项目手续齐全，有相关立项和规划手续。</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2.经财政部门决算审计，项目审定支付资金</w:t>
      </w:r>
      <w:r>
        <w:rPr>
          <w:rFonts w:hint="eastAsia" w:ascii="仿宋_GB2312" w:eastAsia="仿宋_GB2312"/>
          <w:sz w:val="30"/>
          <w:szCs w:val="30"/>
          <w:lang w:val="en-US" w:eastAsia="zh-CN"/>
        </w:rPr>
        <w:t>446.432</w:t>
      </w:r>
      <w:r>
        <w:rPr>
          <w:rFonts w:hint="eastAsia" w:ascii="仿宋_GB2312" w:eastAsia="仿宋_GB2312"/>
          <w:b w:val="0"/>
          <w:bCs w:val="0"/>
          <w:sz w:val="30"/>
          <w:szCs w:val="30"/>
          <w:lang w:val="en-US" w:eastAsia="zh-CN"/>
        </w:rPr>
        <w:t>万元，执行率100%。</w:t>
      </w:r>
    </w:p>
    <w:p>
      <w:pPr>
        <w:rPr>
          <w:rFonts w:hint="eastAsia" w:ascii="楷体_GB2312" w:hAnsi="楷体_GB2312" w:eastAsia="楷体_GB2312" w:cs="楷体_GB2312"/>
          <w:b w:val="0"/>
          <w:bCs w:val="0"/>
          <w:sz w:val="30"/>
          <w:szCs w:val="30"/>
          <w:lang w:val="en-US" w:eastAsia="zh-CN"/>
        </w:rPr>
      </w:pPr>
      <w:r>
        <w:rPr>
          <w:rFonts w:hint="eastAsia" w:ascii="仿宋_GB2312" w:eastAsia="仿宋_GB2312"/>
          <w:b w:val="0"/>
          <w:bCs w:val="0"/>
          <w:sz w:val="30"/>
          <w:szCs w:val="30"/>
          <w:lang w:val="en-US" w:eastAsia="zh-CN"/>
        </w:rPr>
        <w:t xml:space="preserve">   </w:t>
      </w:r>
      <w:r>
        <w:rPr>
          <w:rFonts w:hint="eastAsia" w:ascii="楷体_GB2312" w:hAnsi="楷体_GB2312" w:eastAsia="楷体_GB2312" w:cs="楷体_GB2312"/>
          <w:b w:val="0"/>
          <w:bCs w:val="0"/>
          <w:sz w:val="30"/>
          <w:szCs w:val="30"/>
          <w:lang w:val="en-US" w:eastAsia="zh-CN"/>
        </w:rPr>
        <w:t>（二）项目实施过程</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项目施工建设相关材料齐全（建设图纸、招标文件、施工合同、竣工验收材料及决算等）：财政评审、招投标文件、中标通知、施工合同、设备采购合同、工程决算等资料全；资料中还包含监理部门出具的《工程竣工验收情况报告》；建设后的仓房达到了粮油仓储和应急配送技术规范要求。</w:t>
      </w:r>
    </w:p>
    <w:p>
      <w:pPr>
        <w:spacing w:line="580" w:lineRule="exact"/>
        <w:ind w:firstLine="600" w:firstLineChars="200"/>
        <w:rPr>
          <w:rFonts w:hint="eastAsia" w:ascii="仿宋_GB2312" w:hAnsi="宋体" w:eastAsia="仿宋_GB2312"/>
          <w:sz w:val="30"/>
          <w:szCs w:val="30"/>
        </w:rPr>
      </w:pPr>
      <w:r>
        <w:rPr>
          <w:rFonts w:hint="eastAsia" w:ascii="仿宋_GB2312" w:eastAsia="仿宋_GB2312"/>
          <w:b w:val="0"/>
          <w:bCs w:val="0"/>
          <w:sz w:val="30"/>
          <w:szCs w:val="30"/>
          <w:lang w:val="en-US" w:eastAsia="zh-CN"/>
        </w:rPr>
        <w:t>2.财务管理。</w:t>
      </w:r>
      <w:r>
        <w:rPr>
          <w:rFonts w:hint="eastAsia" w:ascii="仿宋_GB2312" w:hAnsi="宋体" w:eastAsia="仿宋_GB2312"/>
          <w:sz w:val="30"/>
          <w:szCs w:val="30"/>
        </w:rPr>
        <w:t>资金的拨付本着专款专用的原则，严格执行项目资金批准的使用计划和项目批复资料，不准擅自调项、扩项、缩项，更不准拆借、挪用、挤占和随意扣压；资金拨付动向，按不一样专项资金的要求执行，不准任意改变；特殊状况，务必请示。严格专项资金初审、审核、审核制度，不准缺项和越程序办理手续，各类专项资金审批程序，以该专项资金审批表所列资料和文件要求为准。</w:t>
      </w:r>
    </w:p>
    <w:p>
      <w:pPr>
        <w:spacing w:line="580" w:lineRule="exact"/>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 xml:space="preserve">   </w:t>
      </w:r>
      <w:r>
        <w:rPr>
          <w:rFonts w:hint="eastAsia" w:ascii="楷体_GB2312" w:hAnsi="楷体_GB2312" w:eastAsia="楷体_GB2312" w:cs="楷体_GB2312"/>
          <w:b w:val="0"/>
          <w:bCs w:val="0"/>
          <w:sz w:val="30"/>
          <w:szCs w:val="30"/>
          <w:lang w:val="en-US" w:eastAsia="zh-CN"/>
        </w:rPr>
        <w:t>（三）项目产出</w:t>
      </w:r>
    </w:p>
    <w:p>
      <w:pPr>
        <w:numPr>
          <w:ilvl w:val="0"/>
          <w:numId w:val="0"/>
        </w:num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项目已经全部完成、质量达标率、已投入使用正常运转。</w:t>
      </w:r>
    </w:p>
    <w:p>
      <w:pPr>
        <w:numPr>
          <w:ilvl w:val="0"/>
          <w:numId w:val="0"/>
        </w:numPr>
        <w:rPr>
          <w:rFonts w:hint="eastAsia" w:ascii="楷体_GB2312" w:hAnsi="楷体_GB2312" w:eastAsia="楷体_GB2312" w:cs="楷体_GB2312"/>
          <w:b w:val="0"/>
          <w:bCs w:val="0"/>
          <w:sz w:val="30"/>
          <w:szCs w:val="30"/>
          <w:lang w:val="en-US" w:eastAsia="zh-CN"/>
        </w:rPr>
      </w:pPr>
      <w:r>
        <w:rPr>
          <w:rFonts w:hint="eastAsia" w:ascii="楷体_GB2312" w:hAnsi="楷体_GB2312" w:eastAsia="楷体_GB2312" w:cs="楷体_GB2312"/>
          <w:b/>
          <w:bCs/>
          <w:sz w:val="30"/>
          <w:szCs w:val="30"/>
          <w:lang w:val="en-US" w:eastAsia="zh-CN"/>
        </w:rPr>
        <w:t xml:space="preserve">   </w:t>
      </w:r>
      <w:r>
        <w:rPr>
          <w:rFonts w:hint="eastAsia" w:ascii="楷体_GB2312" w:hAnsi="楷体_GB2312" w:eastAsia="楷体_GB2312" w:cs="楷体_GB2312"/>
          <w:b w:val="0"/>
          <w:bCs w:val="0"/>
          <w:sz w:val="30"/>
          <w:szCs w:val="30"/>
          <w:lang w:val="en-US" w:eastAsia="zh-CN"/>
        </w:rPr>
        <w:t>（四）项目效果</w:t>
      </w:r>
    </w:p>
    <w:p>
      <w:pPr>
        <w:ind w:firstLine="600" w:firstLineChars="200"/>
        <w:jc w:val="left"/>
        <w:rPr>
          <w:rFonts w:hint="eastAsia" w:ascii="黑体" w:hAnsi="黑体" w:eastAsia="黑体"/>
          <w:b w:val="0"/>
          <w:bCs w:val="0"/>
          <w:sz w:val="30"/>
          <w:szCs w:val="30"/>
          <w:lang w:val="en-US" w:eastAsia="zh-CN"/>
        </w:rPr>
      </w:pPr>
      <w:r>
        <w:rPr>
          <w:rFonts w:hint="eastAsia" w:ascii="仿宋" w:hAnsi="仿宋" w:eastAsia="仿宋" w:cs="仿宋"/>
          <w:sz w:val="30"/>
          <w:szCs w:val="30"/>
          <w:lang w:val="en-US" w:eastAsia="zh-CN"/>
        </w:rPr>
        <w:t>该项目推进</w:t>
      </w:r>
      <w:r>
        <w:rPr>
          <w:rFonts w:hint="eastAsia" w:ascii="仿宋" w:hAnsi="仿宋" w:eastAsia="仿宋" w:cs="仿宋"/>
          <w:sz w:val="30"/>
          <w:szCs w:val="30"/>
        </w:rPr>
        <w:t>我公司拟以全面实施“粮安工程”为载体，加快推进粮食流通能力现代化建设，巩固完善粮食应急保障网络体系，加快推进应急供应、军粮供应、成品粮储配、放心粮油、主食产业化“五位一体”融合发展的基本思路，</w:t>
      </w:r>
      <w:r>
        <w:rPr>
          <w:rFonts w:hint="eastAsia" w:ascii="仿宋" w:hAnsi="仿宋" w:eastAsia="仿宋" w:cs="仿宋"/>
          <w:sz w:val="30"/>
          <w:szCs w:val="30"/>
          <w:lang w:eastAsia="zh-CN"/>
        </w:rPr>
        <w:t>增加了有效</w:t>
      </w:r>
      <w:r>
        <w:rPr>
          <w:rFonts w:hint="eastAsia" w:ascii="仿宋" w:hAnsi="仿宋" w:eastAsia="仿宋" w:cs="仿宋"/>
          <w:sz w:val="30"/>
          <w:szCs w:val="30"/>
        </w:rPr>
        <w:t>仓容</w:t>
      </w:r>
      <w:r>
        <w:rPr>
          <w:rFonts w:hint="eastAsia" w:ascii="仿宋" w:hAnsi="仿宋" w:eastAsia="仿宋" w:cs="仿宋"/>
          <w:sz w:val="30"/>
          <w:szCs w:val="30"/>
          <w:lang w:eastAsia="zh-CN"/>
        </w:rPr>
        <w:t>，且大大提升了我公司的应急保障能力和平时保障能力，构成了多元化的应急保障体系，实现了</w:t>
      </w:r>
      <w:r>
        <w:rPr>
          <w:rFonts w:hint="eastAsia" w:ascii="仿宋" w:hAnsi="仿宋" w:eastAsia="仿宋" w:cs="仿宋"/>
          <w:sz w:val="30"/>
          <w:szCs w:val="30"/>
        </w:rPr>
        <w:t>河北军粮“经营品牌化、布局网格化、功能平台化、保障应急化”的新局面</w:t>
      </w:r>
      <w:r>
        <w:rPr>
          <w:rFonts w:hint="eastAsia" w:ascii="仿宋" w:hAnsi="仿宋" w:eastAsia="仿宋" w:cs="仿宋"/>
          <w:sz w:val="30"/>
          <w:szCs w:val="30"/>
          <w:lang w:eastAsia="zh-CN"/>
        </w:rPr>
        <w:t>。</w:t>
      </w:r>
    </w:p>
    <w:p>
      <w:pPr>
        <w:numPr>
          <w:ilvl w:val="0"/>
          <w:numId w:val="0"/>
        </w:numPr>
        <w:ind w:firstLine="600" w:firstLineChars="200"/>
        <w:rPr>
          <w:rFonts w:hint="eastAsia" w:ascii="黑体" w:hAnsi="黑体" w:eastAsia="黑体"/>
          <w:b w:val="0"/>
          <w:bCs w:val="0"/>
          <w:sz w:val="30"/>
          <w:szCs w:val="30"/>
          <w:lang w:val="en-US" w:eastAsia="zh-CN"/>
        </w:rPr>
      </w:pPr>
      <w:r>
        <w:rPr>
          <w:rFonts w:hint="eastAsia" w:ascii="黑体" w:hAnsi="黑体" w:eastAsia="黑体"/>
          <w:b w:val="0"/>
          <w:bCs w:val="0"/>
          <w:sz w:val="30"/>
          <w:szCs w:val="30"/>
          <w:lang w:val="en-US" w:eastAsia="zh-CN"/>
        </w:rPr>
        <w:t>四、项目综合评价结论和评价等级</w:t>
      </w:r>
    </w:p>
    <w:p>
      <w:pPr>
        <w:numPr>
          <w:ilvl w:val="0"/>
          <w:numId w:val="0"/>
        </w:numPr>
        <w:ind w:firstLine="600" w:firstLineChars="200"/>
        <w:rPr>
          <w:rFonts w:hint="eastAsia" w:ascii="楷体_GB2312" w:hAnsi="楷体_GB2312" w:eastAsia="楷体_GB2312"/>
          <w:b w:val="0"/>
          <w:bCs w:val="0"/>
          <w:sz w:val="30"/>
          <w:szCs w:val="30"/>
          <w:lang w:val="en-US" w:eastAsia="zh-CN"/>
        </w:rPr>
      </w:pPr>
      <w:r>
        <w:rPr>
          <w:rFonts w:hint="eastAsia" w:ascii="仿宋_GB2312" w:eastAsia="仿宋_GB2312"/>
          <w:b w:val="0"/>
          <w:bCs w:val="0"/>
          <w:sz w:val="30"/>
          <w:szCs w:val="30"/>
          <w:lang w:val="en-US" w:eastAsia="zh-CN"/>
        </w:rPr>
        <w:t>根据搬迁项目执行情况和项目绩效情况，给出总得分85分。</w:t>
      </w:r>
    </w:p>
    <w:p>
      <w:pPr>
        <w:adjustRightInd w:val="0"/>
        <w:snapToGrid w:val="0"/>
        <w:spacing w:line="360" w:lineRule="auto"/>
        <w:ind w:firstLine="600" w:firstLineChars="200"/>
        <w:rPr>
          <w:rFonts w:hint="eastAsia" w:ascii="仿宋_GB2312" w:eastAsia="仿宋_GB2312"/>
          <w:sz w:val="30"/>
          <w:szCs w:val="30"/>
        </w:rPr>
      </w:pPr>
      <w:r>
        <w:rPr>
          <w:rFonts w:hint="eastAsia" w:ascii="黑体" w:eastAsia="黑体"/>
          <w:b w:val="0"/>
          <w:bCs w:val="0"/>
          <w:sz w:val="30"/>
          <w:szCs w:val="30"/>
          <w:lang w:eastAsia="zh-CN"/>
        </w:rPr>
        <w:t>五</w:t>
      </w:r>
      <w:r>
        <w:rPr>
          <w:rFonts w:hint="eastAsia" w:ascii="黑体" w:eastAsia="黑体"/>
          <w:b w:val="0"/>
          <w:bCs w:val="0"/>
          <w:sz w:val="30"/>
          <w:szCs w:val="30"/>
        </w:rPr>
        <w:t>、评价工作组人员名单及签字</w:t>
      </w:r>
    </w:p>
    <w:p>
      <w:pPr>
        <w:rPr>
          <w:rFonts w:hint="eastAsia" w:ascii="仿宋_GB2312" w:eastAsia="仿宋_GB2312"/>
          <w:sz w:val="30"/>
          <w:szCs w:val="30"/>
          <w:lang w:val="en-US" w:eastAsia="zh-CN"/>
        </w:rPr>
      </w:pPr>
      <w:r>
        <w:rPr>
          <w:rFonts w:hint="eastAsia" w:ascii="仿宋_GB2312" w:eastAsia="仿宋_GB2312"/>
          <w:sz w:val="30"/>
          <w:szCs w:val="30"/>
          <w:lang w:val="en-US" w:eastAsia="zh-CN"/>
        </w:rPr>
        <w:t xml:space="preserve">         高顺霞  副书记</w:t>
      </w:r>
    </w:p>
    <w:p>
      <w:pPr>
        <w:rPr>
          <w:rFonts w:hint="eastAsia" w:ascii="仿宋_GB2312" w:eastAsia="仿宋_GB2312"/>
          <w:sz w:val="30"/>
          <w:szCs w:val="30"/>
          <w:lang w:val="en-US" w:eastAsia="zh-CN"/>
        </w:rPr>
      </w:pPr>
      <w:r>
        <w:rPr>
          <w:rFonts w:hint="eastAsia" w:ascii="仿宋_GB2312" w:eastAsia="仿宋_GB2312"/>
          <w:sz w:val="30"/>
          <w:szCs w:val="30"/>
          <w:lang w:val="en-US" w:eastAsia="zh-CN"/>
        </w:rPr>
        <w:t xml:space="preserve">         赵璋    科长</w:t>
      </w:r>
    </w:p>
    <w:p>
      <w:pPr>
        <w:rPr>
          <w:rFonts w:hint="eastAsia" w:ascii="仿宋_GB2312" w:eastAsia="仿宋_GB2312"/>
          <w:sz w:val="30"/>
          <w:szCs w:val="30"/>
          <w:lang w:val="en-US" w:eastAsia="zh-CN"/>
        </w:rPr>
      </w:pPr>
      <w:r>
        <w:rPr>
          <w:rFonts w:hint="eastAsia" w:ascii="仿宋_GB2312" w:eastAsia="仿宋_GB2312"/>
          <w:sz w:val="30"/>
          <w:szCs w:val="30"/>
          <w:lang w:val="en-US" w:eastAsia="zh-CN"/>
        </w:rPr>
        <w:t xml:space="preserve">         魏晓峰  科员</w:t>
      </w:r>
    </w:p>
    <w:p>
      <w:pPr>
        <w:rPr>
          <w:rFonts w:hint="eastAsia" w:ascii="仿宋_GB2312" w:eastAsia="仿宋_GB2312"/>
          <w:sz w:val="30"/>
          <w:szCs w:val="30"/>
          <w:lang w:val="en-US" w:eastAsia="zh-CN"/>
        </w:rPr>
      </w:pPr>
      <w:r>
        <w:rPr>
          <w:rFonts w:hint="eastAsia" w:ascii="仿宋_GB2312" w:eastAsia="仿宋_GB2312"/>
          <w:sz w:val="30"/>
          <w:szCs w:val="30"/>
          <w:lang w:val="en-US" w:eastAsia="zh-CN"/>
        </w:rPr>
        <w:t xml:space="preserve">         张锐    科员</w:t>
      </w:r>
    </w:p>
    <w:p>
      <w:pPr>
        <w:rPr>
          <w:rFonts w:hint="eastAsia" w:ascii="仿宋_GB2312" w:eastAsia="仿宋_GB2312"/>
          <w:sz w:val="30"/>
          <w:szCs w:val="30"/>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right"/>
        <w:textAlignment w:val="auto"/>
        <w:outlineLvl w:val="9"/>
        <w:rPr>
          <w:sz w:val="30"/>
          <w:szCs w:val="30"/>
        </w:rPr>
      </w:pPr>
      <w:r>
        <w:rPr>
          <w:rFonts w:hint="eastAsia" w:ascii="仿宋_GB2312" w:hAnsi="宋体" w:eastAsia="仿宋_GB2312"/>
          <w:sz w:val="30"/>
          <w:szCs w:val="30"/>
          <w:lang w:val="en-US" w:eastAsia="zh-CN"/>
        </w:rPr>
        <w:t>石家庄市鹿泉区军粮供应有限责任公司</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00"/>
    <w:family w:val="auto"/>
    <w:pitch w:val="default"/>
    <w:sig w:usb0="00000000" w:usb1="00000000" w:usb2="00000000" w:usb3="00000000" w:csb0="00000000" w:csb1="00000000"/>
  </w:font>
  <w:font w:name="Calibri Light">
    <w:panose1 w:val="020F0302020204030204"/>
    <w:charset w:val="00"/>
    <w:family w:val="auto"/>
    <w:pitch w:val="default"/>
    <w:sig w:usb0="A00002EF" w:usb1="4000207B" w:usb2="00000000"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7DF814"/>
    <w:multiLevelType w:val="singleLevel"/>
    <w:tmpl w:val="897DF814"/>
    <w:lvl w:ilvl="0" w:tentative="0">
      <w:start w:val="1"/>
      <w:numFmt w:val="decimal"/>
      <w:suff w:val="nothing"/>
      <w:lvlText w:val="%1、"/>
      <w:lvlJc w:val="left"/>
    </w:lvl>
  </w:abstractNum>
  <w:abstractNum w:abstractNumId="1">
    <w:nsid w:val="5E12AFA2"/>
    <w:multiLevelType w:val="singleLevel"/>
    <w:tmpl w:val="5E12AFA2"/>
    <w:lvl w:ilvl="0" w:tentative="0">
      <w:start w:val="2"/>
      <w:numFmt w:val="chineseCounting"/>
      <w:suff w:val="nothing"/>
      <w:lvlText w:val="（%1）"/>
      <w:lvlJc w:val="left"/>
      <w:pPr>
        <w:ind w:left="481"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F43E0D"/>
    <w:rsid w:val="2A2941B7"/>
    <w:rsid w:val="35260F0E"/>
    <w:rsid w:val="414D3787"/>
    <w:rsid w:val="44754182"/>
    <w:rsid w:val="49035690"/>
    <w:rsid w:val="53417044"/>
    <w:rsid w:val="5DB1400F"/>
    <w:rsid w:val="7A1E1D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2020-01-06T07:48:00Z</cp:lastPrinted>
  <dcterms:modified xsi:type="dcterms:W3CDTF">2020-01-06T07:59:47Z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